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READMEs which end with * (README*) are the ones which should be created in the exact places during specialization/course development as well.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 README are just for explanation purposes.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after="120" w:before="480" w:lineRule="auto"/>
        <w:rPr>
          <w:b w:val="1"/>
          <w:sz w:val="72"/>
          <w:szCs w:val="72"/>
        </w:rPr>
      </w:pPr>
      <w:bookmarkStart w:colFirst="0" w:colLast="0" w:name="_7dog51ykissr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Week README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Week folder should be named </w:t>
      </w:r>
      <w:r w:rsidDel="00000000" w:rsidR="00000000" w:rsidRPr="00000000">
        <w:rPr>
          <w:color w:val="666666"/>
          <w:rtl w:val="0"/>
        </w:rPr>
        <w:t xml:space="preserve">W(followed by the week #)-(name-of-the week-if apply)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E.g W3, W1-Logistic-Regression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Within each folder will be two distinct folders, “Assignments” and “Ungraded-Labs” (where applicable).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