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keepLines/>
        <w:pageBreakBefore w:val="0"/>
        <w:widowControl/>
        <w:kinsoku/>
        <w:wordWrap/>
        <w:overflowPunct/>
        <w:topLinePunct w:val="0"/>
        <w:autoSpaceDE/>
        <w:autoSpaceDN/>
        <w:bidi w:val="0"/>
        <w:adjustRightInd/>
        <w:snapToGrid/>
        <w:spacing w:before="0" w:after="120"/>
        <w:textAlignment w:val="auto"/>
        <w:rPr>
          <w:rFonts w:hint="eastAsia"/>
          <w:lang w:val="en-US" w:eastAsia="zh-CN"/>
        </w:rPr>
      </w:pPr>
      <w:r>
        <w:t>Backdoor</w:t>
      </w:r>
      <w:r>
        <w:rPr>
          <w:rFonts w:hint="eastAsia"/>
          <w:lang w:val="en-US" w:eastAsia="zh-CN"/>
        </w:rPr>
        <w:t xml:space="preserve"> </w:t>
      </w:r>
      <w:r>
        <w:t>Defense</w:t>
      </w:r>
      <w:r>
        <w:rPr>
          <w:rFonts w:hint="eastAsia"/>
          <w:lang w:val="en-US" w:eastAsia="zh-CN"/>
        </w:rPr>
        <w:t xml:space="preserve"> </w:t>
      </w:r>
      <w:r>
        <w:t>via</w:t>
      </w:r>
      <w:r>
        <w:rPr>
          <w:rFonts w:hint="eastAsia"/>
          <w:lang w:val="en-US" w:eastAsia="zh-CN"/>
        </w:rPr>
        <w:t xml:space="preserve"> </w:t>
      </w:r>
    </w:p>
    <w:p>
      <w:pPr>
        <w:pStyle w:val="18"/>
        <w:keepNext/>
        <w:keepLines/>
        <w:pageBreakBefore w:val="0"/>
        <w:widowControl/>
        <w:kinsoku/>
        <w:wordWrap/>
        <w:overflowPunct/>
        <w:topLinePunct w:val="0"/>
        <w:autoSpaceDE/>
        <w:autoSpaceDN/>
        <w:bidi w:val="0"/>
        <w:adjustRightInd/>
        <w:snapToGrid/>
        <w:spacing w:before="0" w:after="120"/>
        <w:textAlignment w:val="auto"/>
      </w:pPr>
      <w:r>
        <w:t>Adaptively</w:t>
      </w:r>
      <w:r>
        <w:rPr>
          <w:rFonts w:hint="eastAsia"/>
          <w:lang w:val="en-US" w:eastAsia="zh-CN"/>
        </w:rPr>
        <w:t xml:space="preserve"> </w:t>
      </w:r>
      <w:r>
        <w:t>Splitting</w:t>
      </w:r>
      <w:r>
        <w:rPr>
          <w:rFonts w:hint="eastAsia"/>
          <w:lang w:val="en-US" w:eastAsia="zh-CN"/>
        </w:rPr>
        <w:t xml:space="preserve"> </w:t>
      </w:r>
      <w:r>
        <w:t>Poisoned</w:t>
      </w:r>
      <w:r>
        <w:rPr>
          <w:rFonts w:hint="eastAsia"/>
          <w:lang w:val="en-US" w:eastAsia="zh-CN"/>
        </w:rPr>
        <w:t xml:space="preserve"> </w:t>
      </w:r>
      <w:r>
        <w:t>Dataset</w:t>
      </w:r>
    </w:p>
    <w:p>
      <w:pPr>
        <w:pStyle w:val="4"/>
      </w:pPr>
      <w:bookmarkStart w:id="0" w:name="研究目的"/>
      <w:r>
        <w:t>研究目的</w:t>
      </w:r>
    </w:p>
    <w:p>
      <w:r>
        <w:pict>
          <v:rect id="_x0000_i1025" o:spt="1" style="height:1.5pt;width:0pt;" coordsize="21600,21600" o:hr="t" o:hrstd="t" o:hralign="center">
            <v:path/>
            <v:fill focussize="0,0"/>
            <v:stroke/>
            <v:imagedata o:title=""/>
            <o:lock v:ext="edit"/>
            <w10:wrap type="none"/>
            <w10:anchorlock/>
          </v:rect>
        </w:pict>
      </w:r>
    </w:p>
    <w:p>
      <w:pPr>
        <w:pStyle w:val="25"/>
      </w:pPr>
      <w:r>
        <w:t>后门防御用于减轻深度神经网络（DNN）遭受后门攻击从而被恶意更改的威胁。因为在训练过程中，DNN 的数据来源是不稳定的，有被攻击的可能，所以在训练阶段采取稳健的后门防御策略是有意义的。当下，传统的训练时期后门防御可以大致分为两种，一种是通过损失函数初始化一个静态的数据池，在训练期之前就去除中毒样本（ABL），另一种则是通过监督学习尽可能得标记干净样本，再对干净样本和未标记样本（可以是干净的也可以是中毒样本）进行半监督学习（DBD）。然而，上述两种方法缺点都很明显，前者难以完全剔除中毒数据，会导致干净样本中被混入中毒样本，反而使得中毒样本的杀伤力更大；后者则存在算力消耗过大的问题。因此，本文提出了基于动态分割的后门防御，在正确识别中毒样本的同时还能妥善处理它们。</w:t>
      </w:r>
    </w:p>
    <w:p>
      <w:pPr>
        <w:pStyle w:val="3"/>
      </w:pPr>
    </w:p>
    <w:bookmarkEnd w:id="0"/>
    <w:p>
      <w:pPr>
        <w:pStyle w:val="4"/>
      </w:pPr>
      <w:bookmarkStart w:id="1" w:name="实现效果"/>
      <w:r>
        <w:t>实现效果</w:t>
      </w:r>
    </w:p>
    <w:p>
      <w:r>
        <w:pict>
          <v:rect id="_x0000_i1026" o:spt="1" style="height:1.5pt;width:0pt;" coordsize="21600,21600" o:hr="t" o:hrstd="t" o:hralign="center">
            <v:path/>
            <v:fill focussize="0,0"/>
            <v:stroke/>
            <v:imagedata o:title=""/>
            <o:lock v:ext="edit"/>
            <w10:wrap type="none"/>
            <w10:anchorlock/>
          </v:rect>
        </w:pict>
      </w:r>
    </w:p>
    <w:p>
      <w:pPr>
        <w:pStyle w:val="25"/>
        <w:rPr>
          <w:rFonts w:hint="eastAsia" w:eastAsia="宋体"/>
          <w:lang w:val="en-US" w:eastAsia="zh-CN"/>
        </w:rPr>
      </w:pPr>
      <w:r>
        <w:drawing>
          <wp:anchor distT="0" distB="0" distL="114300" distR="114300" simplePos="0" relativeHeight="251659264" behindDoc="0" locked="0" layoutInCell="1" allowOverlap="1">
            <wp:simplePos x="0" y="0"/>
            <wp:positionH relativeFrom="column">
              <wp:posOffset>208915</wp:posOffset>
            </wp:positionH>
            <wp:positionV relativeFrom="page">
              <wp:posOffset>6360160</wp:posOffset>
            </wp:positionV>
            <wp:extent cx="5163185" cy="2565400"/>
            <wp:effectExtent l="0" t="0" r="5715" b="0"/>
            <wp:wrapTopAndBottom/>
            <wp:docPr id="22" name="Picture" descr="images/Pasted image 20230512040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ages/Pasted image 20230512040159.png"/>
                    <pic:cNvPicPr>
                      <a:picLocks noChangeAspect="1" noChangeArrowheads="1"/>
                    </pic:cNvPicPr>
                  </pic:nvPicPr>
                  <pic:blipFill>
                    <a:blip r:embed="rId5"/>
                    <a:stretch>
                      <a:fillRect/>
                    </a:stretch>
                  </pic:blipFill>
                  <pic:spPr>
                    <a:xfrm>
                      <a:off x="0" y="0"/>
                      <a:ext cx="5163185" cy="2565400"/>
                    </a:xfrm>
                    <a:prstGeom prst="rect">
                      <a:avLst/>
                    </a:prstGeom>
                    <a:noFill/>
                    <a:ln w="9525">
                      <a:noFill/>
                    </a:ln>
                  </pic:spPr>
                </pic:pic>
              </a:graphicData>
            </a:graphic>
          </wp:anchor>
        </w:drawing>
      </w:r>
      <w:r>
        <w:t>本文在多个基准数据集和多个 DNN 模型上针对六种最先进的后门攻击进行了大量对比实验。通过比较 ASD（使用随机的超参数）和其他防御策略（大部分使用了最优参数）在后门攻击下的干净准确率（简记为 ACC，表示模型在干净数据上的预测准确率）和攻击成功率（简记为 ASR，表示触发集的触发成功率），最终得出 ASD 在防御效果上具有优越性。具体结果如下表</w:t>
      </w:r>
      <w:r>
        <w:rPr>
          <w:rFonts w:hint="eastAsia" w:eastAsia="宋体"/>
          <w:lang w:val="en-US" w:eastAsia="zh-CN"/>
        </w:rPr>
        <w:t>:</w:t>
      </w:r>
    </w:p>
    <w:bookmarkEnd w:id="1"/>
    <w:p>
      <w:pPr>
        <w:pStyle w:val="4"/>
      </w:pPr>
      <w:bookmarkStart w:id="2" w:name="技术创新"/>
      <w:r>
        <w:t>技术创新</w:t>
      </w:r>
    </w:p>
    <w:p>
      <w:r>
        <w:pict>
          <v:rect id="_x0000_i1027" o:spt="1" style="height:1.5pt;width:0pt;" coordsize="21600,21600" o:hr="t" o:hrstd="t" o:hralign="center">
            <v:path/>
            <v:fill focussize="0,0"/>
            <v:stroke/>
            <v:imagedata o:title=""/>
            <o:lock v:ext="edit"/>
            <w10:wrap type="none"/>
            <w10:anchorlock/>
          </v:rect>
        </w:pict>
      </w:r>
    </w:p>
    <w:p>
      <w:pPr>
        <w:pStyle w:val="25"/>
      </w:pPr>
      <w:r>
        <w:t>本文的贡献集中在三个方面：</w:t>
      </w:r>
    </w:p>
    <w:p>
      <w:pPr>
        <w:pStyle w:val="26"/>
        <w:numPr>
          <w:ilvl w:val="0"/>
          <w:numId w:val="1"/>
        </w:numPr>
      </w:pPr>
      <w:r>
        <w:t>提供了一个框架，从统一的角度重新审视现有的训练阶段的后门防御，即将中毒的数据集拆分为干净池和污染池。本文基于此框架，提出了一种端到端的防御策略，adaptively splitting datasetbased defense（ASD），基于数据集的自适应分割防御。</w:t>
      </w:r>
    </w:p>
    <w:p>
      <w:pPr>
        <w:pStyle w:val="26"/>
        <w:numPr>
          <w:ilvl w:val="0"/>
          <w:numId w:val="1"/>
        </w:numPr>
      </w:pPr>
      <w:r>
        <w:t>提出了一种快速数据池化的方法，并以两种拆分方式自适应更新两个数据池，即损失导向分割和元分割。其中，元分割侧重于如何挖掘难以被标记的干净样本（硬样本），显著提高了模型性能。</w:t>
      </w:r>
    </w:p>
    <w:p>
      <w:pPr>
        <w:pStyle w:val="26"/>
        <w:numPr>
          <w:ilvl w:val="0"/>
          <w:numId w:val="1"/>
        </w:numPr>
      </w:pPr>
      <w:r>
        <w:t>对于两个分离的数据池，本文指出了在带有标签的干净数据池和不使用标签的污染数据池上同时训练模型会提高模型性能。并用大量的实验结果证明了 ASD 相对于以前最先进的后门防御系统具有优越性。</w:t>
      </w:r>
    </w:p>
    <w:p>
      <w:pPr>
        <w:pStyle w:val="26"/>
        <w:numPr>
          <w:ilvl w:val="0"/>
          <w:numId w:val="0"/>
        </w:numPr>
        <w:spacing w:before="36" w:after="36"/>
      </w:pPr>
    </w:p>
    <w:p>
      <w:pPr>
        <w:pStyle w:val="26"/>
        <w:numPr>
          <w:ilvl w:val="0"/>
          <w:numId w:val="0"/>
        </w:numPr>
        <w:spacing w:before="36" w:after="36"/>
      </w:pPr>
    </w:p>
    <w:bookmarkEnd w:id="2"/>
    <w:p>
      <w:pPr>
        <w:pStyle w:val="4"/>
      </w:pPr>
      <w:bookmarkStart w:id="3" w:name="原理和步骤"/>
      <w:r>
        <w:t>原理和步骤</w:t>
      </w:r>
    </w:p>
    <w:p>
      <w:r>
        <w:pict>
          <v:rect id="_x0000_i1028" o:spt="1" style="height:1.5pt;width:0pt;" coordsize="21600,21600" o:hr="t" o:hrstd="t" o:hralign="center">
            <v:path/>
            <v:fill focussize="0,0"/>
            <v:stroke/>
            <v:imagedata o:title=""/>
            <o:lock v:ext="edit"/>
            <w10:wrap type="none"/>
            <w10:anchorlock/>
          </v:rect>
        </w:pict>
      </w:r>
    </w:p>
    <w:p>
      <w:pPr>
        <w:pStyle w:val="25"/>
        <w:rPr>
          <w:rFonts w:hint="eastAsia" w:eastAsia="宋体"/>
          <w:lang w:val="en-US" w:eastAsia="zh-CN"/>
        </w:rPr>
      </w:pPr>
      <w:r>
        <w:drawing>
          <wp:anchor distT="0" distB="0" distL="114300" distR="114300" simplePos="0" relativeHeight="251660288" behindDoc="0" locked="0" layoutInCell="1" allowOverlap="1">
            <wp:simplePos x="0" y="0"/>
            <wp:positionH relativeFrom="column">
              <wp:posOffset>354330</wp:posOffset>
            </wp:positionH>
            <wp:positionV relativeFrom="page">
              <wp:posOffset>6379845</wp:posOffset>
            </wp:positionV>
            <wp:extent cx="4832350" cy="2488565"/>
            <wp:effectExtent l="0" t="0" r="6350" b="635"/>
            <wp:wrapTopAndBottom/>
            <wp:docPr id="27" name="Picture" descr="images/Pasted image 2023051203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images/Pasted image 20230512031209.png"/>
                    <pic:cNvPicPr>
                      <a:picLocks noChangeAspect="1" noChangeArrowheads="1"/>
                    </pic:cNvPicPr>
                  </pic:nvPicPr>
                  <pic:blipFill>
                    <a:blip r:embed="rId6"/>
                    <a:stretch>
                      <a:fillRect/>
                    </a:stretch>
                  </pic:blipFill>
                  <pic:spPr>
                    <a:xfrm>
                      <a:off x="0" y="0"/>
                      <a:ext cx="4832350" cy="2488565"/>
                    </a:xfrm>
                    <a:prstGeom prst="rect">
                      <a:avLst/>
                    </a:prstGeom>
                    <a:noFill/>
                    <a:ln w="9525">
                      <a:noFill/>
                    </a:ln>
                  </pic:spPr>
                </pic:pic>
              </a:graphicData>
            </a:graphic>
          </wp:anchor>
        </w:drawing>
      </w:r>
      <w:r>
        <w:t>回顾 ABL 和 DBD，它们之所以仍存在漏洞，是因为硬样本的存在。因为模型本身的结构问题，一部分样本会难以通过损失函数与中毒样本分离开来，如果选择直接将它们连同中毒样本一起剔除（ABL），那么势必会损失一部分信息，导致最终的模型效能下降；如果选择强行分离（DBD），那么带来的是算例的大量消耗。所以，我们需要一种新的策略来分离硬样本和中毒样本，本文提出的元分割就是这样的策略。元分割能有效剔除 ABL 和 DBD 难以分离的硬样本，从而保证了模型不受后门攻击的同时不损失信息。具体效果如下图</w:t>
      </w:r>
      <w:r>
        <w:rPr>
          <w:rFonts w:hint="eastAsia" w:eastAsia="宋体"/>
          <w:lang w:val="en-US" w:eastAsia="zh-CN"/>
        </w:rPr>
        <w:t>:</w:t>
      </w:r>
    </w:p>
    <w:p>
      <w:pPr>
        <w:pStyle w:val="3"/>
      </w:pPr>
      <w:r>
        <w:t>将元分割与损失导向分割结合起来，便是本文的策略 ASD.</w:t>
      </w:r>
    </w:p>
    <w:p>
      <w:pPr>
        <w:pStyle w:val="3"/>
      </w:pPr>
    </w:p>
    <w:p>
      <w:pPr>
        <w:pStyle w:val="6"/>
      </w:pPr>
      <w:bookmarkStart w:id="4" w:name="目标定义"/>
      <w:r>
        <w:t>目标定义</w:t>
      </w:r>
    </w:p>
    <w:p>
      <w:pPr>
        <w:pStyle w:val="25"/>
      </w:pPr>
      <w:r>
        <w:t xml:space="preserve">给定具有随机初始化参数 </w:t>
      </w:r>
      <m:oMath>
        <m:r>
          <m:rPr/>
          <m:t>θ</m:t>
        </m:r>
      </m:oMath>
      <w:r>
        <w:t xml:space="preserve"> 的分类模型 </w:t>
      </w:r>
      <m:oMath>
        <m:sSub>
          <m:sSubPr/>
          <m:e>
            <m:r>
              <m:rPr/>
              <m:t>f</m:t>
            </m:r>
          </m:e>
          <m:sub>
            <m:r>
              <m:rPr/>
              <m:t>θ</m:t>
            </m:r>
          </m:sub>
        </m:sSub>
      </m:oMath>
      <w:r>
        <w:t xml:space="preserve"> 和训练数据集 </w:t>
      </w:r>
      <m:oMath>
        <m:r>
          <m:rPr/>
          <m:t>D</m:t>
        </m:r>
        <m:r>
          <m:rPr>
            <m:sty m:val="p"/>
          </m:rPr>
          <m:t>=</m:t>
        </m:r>
        <m:sSubSup>
          <m:sSubSupPr/>
          <m:e>
            <m:d>
              <m:dPr>
                <m:sepChr m:val=""/>
              </m:dPr>
              <m:e>
                <m:sSub>
                  <m:sSubPr/>
                  <m:e>
                    <m:r>
                      <m:rPr/>
                      <m:t>x</m:t>
                    </m:r>
                  </m:e>
                  <m:sub>
                    <m:r>
                      <m:rPr/>
                      <m:t>i</m:t>
                    </m:r>
                  </m:sub>
                </m:sSub>
                <m:r>
                  <m:rPr>
                    <m:sty m:val="p"/>
                  </m:rPr>
                  <m:t>,</m:t>
                </m:r>
                <m:sSub>
                  <m:sSubPr/>
                  <m:e>
                    <m:r>
                      <m:rPr/>
                      <m:t>y</m:t>
                    </m:r>
                  </m:e>
                  <m:sub>
                    <m:r>
                      <m:rPr/>
                      <m:t>i</m:t>
                    </m:r>
                  </m:sub>
                </m:sSub>
              </m:e>
            </m:d>
          </m:e>
          <m:sub>
            <m:r>
              <m:rPr/>
              <m:t>i</m:t>
            </m:r>
            <m:r>
              <m:rPr>
                <m:sty m:val="p"/>
              </m:rPr>
              <m:t>=</m:t>
            </m:r>
            <m:r>
              <m:rPr/>
              <m:t>1</m:t>
            </m:r>
          </m:sub>
          <m:sup>
            <m:r>
              <m:rPr/>
              <m:t>N</m:t>
            </m:r>
          </m:sup>
        </m:sSubSup>
      </m:oMath>
      <w:r>
        <w:t xml:space="preserve">，训练数据集 </w:t>
      </w:r>
      <m:oMath>
        <m:r>
          <m:rPr/>
          <m:t>D</m:t>
        </m:r>
      </m:oMath>
      <w:r>
        <w:t xml:space="preserve"> 包含 </w:t>
      </w:r>
      <m:oMath>
        <m:r>
          <m:rPr/>
          <m:t>N</m:t>
        </m:r>
      </m:oMath>
      <w:r>
        <w:t xml:space="preserve"> 个样本 </w:t>
      </w:r>
      <m:oMath>
        <m:sSub>
          <m:sSubPr/>
          <m:e>
            <m:r>
              <m:rPr/>
              <m:t>x</m:t>
            </m:r>
          </m:e>
          <m:sub>
            <m:r>
              <m:rPr/>
              <m:t>i</m:t>
            </m:r>
          </m:sub>
        </m:sSub>
        <m:r>
          <m:rPr>
            <m:sty m:val="p"/>
          </m:rPr>
          <m:t>∈</m:t>
        </m:r>
        <m:sSup>
          <m:sSupPr/>
          <m:e>
            <m:r>
              <m:rPr/>
              <m:t>R</m:t>
            </m:r>
          </m:e>
          <m:sup>
            <m:r>
              <m:rPr/>
              <m:t>d</m:t>
            </m:r>
          </m:sup>
        </m:sSup>
      </m:oMath>
      <w:r>
        <w:t>，</w:t>
      </w:r>
      <m:oMath>
        <m:r>
          <m:rPr/>
          <m:t>i</m:t>
        </m:r>
        <m:r>
          <m:rPr>
            <m:sty m:val="p"/>
          </m:rPr>
          <m:t>=</m:t>
        </m:r>
        <m:r>
          <m:rPr/>
          <m:t>1</m:t>
        </m:r>
        <m:r>
          <m:rPr>
            <m:sty m:val="p"/>
          </m:rPr>
          <m:t>,...,</m:t>
        </m:r>
        <m:r>
          <m:rPr/>
          <m:t>N</m:t>
        </m:r>
      </m:oMath>
      <w:r>
        <w:t xml:space="preserve">，以及它们的基本真值标签 </w:t>
      </w:r>
      <m:oMath>
        <m:sSub>
          <m:sSubPr/>
          <m:e>
            <m:r>
              <m:rPr/>
              <m:t>y</m:t>
            </m:r>
          </m:e>
          <m:sub>
            <m:r>
              <m:rPr/>
              <m:t>i</m:t>
            </m:r>
          </m:sub>
        </m:sSub>
        <m:r>
          <m:rPr>
            <m:sty m:val="p"/>
          </m:rPr>
          <m:t>∈</m:t>
        </m:r>
        <m:r>
          <m:rPr/>
          <m:t>0</m:t>
        </m:r>
        <m:r>
          <m:rPr>
            <m:sty m:val="p"/>
          </m:rPr>
          <m:t>,</m:t>
        </m:r>
        <m:r>
          <m:rPr/>
          <m:t>1</m:t>
        </m:r>
        <m:r>
          <m:rPr>
            <m:sty m:val="p"/>
          </m:rPr>
          <m:t>,...,</m:t>
        </m:r>
        <m:r>
          <m:rPr/>
          <m:t>C</m:t>
        </m:r>
        <m:r>
          <m:rPr>
            <m:sty m:val="p"/>
          </m:rPr>
          <m:t>−</m:t>
        </m:r>
        <m:r>
          <m:rPr/>
          <m:t>1</m:t>
        </m:r>
      </m:oMath>
      <w:r>
        <w:t xml:space="preserve">，其中 </w:t>
      </w:r>
      <m:oMath>
        <m:r>
          <m:rPr/>
          <m:t>C</m:t>
        </m:r>
      </m:oMath>
      <w:r>
        <w:t xml:space="preserve"> 是类的数量。中毒样本可能包含在 </w:t>
      </w:r>
      <m:oMath>
        <m:r>
          <m:rPr/>
          <m:t>D</m:t>
        </m:r>
      </m:oMath>
      <w:r>
        <w:t xml:space="preserve"> 中。</w:t>
      </w:r>
      <w:r>
        <w:br w:type="textWrapping"/>
      </w:r>
      <w:r>
        <w:t xml:space="preserve">通过 ASD，数据集 </w:t>
      </w:r>
      <m:oMath>
        <m:r>
          <m:rPr/>
          <m:t>D</m:t>
        </m:r>
      </m:oMath>
      <w:r>
        <w:t xml:space="preserve"> 被自适应地划分为两个不相交的数据池，即带有标签的干净数据池 </w:t>
      </w:r>
      <m:oMath>
        <m:sSub>
          <m:sSubPr/>
          <m:e>
            <m:r>
              <m:rPr/>
              <m:t>D</m:t>
            </m:r>
          </m:e>
          <m:sub>
            <m:r>
              <m:rPr/>
              <m:t>C</m:t>
            </m:r>
          </m:sub>
        </m:sSub>
      </m:oMath>
      <w:r>
        <w:t xml:space="preserve"> 和不使用标签的污染数据池 </w:t>
      </w:r>
      <m:oMath>
        <m:sSub>
          <m:sSubPr/>
          <m:e>
            <m:r>
              <m:rPr/>
              <m:t>D</m:t>
            </m:r>
          </m:e>
          <m:sub>
            <m:r>
              <m:rPr/>
              <m:t>P</m:t>
            </m:r>
          </m:sub>
        </m:sSub>
      </m:oMath>
      <w:r>
        <w:t>。以半监督学习的方式在清洁数据池和污染数据池上同时训练模型，将污染池视为未标记数据，则目标函数可以表示为：</w:t>
      </w:r>
    </w:p>
    <w:p>
      <w:pPr>
        <w:pStyle w:val="3"/>
      </w:pPr>
      <m:oMathPara>
        <m:oMathParaPr>
          <m:jc m:val="center"/>
        </m:oMathParaPr>
        <m:oMath>
          <m:r>
            <m:rPr/>
            <m:t>mi</m:t>
          </m:r>
          <m:sSub>
            <m:sSubPr/>
            <m:e>
              <m:r>
                <m:rPr/>
                <m:t>n</m:t>
              </m:r>
            </m:e>
            <m:sub>
              <m:r>
                <m:rPr/>
                <m:t>θ</m:t>
              </m:r>
            </m:sub>
          </m:sSub>
          <m:r>
            <m:rPr/>
            <m:t>L</m:t>
          </m:r>
          <m:d>
            <m:dPr>
              <m:sepChr m:val=""/>
            </m:dPr>
            <m:e>
              <m:sSub>
                <m:sSubPr/>
                <m:e>
                  <m:r>
                    <m:rPr/>
                    <m:t>D</m:t>
                  </m:r>
                </m:e>
                <m:sub>
                  <m:r>
                    <m:rPr/>
                    <m:t>C</m:t>
                  </m:r>
                </m:sub>
              </m:sSub>
              <m:r>
                <m:rPr>
                  <m:sty m:val="p"/>
                </m:rPr>
                <m:t>,</m:t>
              </m:r>
              <m:sSub>
                <m:sSubPr/>
                <m:e>
                  <m:r>
                    <m:rPr/>
                    <m:t>D</m:t>
                  </m:r>
                </m:e>
                <m:sub>
                  <m:r>
                    <m:rPr/>
                    <m:t>P</m:t>
                  </m:r>
                </m:sub>
              </m:sSub>
              <m:r>
                <m:rPr>
                  <m:sty m:val="p"/>
                </m:rPr>
                <m:t>;</m:t>
              </m:r>
              <m:r>
                <m:rPr/>
                <m:t>θ</m:t>
              </m:r>
            </m:e>
          </m:d>
        </m:oMath>
      </m:oMathPara>
    </w:p>
    <w:p>
      <w:pPr>
        <w:pStyle w:val="25"/>
      </w:pPr>
      <w:r>
        <w:t>其中，</w:t>
      </w:r>
      <m:oMath>
        <m:sSub>
          <m:sSubPr/>
          <m:e>
            <m:r>
              <m:rPr/>
              <m:t>D</m:t>
            </m:r>
          </m:e>
          <m:sub>
            <m:r>
              <m:rPr/>
              <m:t>C</m:t>
            </m:r>
          </m:sub>
        </m:sSub>
        <m:r>
          <m:rPr>
            <m:sty m:val="p"/>
          </m:rPr>
          <m:t>∈</m:t>
        </m:r>
        <m:r>
          <m:rPr/>
          <m:t>D</m:t>
        </m:r>
      </m:oMath>
      <w:r>
        <w:t xml:space="preserve"> 表示干净数据池，，</w:t>
      </w:r>
      <m:oMath>
        <m:sSub>
          <m:sSubPr/>
          <m:e>
            <m:r>
              <m:rPr/>
              <m:t>D</m:t>
            </m:r>
          </m:e>
          <m:sub>
            <m:r>
              <m:rPr/>
              <m:t>P</m:t>
            </m:r>
          </m:sub>
        </m:sSub>
        <m:r>
          <m:rPr>
            <m:sty m:val="p"/>
          </m:rPr>
          <m:t>={</m:t>
        </m:r>
        <m:r>
          <m:rPr/>
          <m:t>x</m:t>
        </m:r>
        <m:r>
          <m:rPr>
            <m:sty m:val="p"/>
          </m:rPr>
          <m:t>|</m:t>
        </m:r>
        <m:d>
          <m:dPr>
            <m:sepChr m:val=""/>
          </m:dPr>
          <m:e>
            <m:r>
              <m:rPr/>
              <m:t>x</m:t>
            </m:r>
            <m:r>
              <m:rPr>
                <m:sty m:val="p"/>
              </m:rPr>
              <m:t>，</m:t>
            </m:r>
            <m:r>
              <m:rPr/>
              <m:t>y</m:t>
            </m:r>
          </m:e>
        </m:d>
        <m:r>
          <m:rPr>
            <m:sty m:val="p"/>
          </m:rPr>
          <m:t>∈</m:t>
        </m:r>
        <m:r>
          <m:rPr/>
          <m:t>D</m:t>
        </m:r>
        <m:r>
          <m:rPr>
            <m:sty m:val="p"/>
          </m:rPr>
          <m:t>∖</m:t>
        </m:r>
        <m:sSub>
          <m:sSubPr/>
          <m:e>
            <m:r>
              <m:rPr/>
              <m:t>D</m:t>
            </m:r>
          </m:e>
          <m:sub>
            <m:r>
              <m:rPr/>
              <m:t>C</m:t>
            </m:r>
          </m:sub>
        </m:sSub>
        <m:r>
          <m:rPr>
            <m:sty m:val="p"/>
          </m:rPr>
          <m:t>}</m:t>
        </m:r>
      </m:oMath>
      <w:r>
        <w:t xml:space="preserve"> 表示污染数据池。</w:t>
      </w:r>
      <m:oMath>
        <m:r>
          <m:rPr/>
          <m:t>L</m:t>
        </m:r>
        <m:d>
          <m:dPr>
            <m:sepChr m:val=""/>
          </m:dPr>
          <m:e>
            <m:r>
              <m:rPr>
                <m:sty m:val="p"/>
              </m:rPr>
              <m:t>⋅</m:t>
            </m:r>
          </m:e>
        </m:d>
      </m:oMath>
      <w:r>
        <w:t xml:space="preserve"> 表示半监督损失函数，其具体定义为：</w:t>
      </w:r>
    </w:p>
    <w:p>
      <w:pPr>
        <w:pStyle w:val="3"/>
      </w:pPr>
      <m:oMathPara>
        <m:oMathParaPr>
          <m:jc m:val="center"/>
        </m:oMathParaPr>
        <m:oMath>
          <m:r>
            <m:rPr/>
            <m:t>L</m:t>
          </m:r>
          <m:r>
            <m:rPr>
              <m:sty m:val="p"/>
            </m:rPr>
            <m:t>=</m:t>
          </m:r>
          <m:nary>
            <m:naryPr>
              <m:chr m:val="∑"/>
              <m:limLoc m:val="undOvr"/>
              <m:supHide m:val="1"/>
            </m:naryPr>
            <m:sub>
              <m:d>
                <m:dPr>
                  <m:sepChr m:val=""/>
                </m:dPr>
                <m:e>
                  <m:r>
                    <m:rPr/>
                    <m:t>x</m:t>
                  </m:r>
                  <m:r>
                    <m:rPr>
                      <m:sty m:val="p"/>
                    </m:rPr>
                    <m:t>,</m:t>
                  </m:r>
                  <m:r>
                    <m:rPr/>
                    <m:t>y</m:t>
                  </m:r>
                </m:e>
              </m:d>
              <m:r>
                <m:rPr>
                  <m:sty m:val="p"/>
                </m:rPr>
                <m:t>∈</m:t>
              </m:r>
              <m:sSub>
                <m:sSubPr/>
                <m:e>
                  <m:r>
                    <m:rPr/>
                    <m:t>D</m:t>
                  </m:r>
                </m:e>
                <m:sub>
                  <m:r>
                    <m:rPr/>
                    <m:t>C</m:t>
                  </m:r>
                </m:sub>
              </m:sSub>
            </m:sub>
            <m:sup>
              <m:r>
                <m:rPr/>
                <m:t>​</m:t>
              </m:r>
            </m:sup>
            <m:e>
              <m:sSub>
                <m:sSubPr/>
                <m:e>
                  <m:r>
                    <m:rPr/>
                    <m:t>L</m:t>
                  </m:r>
                </m:e>
                <m:sub>
                  <m:r>
                    <m:rPr/>
                    <m:t>s</m:t>
                  </m:r>
                </m:sub>
              </m:sSub>
            </m:e>
          </m:nary>
          <m:d>
            <m:dPr>
              <m:sepChr m:val=""/>
            </m:dPr>
            <m:e>
              <m:r>
                <m:rPr/>
                <m:t>x</m:t>
              </m:r>
              <m:r>
                <m:rPr>
                  <m:sty m:val="p"/>
                </m:rPr>
                <m:t>,</m:t>
              </m:r>
              <m:r>
                <m:rPr/>
                <m:t>y</m:t>
              </m:r>
              <m:r>
                <m:rPr>
                  <m:sty m:val="p"/>
                </m:rPr>
                <m:t>;</m:t>
              </m:r>
              <m:r>
                <m:rPr/>
                <m:t>θ</m:t>
              </m:r>
            </m:e>
          </m:d>
          <m:r>
            <m:rPr>
              <m:sty m:val="p"/>
            </m:rPr>
            <m:t>+</m:t>
          </m:r>
          <m:r>
            <m:rPr/>
            <m:t>λ</m:t>
          </m:r>
          <m:nary>
            <m:naryPr>
              <m:chr m:val="∑"/>
              <m:limLoc m:val="undOvr"/>
              <m:supHide m:val="1"/>
            </m:naryPr>
            <m:sub>
              <m:r>
                <m:rPr/>
                <m:t>x</m:t>
              </m:r>
              <m:r>
                <m:rPr>
                  <m:sty m:val="p"/>
                </m:rPr>
                <m:t>∈</m:t>
              </m:r>
              <m:sSub>
                <m:sSubPr/>
                <m:e>
                  <m:r>
                    <m:rPr/>
                    <m:t>D</m:t>
                  </m:r>
                </m:e>
                <m:sub>
                  <m:r>
                    <m:rPr/>
                    <m:t>P</m:t>
                  </m:r>
                </m:sub>
              </m:sSub>
            </m:sub>
            <m:sup>
              <m:r>
                <m:rPr/>
                <m:t>​</m:t>
              </m:r>
            </m:sup>
            <m:e>
              <m:sSub>
                <m:sSubPr/>
                <m:e>
                  <m:r>
                    <m:rPr/>
                    <m:t>L</m:t>
                  </m:r>
                </m:e>
                <m:sub>
                  <m:r>
                    <m:rPr/>
                    <m:t>u</m:t>
                  </m:r>
                </m:sub>
              </m:sSub>
            </m:e>
          </m:nary>
          <m:d>
            <m:dPr>
              <m:sepChr m:val=""/>
            </m:dPr>
            <m:e>
              <m:r>
                <m:rPr/>
                <m:t>x</m:t>
              </m:r>
              <m:r>
                <m:rPr>
                  <m:sty m:val="p"/>
                </m:rPr>
                <m:t>;</m:t>
              </m:r>
              <m:r>
                <m:rPr/>
                <m:t>θ</m:t>
              </m:r>
            </m:e>
          </m:d>
        </m:oMath>
      </m:oMathPara>
    </w:p>
    <w:p>
      <w:pPr>
        <w:pStyle w:val="25"/>
      </w:pPr>
      <w:r>
        <w:t xml:space="preserve">在有标签的干净数据池 </w:t>
      </w:r>
      <m:oMath>
        <m:sSub>
          <m:sSubPr/>
          <m:e>
            <m:r>
              <m:rPr/>
              <m:t>D</m:t>
            </m:r>
          </m:e>
          <m:sub>
            <m:r>
              <m:rPr/>
              <m:t>C</m:t>
            </m:r>
          </m:sub>
        </m:sSub>
      </m:oMath>
      <w:r>
        <w:t xml:space="preserve"> 上采用监督损失 </w:t>
      </w:r>
      <m:oMath>
        <m:sSub>
          <m:sSubPr/>
          <m:e>
            <m:r>
              <m:rPr/>
              <m:t>L</m:t>
            </m:r>
          </m:e>
          <m:sub>
            <m:r>
              <m:rPr/>
              <m:t>s</m:t>
            </m:r>
          </m:sub>
        </m:sSub>
      </m:oMath>
      <w:r>
        <w:t xml:space="preserve">，在不使用标签的污染数据池 </w:t>
      </w:r>
      <m:oMath>
        <m:sSub>
          <m:sSubPr/>
          <m:e>
            <m:r>
              <m:rPr/>
              <m:t>D</m:t>
            </m:r>
          </m:e>
          <m:sub>
            <m:r>
              <m:rPr/>
              <m:t>P</m:t>
            </m:r>
          </m:sub>
        </m:sSub>
      </m:oMath>
      <w:r>
        <w:t xml:space="preserve"> 上使用无监督损失 </w:t>
      </w:r>
      <m:oMath>
        <m:sSub>
          <m:sSubPr/>
          <m:e>
            <m:r>
              <m:rPr/>
              <m:t>L</m:t>
            </m:r>
          </m:e>
          <m:sub>
            <m:r>
              <m:rPr/>
              <m:t>u</m:t>
            </m:r>
          </m:sub>
        </m:sSub>
      </m:oMath>
      <w:r>
        <w:t>，</w:t>
      </w:r>
      <m:oMath>
        <m:r>
          <m:rPr/>
          <m:t>λ</m:t>
        </m:r>
      </m:oMath>
      <w:r>
        <w:t xml:space="preserve"> 用于控制 </w:t>
      </w:r>
      <m:oMath>
        <m:sSub>
          <m:sSubPr/>
          <m:e>
            <m:r>
              <m:rPr/>
              <m:t>L</m:t>
            </m:r>
          </m:e>
          <m:sub>
            <m:r>
              <m:rPr/>
              <m:t>s</m:t>
            </m:r>
          </m:sub>
        </m:sSub>
      </m:oMath>
      <w:r>
        <w:t xml:space="preserve"> 和 </w:t>
      </w:r>
      <m:oMath>
        <m:sSub>
          <m:sSubPr/>
          <m:e>
            <m:r>
              <m:rPr/>
              <m:t>L</m:t>
            </m:r>
          </m:e>
          <m:sub>
            <m:r>
              <m:rPr/>
              <m:t>u</m:t>
            </m:r>
          </m:sub>
        </m:sSub>
      </m:oMath>
      <w:r>
        <w:t xml:space="preserve"> 之间的比重。由于 </w:t>
      </w:r>
      <m:oMath>
        <m:sSub>
          <m:sSubPr/>
          <m:e>
            <m:r>
              <m:rPr/>
              <m:t>L</m:t>
            </m:r>
          </m:e>
          <m:sub>
            <m:r>
              <m:rPr/>
              <m:t>s</m:t>
            </m:r>
          </m:sub>
        </m:sSub>
      </m:oMath>
      <w:r>
        <w:t xml:space="preserve"> 可以获得图像和标签之间的精确关系。因此，在干净数据池 </w:t>
      </w:r>
      <m:oMath>
        <m:sSub>
          <m:sSubPr/>
          <m:e>
            <m:r>
              <m:rPr/>
              <m:t>D</m:t>
            </m:r>
          </m:e>
          <m:sub>
            <m:r>
              <m:rPr/>
              <m:t>C</m:t>
            </m:r>
          </m:sub>
        </m:sSub>
      </m:oMath>
      <w:r>
        <w:t xml:space="preserve"> 中确保尽可能多的干净样本和尽可能少的中毒样本是至关重要的。</w:t>
      </w:r>
    </w:p>
    <w:p>
      <w:pPr>
        <w:pStyle w:val="3"/>
      </w:pPr>
    </w:p>
    <w:bookmarkEnd w:id="4"/>
    <w:p>
      <w:pPr>
        <w:pStyle w:val="6"/>
      </w:pPr>
      <w:bookmarkStart w:id="5" w:name="实现步骤"/>
      <w:r>
        <w:t>实现步骤</w:t>
      </w:r>
    </w:p>
    <w:p>
      <w:pPr>
        <w:pStyle w:val="25"/>
        <w:rPr>
          <w:rFonts w:hint="eastAsia" w:eastAsia="宋体"/>
          <w:lang w:eastAsia="zh-CN"/>
        </w:rPr>
      </w:pPr>
      <w:r>
        <w:t xml:space="preserve">总体而言，ASD 包含三个阶段，（1）几个固定的干净种子样本初始化 </w:t>
      </w:r>
      <m:oMath>
        <m:sSub>
          <m:sSubPr/>
          <m:e>
            <m:r>
              <m:rPr/>
              <m:t>D</m:t>
            </m:r>
          </m:e>
          <m:sub>
            <m:r>
              <m:rPr/>
              <m:t>C</m:t>
            </m:r>
          </m:sub>
        </m:sSub>
      </m:oMath>
      <w:r>
        <w:t xml:space="preserve">，用整个中毒数据集 </w:t>
      </w:r>
      <m:oMath>
        <m:r>
          <m:rPr/>
          <m:t>D</m:t>
        </m:r>
      </m:oMath>
      <w:r>
        <w:t xml:space="preserve"> 初始化 </w:t>
      </w:r>
      <m:oMath>
        <m:sSub>
          <m:sSubPr/>
          <m:e>
            <m:r>
              <m:rPr/>
              <m:t>D</m:t>
            </m:r>
          </m:e>
          <m:sub>
            <m:r>
              <m:rPr/>
              <m:t>P</m:t>
            </m:r>
          </m:sub>
        </m:sSub>
      </m:oMath>
      <w:r>
        <w:t xml:space="preserve">。通过包含类标签的损失函数引导分裂来执行预训练并更新 </w:t>
      </w:r>
      <m:oMath>
        <m:sSub>
          <m:sSubPr/>
          <m:e>
            <m:r>
              <m:rPr/>
              <m:t>D</m:t>
            </m:r>
          </m:e>
          <m:sub>
            <m:r>
              <m:rPr/>
              <m:t>C</m:t>
            </m:r>
          </m:sub>
        </m:sSub>
      </m:oMath>
      <w:r>
        <w:t xml:space="preserve">。（2） 然后，在整个数据集 </w:t>
      </w:r>
      <m:oMath>
        <m:r>
          <m:rPr/>
          <m:t>D</m:t>
        </m:r>
      </m:oMath>
      <w:r>
        <w:t xml:space="preserve"> 上采用不包含类标签的损失引导分裂，并补充 </w:t>
      </w:r>
      <m:oMath>
        <m:sSub>
          <m:sSubPr/>
          <m:e>
            <m:r>
              <m:rPr/>
              <m:t>D</m:t>
            </m:r>
          </m:e>
          <m:sub>
            <m:r>
              <m:rPr/>
              <m:t>C</m:t>
            </m:r>
          </m:sub>
        </m:sSub>
      </m:oMath>
      <w:r>
        <w:t xml:space="preserve"> 以加快防御过程。（3）采用元分割方法，即</w:t>
      </w:r>
      <w:r>
        <w:rPr>
          <w:rFonts w:hint="eastAsia" w:eastAsia="宋体"/>
          <w:lang w:val="en-US" w:eastAsia="zh-CN"/>
        </w:rPr>
        <w:t xml:space="preserve">在当前模型 </w:t>
      </w:r>
      <m:oMath>
        <m:sSub>
          <m:sSubPr/>
          <m:e>
            <m:r>
              <m:rPr/>
              <m:t>f</m:t>
            </m:r>
          </m:e>
          <m:sub>
            <m:r>
              <m:rPr/>
              <m:t>θ</m:t>
            </m:r>
          </m:sub>
        </m:sSub>
      </m:oMath>
      <w:r>
        <w:rPr>
          <w:rFonts w:hint="eastAsia" w:eastAsia="宋体"/>
          <w:i w:val="0"/>
          <w:lang w:val="en-US" w:eastAsia="zh-CN"/>
        </w:rPr>
        <w:t xml:space="preserve"> 的基础上构造</w:t>
      </w:r>
      <w:r>
        <w:t xml:space="preserve">一个虚拟模型 </w:t>
      </w:r>
      <m:oMath>
        <m:sSub>
          <m:sSubPr/>
          <m:e>
            <m:r>
              <m:rPr/>
              <m:t>f</m:t>
            </m:r>
          </m:e>
          <m:sub>
            <m:sSup>
              <m:sSupPr/>
              <m:e>
                <m:r>
                  <m:rPr/>
                  <m:t>θ</m:t>
                </m:r>
              </m:e>
              <m:sup>
                <m:r>
                  <m:rPr>
                    <m:sty m:val="p"/>
                  </m:rPr>
                  <m:t>′</m:t>
                </m:r>
              </m:sup>
            </m:sSup>
          </m:sub>
        </m:sSub>
      </m:oMath>
      <w:r>
        <w:t xml:space="preserve"> </w:t>
      </w:r>
      <w:r>
        <w:rPr>
          <w:rFonts w:hint="eastAsia" w:eastAsia="宋体"/>
          <w:lang w:eastAsia="zh-CN"/>
        </w:rPr>
        <w:t>，</w:t>
      </w:r>
      <w:r>
        <w:rPr>
          <w:rFonts w:hint="eastAsia" w:eastAsia="宋体"/>
          <w:lang w:val="en-US" w:eastAsia="zh-CN"/>
        </w:rPr>
        <w:t xml:space="preserve">对 </w:t>
      </w:r>
      <m:oMath>
        <m:sSub>
          <m:sSubPr/>
          <m:e>
            <m:r>
              <m:rPr/>
              <m:t>f</m:t>
            </m:r>
          </m:e>
          <m:sub>
            <m:sSup>
              <m:sSupPr/>
              <m:e>
                <m:r>
                  <m:rPr/>
                  <m:t>θ</m:t>
                </m:r>
              </m:e>
              <m:sup>
                <m:r>
                  <m:rPr>
                    <m:sty m:val="p"/>
                  </m:rPr>
                  <m:t>′</m:t>
                </m:r>
              </m:sup>
            </m:sSup>
          </m:sub>
        </m:sSub>
      </m:oMath>
      <w:r>
        <w:rPr>
          <w:rFonts w:hint="eastAsia" w:eastAsia="宋体"/>
          <w:i w:val="0"/>
          <w:lang w:val="en-US" w:eastAsia="zh-CN"/>
        </w:rPr>
        <w:t xml:space="preserve"> </w:t>
      </w:r>
      <w:r>
        <w:rPr>
          <w:rFonts w:hint="eastAsia" w:eastAsia="宋体"/>
          <w:lang w:val="en-US" w:eastAsia="zh-CN"/>
        </w:rPr>
        <w:t>使用损失函数优化</w:t>
      </w:r>
      <w:r>
        <w:rPr>
          <w:rFonts w:hint="eastAsia" w:eastAsia="宋体"/>
          <w:i w:val="0"/>
          <w:lang w:val="en-US" w:eastAsia="zh-CN"/>
        </w:rPr>
        <w:t>参数，并用两个模型共同</w:t>
      </w:r>
      <w:r>
        <w:t>引导分割。具体流程如下图</w:t>
      </w:r>
      <w:r>
        <w:rPr>
          <w:rFonts w:hint="eastAsia" w:eastAsia="宋体"/>
          <w:lang w:eastAsia="zh-CN"/>
        </w:rPr>
        <w:t>：</w:t>
      </w:r>
    </w:p>
    <w:p>
      <w:pPr>
        <w:pStyle w:val="3"/>
      </w:pPr>
      <w:bookmarkStart w:id="6" w:name="_GoBack"/>
      <w:bookmarkEnd w:id="6"/>
      <w:r>
        <w:drawing>
          <wp:anchor distT="0" distB="0" distL="114300" distR="114300" simplePos="0" relativeHeight="251661312" behindDoc="0" locked="0" layoutInCell="1" allowOverlap="1">
            <wp:simplePos x="0" y="0"/>
            <wp:positionH relativeFrom="column">
              <wp:posOffset>106680</wp:posOffset>
            </wp:positionH>
            <wp:positionV relativeFrom="page">
              <wp:posOffset>1045210</wp:posOffset>
            </wp:positionV>
            <wp:extent cx="5334000" cy="3268345"/>
            <wp:effectExtent l="0" t="0" r="0" b="0"/>
            <wp:wrapTopAndBottom/>
            <wp:docPr id="31" name="Picture" descr="images/Pasted image 2023051106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images/Pasted image 20230511060333.png"/>
                    <pic:cNvPicPr>
                      <a:picLocks noChangeAspect="1" noChangeArrowheads="1"/>
                    </pic:cNvPicPr>
                  </pic:nvPicPr>
                  <pic:blipFill>
                    <a:blip r:embed="rId7"/>
                    <a:stretch>
                      <a:fillRect/>
                    </a:stretch>
                  </pic:blipFill>
                  <pic:spPr>
                    <a:xfrm>
                      <a:off x="0" y="0"/>
                      <a:ext cx="5334000" cy="3268634"/>
                    </a:xfrm>
                    <a:prstGeom prst="rect">
                      <a:avLst/>
                    </a:prstGeom>
                    <a:noFill/>
                    <a:ln w="9525">
                      <a:noFill/>
                    </a:ln>
                  </pic:spPr>
                </pic:pic>
              </a:graphicData>
            </a:graphic>
          </wp:anchor>
        </w:drawing>
      </w:r>
    </w:p>
    <w:p>
      <w:pPr>
        <w:pStyle w:val="3"/>
      </w:pPr>
      <w:r>
        <w:rPr>
          <w:b/>
          <w:bCs/>
        </w:rPr>
        <w:t>阶段一：监督式分割</w:t>
      </w:r>
      <w:r>
        <w:br w:type="textWrapping"/>
      </w:r>
      <w:r>
        <w:t xml:space="preserve">使用干净的种子样本对 </w:t>
      </w:r>
      <m:oMath>
        <m:sSub>
          <m:sSubPr/>
          <m:e>
            <m:r>
              <m:rPr/>
              <m:t>D</m:t>
            </m:r>
          </m:e>
          <m:sub>
            <m:r>
              <m:rPr/>
              <m:t>C</m:t>
            </m:r>
          </m:sub>
        </m:sSub>
      </m:oMath>
      <w:r>
        <w:t xml:space="preserve"> 初始化，并用所有中毒的训练数据初始化 </w:t>
      </w:r>
      <m:oMath>
        <m:sSub>
          <m:sSubPr/>
          <m:e>
            <m:r>
              <m:rPr/>
              <m:t>D</m:t>
            </m:r>
          </m:e>
          <m:sub>
            <m:r>
              <m:rPr/>
              <m:t>P</m:t>
            </m:r>
          </m:sub>
        </m:sSub>
      </m:oMath>
      <w:r>
        <w:t xml:space="preserve">。接下来，给定一个考虑类标签的损失函数 </w:t>
      </w:r>
      <m:oMath>
        <m:sSub>
          <m:sSubPr/>
          <m:e>
            <m:r>
              <m:rPr/>
              <m:t>L</m:t>
            </m:r>
          </m:e>
          <m:sub>
            <m:r>
              <m:rPr/>
              <m:t>1</m:t>
            </m:r>
          </m:sub>
        </m:sSub>
        <m:d>
          <m:dPr>
            <m:sepChr m:val=""/>
          </m:dPr>
          <m:e>
            <m:r>
              <m:rPr>
                <m:sty m:val="p"/>
              </m:rPr>
              <m:t>⋅</m:t>
            </m:r>
          </m:e>
        </m:d>
      </m:oMath>
      <w:r>
        <w:t xml:space="preserve">， 用 </w:t>
      </w:r>
      <m:oMath>
        <m:sSub>
          <m:sSubPr/>
          <m:e>
            <m:r>
              <m:rPr/>
              <m:t>L</m:t>
            </m:r>
          </m:e>
          <m:sub>
            <m:r>
              <m:rPr/>
              <m:t>1</m:t>
            </m:r>
          </m:sub>
        </m:sSub>
        <m:d>
          <m:dPr>
            <m:sepChr m:val=""/>
          </m:dPr>
          <m:e>
            <m:sSub>
              <m:sSubPr/>
              <m:e>
                <m:r>
                  <m:rPr/>
                  <m:t>f</m:t>
                </m:r>
              </m:e>
              <m:sub>
                <m:r>
                  <m:rPr/>
                  <m:t>θ</m:t>
                </m:r>
              </m:sub>
            </m:sSub>
          </m:e>
        </m:d>
      </m:oMath>
      <w:r>
        <w:t xml:space="preserve"> 最低的样本补充 </w:t>
      </w:r>
      <m:oMath>
        <m:sSub>
          <m:sSubPr/>
          <m:e>
            <m:r>
              <m:rPr/>
              <m:t>D</m:t>
            </m:r>
          </m:e>
          <m:sub>
            <m:r>
              <m:rPr/>
              <m:t>C</m:t>
            </m:r>
          </m:sub>
        </m:sSub>
      </m:oMath>
      <w:r>
        <w:t xml:space="preserve">，补充的数量是一定的，即在每个类别中每 </w:t>
      </w:r>
      <m:oMath>
        <m:r>
          <m:rPr/>
          <m:t>t</m:t>
        </m:r>
      </m:oMath>
      <w:r>
        <w:t xml:space="preserve"> 个时期增加 </w:t>
      </w:r>
      <m:oMath>
        <m:r>
          <m:rPr/>
          <m:t>n</m:t>
        </m:r>
      </m:oMath>
      <w:r>
        <w:t xml:space="preserve"> 个 </w:t>
      </w:r>
      <m:oMath>
        <m:sSub>
          <m:sSubPr/>
          <m:e>
            <m:r>
              <m:rPr/>
              <m:t>L</m:t>
            </m:r>
          </m:e>
          <m:sub>
            <m:r>
              <m:rPr/>
              <m:t>1</m:t>
            </m:r>
          </m:sub>
        </m:sSub>
        <m:d>
          <m:dPr>
            <m:sepChr m:val=""/>
          </m:dPr>
          <m:e>
            <m:sSub>
              <m:sSubPr/>
              <m:e>
                <m:r>
                  <m:rPr/>
                  <m:t>f</m:t>
                </m:r>
              </m:e>
              <m:sub>
                <m:r>
                  <m:rPr/>
                  <m:t>θ</m:t>
                </m:r>
              </m:sub>
            </m:sSub>
          </m:e>
        </m:d>
      </m:oMath>
      <w:r>
        <w:t xml:space="preserve"> 最低的样本。</w:t>
      </w:r>
      <m:oMath>
        <m:sSub>
          <m:sSubPr/>
          <m:e>
            <m:r>
              <m:rPr/>
              <m:t>D</m:t>
            </m:r>
          </m:e>
          <m:sub>
            <m:r>
              <m:rPr/>
              <m:t>P</m:t>
            </m:r>
          </m:sub>
        </m:sSub>
      </m:oMath>
      <w:r>
        <w:t xml:space="preserve"> 由剩余样本组成。</w:t>
      </w:r>
    </w:p>
    <w:p>
      <w:pPr>
        <w:pStyle w:val="3"/>
      </w:pPr>
      <w:r>
        <w:rPr>
          <w:b/>
          <w:bCs/>
        </w:rPr>
        <w:t>阶段二：无监督式分割</w:t>
      </w:r>
      <w:r>
        <w:br w:type="textWrapping"/>
      </w:r>
      <w:r>
        <w:t xml:space="preserve">进一步扩大 </w:t>
      </w:r>
      <m:oMath>
        <m:d>
          <m:dPr>
            <m:begChr m:val="|"/>
            <m:sepChr m:val=""/>
            <m:endChr m:val="|"/>
          </m:dPr>
          <m:e>
            <m:sSub>
              <m:sSubPr/>
              <m:e>
                <m:r>
                  <m:rPr/>
                  <m:t>D</m:t>
                </m:r>
              </m:e>
              <m:sub>
                <m:r>
                  <m:rPr/>
                  <m:t>C</m:t>
                </m:r>
              </m:sub>
            </m:sSub>
          </m:e>
        </m:d>
      </m:oMath>
      <w:r>
        <w:t xml:space="preserve">，直接将整个数据集中 </w:t>
      </w:r>
      <m:oMath>
        <m:sSub>
          <m:sSubPr/>
          <m:e>
            <m:r>
              <m:rPr/>
              <m:t>L</m:t>
            </m:r>
          </m:e>
          <m:sub>
            <m:r>
              <m:rPr/>
              <m:t>1</m:t>
            </m:r>
          </m:sub>
        </m:sSub>
        <m:d>
          <m:dPr>
            <m:sepChr m:val=""/>
          </m:dPr>
          <m:e>
            <m:r>
              <m:rPr>
                <m:sty m:val="p"/>
              </m:rPr>
              <m:t>⋅</m:t>
            </m:r>
          </m:e>
        </m:d>
      </m:oMath>
      <w:r>
        <w:t xml:space="preserve"> 损失最低的 </w:t>
      </w:r>
      <m:oMath>
        <m:r>
          <m:rPr/>
          <m:t>α</m:t>
        </m:r>
        <m:r>
          <m:rPr>
            <m:sty m:val="p"/>
          </m:rPr>
          <m:t>%</m:t>
        </m:r>
      </m:oMath>
      <w:r>
        <w:t xml:space="preserve"> 样本添加到 </w:t>
      </w:r>
      <m:oMath>
        <m:sSub>
          <m:sSubPr/>
          <m:e>
            <m:r>
              <m:rPr/>
              <m:t>D</m:t>
            </m:r>
          </m:e>
          <m:sub>
            <m:r>
              <m:rPr/>
              <m:t>C</m:t>
            </m:r>
          </m:sub>
        </m:sSub>
      </m:oMath>
      <w:r>
        <w:t xml:space="preserve"> 中，剩余样本用作 </w:t>
      </w:r>
      <m:oMath>
        <m:sSub>
          <m:sSubPr/>
          <m:e>
            <m:r>
              <m:rPr/>
              <m:t>D</m:t>
            </m:r>
          </m:e>
          <m:sub>
            <m:r>
              <m:rPr/>
              <m:t>P</m:t>
            </m:r>
          </m:sub>
        </m:sSub>
      </m:oMath>
      <w:r>
        <w:t>。</w:t>
      </w:r>
    </w:p>
    <w:p>
      <w:pPr>
        <w:pStyle w:val="3"/>
      </w:pPr>
      <w:r>
        <w:rPr>
          <w:b/>
          <w:bCs/>
        </w:rPr>
        <w:t>阶段三：元分割</w:t>
      </w:r>
      <w:r>
        <w:br w:type="textWrapping"/>
      </w:r>
      <w:r>
        <w:t xml:space="preserve">记进入第三阶的模型为 </w:t>
      </w:r>
      <m:oMath>
        <m:sSub>
          <m:sSubPr/>
          <m:e>
            <m:r>
              <m:rPr/>
              <m:t>f</m:t>
            </m:r>
          </m:e>
          <m:sub>
            <m:r>
              <m:rPr/>
              <m:t>θ</m:t>
            </m:r>
          </m:sub>
        </m:sSub>
      </m:oMath>
      <w:r>
        <w:t xml:space="preserve">，创建一个新的“虚拟模型” </w:t>
      </w:r>
      <m:oMath>
        <m:sSub>
          <m:sSubPr/>
          <m:e>
            <m:r>
              <m:rPr/>
              <m:t>f</m:t>
            </m:r>
          </m:e>
          <m:sub>
            <m:sSup>
              <m:sSupPr/>
              <m:e>
                <m:r>
                  <m:rPr/>
                  <m:t>θ</m:t>
                </m:r>
              </m:e>
              <m:sup>
                <m:r>
                  <m:rPr>
                    <m:sty m:val="p"/>
                  </m:rPr>
                  <m:t>′</m:t>
                </m:r>
              </m:sup>
            </m:sSup>
          </m:sub>
        </m:sSub>
      </m:oMath>
      <w:r>
        <w:t xml:space="preserve">，其参数设置与 </w:t>
      </w:r>
      <m:oMath>
        <m:sSub>
          <m:sSubPr/>
          <m:e>
            <m:r>
              <m:rPr/>
              <m:t>f</m:t>
            </m:r>
          </m:e>
          <m:sub>
            <m:r>
              <m:rPr/>
              <m:t>θ</m:t>
            </m:r>
          </m:sub>
        </m:sSub>
      </m:oMath>
      <w:r>
        <w:t xml:space="preserve"> 一致，但参数的值会通过损失函数 </w:t>
      </w:r>
      <m:oMath>
        <m:r>
          <m:rPr/>
          <m:t>L2</m:t>
        </m:r>
        <m:d>
          <m:dPr>
            <m:sepChr m:val=""/>
          </m:dPr>
          <m:e>
            <m:r>
              <m:rPr>
                <m:sty m:val="p"/>
              </m:rPr>
              <m:t>⋅</m:t>
            </m:r>
          </m:e>
        </m:d>
      </m:oMath>
      <w:r>
        <w:t xml:space="preserve"> 在整个数据集 </w:t>
      </w:r>
      <m:oMath>
        <m:r>
          <m:rPr/>
          <m:t>D</m:t>
        </m:r>
      </m:oMath>
      <w:r>
        <w:t xml:space="preserve"> 上更新，学习率为 </w:t>
      </w:r>
      <m:oMath>
        <m:r>
          <m:rPr/>
          <m:t>β</m:t>
        </m:r>
      </m:oMath>
      <w:r>
        <w:t>，具体公式为：</w:t>
      </w:r>
    </w:p>
    <w:p>
      <w:pPr>
        <w:pStyle w:val="3"/>
        <w:rPr>
          <w:i/>
        </w:rPr>
      </w:pPr>
      <m:oMathPara>
        <m:oMathParaPr>
          <m:jc m:val="center"/>
        </m:oMathParaPr>
        <m:oMath>
          <m:sSup>
            <m:sSupPr/>
            <m:e>
              <m:r>
                <m:rPr/>
                <m:t>θ</m:t>
              </m:r>
            </m:e>
            <m:sup>
              <m:r>
                <m:rPr>
                  <m:sty m:val="p"/>
                </m:rPr>
                <m:t>′</m:t>
              </m:r>
            </m:sup>
          </m:sSup>
          <m:r>
            <m:rPr>
              <m:sty m:val="p"/>
            </m:rPr>
            <m:t>←</m:t>
          </m:r>
          <m:r>
            <m:rPr/>
            <m:t>θ</m:t>
          </m:r>
        </m:oMath>
      </m:oMathPara>
    </w:p>
    <w:p>
      <w:pPr>
        <w:pStyle w:val="3"/>
      </w:pPr>
      <m:oMathPara>
        <m:oMathParaPr>
          <m:jc m:val="center"/>
        </m:oMathParaPr>
        <m:oMath>
          <m:sSup>
            <m:sSupPr/>
            <m:e>
              <m:r>
                <m:rPr/>
                <m:t>θ</m:t>
              </m:r>
            </m:e>
            <m:sup>
              <m:r>
                <m:rPr>
                  <m:sty m:val="p"/>
                </m:rPr>
                <m:t>′</m:t>
              </m:r>
            </m:sup>
          </m:sSup>
          <m:r>
            <m:rPr>
              <m:sty m:val="p"/>
            </m:rPr>
            <m:t>←</m:t>
          </m:r>
          <m:r>
            <m:rPr/>
            <m:t>θ</m:t>
          </m:r>
          <m:r>
            <m:rPr>
              <m:sty m:val="p"/>
            </m:rPr>
            <m:t>−</m:t>
          </m:r>
          <m:r>
            <m:rPr/>
            <m:t>β</m:t>
          </m:r>
          <m:sSub>
            <m:sSubPr/>
            <m:e>
              <m:r>
                <m:rPr>
                  <m:sty m:val="p"/>
                </m:rPr>
                <m:t>∇</m:t>
              </m:r>
            </m:e>
            <m:sub>
              <m:sSup>
                <m:sSupPr/>
                <m:e>
                  <m:r>
                    <m:rPr/>
                    <m:t>θ</m:t>
                  </m:r>
                </m:e>
                <m:sup>
                  <m:r>
                    <m:rPr>
                      <m:sty m:val="p"/>
                    </m:rPr>
                    <m:t>′</m:t>
                  </m:r>
                </m:sup>
              </m:sSup>
            </m:sub>
          </m:sSub>
          <m:sSub>
            <m:sSubPr/>
            <m:e>
              <m:r>
                <m:rPr/>
                <m:t>L</m:t>
              </m:r>
            </m:e>
            <m:sub>
              <m:r>
                <m:rPr/>
                <m:t>2</m:t>
              </m:r>
            </m:sub>
          </m:sSub>
          <m:d>
            <m:dPr>
              <m:sepChr m:val=""/>
            </m:dPr>
            <m:e>
              <m:sSub>
                <m:sSubPr/>
                <m:e>
                  <m:r>
                    <m:rPr/>
                    <m:t>f</m:t>
                  </m:r>
                </m:e>
                <m:sub>
                  <m:sSup>
                    <m:sSupPr/>
                    <m:e>
                      <m:r>
                        <m:rPr/>
                        <m:t>θ</m:t>
                      </m:r>
                    </m:e>
                    <m:sup>
                      <m:r>
                        <m:rPr>
                          <m:sty m:val="p"/>
                        </m:rPr>
                        <m:t>′</m:t>
                      </m:r>
                    </m:sup>
                  </m:sSup>
                </m:sub>
              </m:sSub>
              <m:d>
                <m:dPr>
                  <m:sepChr m:val=""/>
                </m:dPr>
                <m:e>
                  <m:r>
                    <m:rPr/>
                    <m:t>x</m:t>
                  </m:r>
                </m:e>
              </m:d>
              <m:r>
                <m:rPr>
                  <m:sty m:val="p"/>
                </m:rPr>
                <m:t>,</m:t>
              </m:r>
              <m:r>
                <m:rPr/>
                <m:t>y</m:t>
              </m:r>
            </m:e>
          </m:d>
        </m:oMath>
      </m:oMathPara>
    </w:p>
    <w:p>
      <w:pPr>
        <w:pStyle w:val="25"/>
      </w:pPr>
      <w:r>
        <w:t xml:space="preserve">选择损失函数值 </w:t>
      </w:r>
      <m:oMath>
        <m:sSub>
          <m:sSubPr/>
          <m:e>
            <m:r>
              <m:rPr/>
              <m:t>L</m:t>
            </m:r>
          </m:e>
          <m:sub>
            <m:r>
              <m:rPr/>
              <m:t>1</m:t>
            </m:r>
          </m:sub>
        </m:sSub>
        <m:d>
          <m:dPr>
            <m:sepChr m:val=""/>
          </m:dPr>
          <m:e>
            <m:sSub>
              <m:sSubPr/>
              <m:e>
                <m:r>
                  <m:rPr/>
                  <m:t>f</m:t>
                </m:r>
              </m:e>
              <m:sub>
                <m:r>
                  <m:rPr/>
                  <m:t>θ</m:t>
                </m:r>
              </m:sub>
            </m:sSub>
          </m:e>
        </m:d>
        <m:r>
          <m:rPr>
            <m:sty m:val="p"/>
          </m:rPr>
          <m:t>−</m:t>
        </m:r>
        <m:sSub>
          <m:sSubPr/>
          <m:e>
            <m:r>
              <m:rPr/>
              <m:t>L</m:t>
            </m:r>
          </m:e>
          <m:sub>
            <m:r>
              <m:rPr/>
              <m:t>1</m:t>
            </m:r>
          </m:sub>
        </m:sSub>
        <m:d>
          <m:dPr>
            <m:sepChr m:val=""/>
          </m:dPr>
          <m:e>
            <m:sSub>
              <m:sSubPr/>
              <m:e>
                <m:r>
                  <m:rPr/>
                  <m:t>f</m:t>
                </m:r>
              </m:e>
              <m:sub>
                <m:sSup>
                  <m:sSupPr/>
                  <m:e>
                    <m:r>
                      <m:rPr/>
                      <m:t>θ</m:t>
                    </m:r>
                  </m:e>
                  <m:sup>
                    <m:r>
                      <m:rPr>
                        <m:sty m:val="p"/>
                      </m:rPr>
                      <m:t>′</m:t>
                    </m:r>
                  </m:sup>
                </m:sSup>
              </m:sub>
            </m:sSub>
          </m:e>
        </m:d>
      </m:oMath>
      <w:r>
        <w:t xml:space="preserve"> 最小的 </w:t>
      </w:r>
      <m:oMath>
        <m:r>
          <m:rPr/>
          <m:t>γ</m:t>
        </m:r>
        <m:r>
          <m:rPr>
            <m:sty m:val="p"/>
          </m:rPr>
          <m:t>%</m:t>
        </m:r>
      </m:oMath>
      <w:r>
        <w:t xml:space="preserve"> 样品来补充 </w:t>
      </w:r>
      <m:oMath>
        <m:sSub>
          <m:sSubPr/>
          <m:e>
            <m:r>
              <m:rPr/>
              <m:t>D</m:t>
            </m:r>
          </m:e>
          <m:sub>
            <m:r>
              <m:rPr/>
              <m:t>C</m:t>
            </m:r>
          </m:sub>
        </m:sSub>
      </m:oMath>
      <w:r>
        <w:t xml:space="preserve">，其余样品用作 </w:t>
      </w:r>
      <m:oMath>
        <m:sSub>
          <m:sSubPr/>
          <m:e>
            <m:r>
              <m:rPr/>
              <m:t>D</m:t>
            </m:r>
          </m:e>
          <m:sub>
            <m:r>
              <m:rPr/>
              <m:t>P</m:t>
            </m:r>
          </m:sub>
        </m:sSub>
      </m:oMath>
    </w:p>
    <w:p>
      <w:pPr>
        <w:pStyle w:val="3"/>
      </w:pPr>
      <w:r>
        <w:rPr>
          <w:b/>
          <w:bCs/>
        </w:rPr>
        <w:t>训练</w:t>
      </w:r>
      <w:r>
        <w:br w:type="textWrapping"/>
      </w:r>
      <w:r>
        <w:t xml:space="preserve">经过上述三个阶段后，中毒样本已经很好得分离开来，接下来对 </w:t>
      </w:r>
      <m:oMath>
        <m:sSub>
          <m:sSubPr/>
          <m:e>
            <m:r>
              <m:rPr/>
              <m:t>D</m:t>
            </m:r>
          </m:e>
          <m:sub>
            <m:r>
              <m:rPr/>
              <m:t>C</m:t>
            </m:r>
          </m:sub>
        </m:sSub>
      </m:oMath>
      <w:r>
        <w:t xml:space="preserve"> 和 </w:t>
      </w:r>
      <m:oMath>
        <m:sSub>
          <m:sSubPr/>
          <m:e>
            <m:r>
              <m:rPr/>
              <m:t>D</m:t>
            </m:r>
          </m:e>
          <m:sub>
            <m:r>
              <m:rPr/>
              <m:t>P</m:t>
            </m:r>
          </m:sub>
        </m:sSub>
      </m:oMath>
      <w:r>
        <w:t xml:space="preserve"> 进行半监督式学习，优化参数 </w:t>
      </w:r>
      <m:oMath>
        <m:r>
          <m:rPr/>
          <m:t>θ</m:t>
        </m:r>
      </m:oMath>
      <w:r>
        <w:t>，最终得到理想模型。</w:t>
      </w:r>
    </w:p>
    <w:bookmarkEnd w:id="3"/>
    <w:bookmarkEnd w:id="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wYjJhYTdmODI2YzliMmE1NzIyNWY0YWYwZDUwNjgifQ=="/>
  </w:docVars>
  <w:rsids>
    <w:rsidRoot w:val="00000000"/>
    <w:rsid w:val="01902730"/>
    <w:rsid w:val="14B546AE"/>
    <w:rsid w:val="16F313F6"/>
    <w:rsid w:val="17C3793D"/>
    <w:rsid w:val="1D1859B3"/>
    <w:rsid w:val="23F549CE"/>
    <w:rsid w:val="2D6A26D9"/>
    <w:rsid w:val="32CA6AA9"/>
    <w:rsid w:val="3B117EE8"/>
    <w:rsid w:val="40A1586A"/>
    <w:rsid w:val="44EB17AA"/>
    <w:rsid w:val="4B4A338D"/>
    <w:rsid w:val="53DC2D24"/>
    <w:rsid w:val="54462559"/>
    <w:rsid w:val="5D4B51E4"/>
    <w:rsid w:val="66DC300A"/>
    <w:rsid w:val="6A70612A"/>
    <w:rsid w:val="7352461E"/>
    <w:rsid w:val="735F6D3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21">
    <w:name w:val="Default Paragraph Font"/>
    <w:semiHidden/>
    <w:unhideWhenUsed/>
    <w:uiPriority w:val="0"/>
  </w:style>
  <w:style w:type="table" w:default="1" w:styleId="20">
    <w:name w:val="Normal Table"/>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9">
    <w:name w:val="footnote text"/>
    <w:basedOn w:val="1"/>
    <w:unhideWhenUsed/>
    <w:qFormat/>
    <w:uiPriority w:val="9"/>
  </w:style>
  <w:style w:type="character" w:styleId="22">
    <w:name w:val="Hyperlink"/>
    <w:basedOn w:val="23"/>
    <w:qFormat/>
    <w:uiPriority w:val="0"/>
    <w:rPr>
      <w:color w:val="4F81BD" w:themeColor="accent1"/>
      <w14:textFill>
        <w14:solidFill>
          <w14:schemeClr w14:val="accent1"/>
        </w14:solidFill>
      </w14:textFill>
    </w:rPr>
  </w:style>
  <w:style w:type="character" w:customStyle="1" w:styleId="23">
    <w:name w:val="Body Text Char"/>
    <w:basedOn w:val="21"/>
    <w:link w:val="3"/>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3"/>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3"/>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2">
    <w:name w:val="KeywordTok"/>
    <w:basedOn w:val="38"/>
    <w:qFormat/>
    <w:uiPriority w:val="0"/>
    <w:rPr>
      <w:b/>
      <w:color w:val="007020"/>
    </w:rPr>
  </w:style>
  <w:style w:type="character" w:customStyle="1" w:styleId="43">
    <w:name w:val="DataTypeTok"/>
    <w:basedOn w:val="38"/>
    <w:qFormat/>
    <w:uiPriority w:val="0"/>
    <w:rPr>
      <w:color w:val="902000"/>
    </w:rPr>
  </w:style>
  <w:style w:type="character" w:customStyle="1" w:styleId="44">
    <w:name w:val="DecValTok"/>
    <w:basedOn w:val="38"/>
    <w:qFormat/>
    <w:uiPriority w:val="0"/>
    <w:rPr>
      <w:color w:val="40A070"/>
    </w:rPr>
  </w:style>
  <w:style w:type="character" w:customStyle="1" w:styleId="45">
    <w:name w:val="BaseNTok"/>
    <w:basedOn w:val="38"/>
    <w:qFormat/>
    <w:uiPriority w:val="0"/>
    <w:rPr>
      <w:color w:val="40A070"/>
    </w:rPr>
  </w:style>
  <w:style w:type="character" w:customStyle="1" w:styleId="46">
    <w:name w:val="FloatTok"/>
    <w:basedOn w:val="38"/>
    <w:qFormat/>
    <w:uiPriority w:val="0"/>
    <w:rPr>
      <w:color w:val="40A070"/>
    </w:rPr>
  </w:style>
  <w:style w:type="character" w:customStyle="1" w:styleId="47">
    <w:name w:val="ConstantTok"/>
    <w:basedOn w:val="38"/>
    <w:qFormat/>
    <w:uiPriority w:val="0"/>
    <w:rPr>
      <w:color w:val="880000"/>
    </w:rPr>
  </w:style>
  <w:style w:type="character" w:customStyle="1" w:styleId="48">
    <w:name w:val="CharTok"/>
    <w:basedOn w:val="38"/>
    <w:qFormat/>
    <w:uiPriority w:val="0"/>
    <w:rPr>
      <w:color w:val="4070A0"/>
    </w:rPr>
  </w:style>
  <w:style w:type="character" w:customStyle="1" w:styleId="49">
    <w:name w:val="SpecialCharTok"/>
    <w:basedOn w:val="38"/>
    <w:qFormat/>
    <w:uiPriority w:val="0"/>
    <w:rPr>
      <w:color w:val="4070A0"/>
    </w:rPr>
  </w:style>
  <w:style w:type="character" w:customStyle="1" w:styleId="50">
    <w:name w:val="StringTok"/>
    <w:basedOn w:val="38"/>
    <w:qFormat/>
    <w:uiPriority w:val="0"/>
    <w:rPr>
      <w:color w:val="4070A0"/>
    </w:rPr>
  </w:style>
  <w:style w:type="character" w:customStyle="1" w:styleId="51">
    <w:name w:val="VerbatimStringTok"/>
    <w:basedOn w:val="38"/>
    <w:qFormat/>
    <w:uiPriority w:val="0"/>
    <w:rPr>
      <w:color w:val="4070A0"/>
    </w:rPr>
  </w:style>
  <w:style w:type="character" w:customStyle="1" w:styleId="52">
    <w:name w:val="SpecialStringTok"/>
    <w:basedOn w:val="38"/>
    <w:qFormat/>
    <w:uiPriority w:val="0"/>
    <w:rPr>
      <w:color w:val="BB6688"/>
    </w:rPr>
  </w:style>
  <w:style w:type="character" w:customStyle="1" w:styleId="53">
    <w:name w:val="ImportTok"/>
    <w:basedOn w:val="38"/>
    <w:qFormat/>
    <w:uiPriority w:val="0"/>
    <w:rPr>
      <w:b/>
      <w:color w:val="008000"/>
    </w:rPr>
  </w:style>
  <w:style w:type="character" w:customStyle="1" w:styleId="54">
    <w:name w:val="CommentTok"/>
    <w:basedOn w:val="38"/>
    <w:qFormat/>
    <w:uiPriority w:val="0"/>
    <w:rPr>
      <w:i/>
      <w:color w:val="60A0B0"/>
    </w:rPr>
  </w:style>
  <w:style w:type="character" w:customStyle="1" w:styleId="55">
    <w:name w:val="DocumentationTok"/>
    <w:basedOn w:val="38"/>
    <w:qFormat/>
    <w:uiPriority w:val="0"/>
    <w:rPr>
      <w:i/>
      <w:color w:val="BA2121"/>
    </w:rPr>
  </w:style>
  <w:style w:type="character" w:customStyle="1" w:styleId="56">
    <w:name w:val="AnnotationTok"/>
    <w:basedOn w:val="38"/>
    <w:qFormat/>
    <w:uiPriority w:val="0"/>
    <w:rPr>
      <w:b/>
      <w:i/>
      <w:color w:val="60A0B0"/>
    </w:rPr>
  </w:style>
  <w:style w:type="character" w:customStyle="1" w:styleId="57">
    <w:name w:val="CommentVarTok"/>
    <w:basedOn w:val="38"/>
    <w:qFormat/>
    <w:uiPriority w:val="0"/>
    <w:rPr>
      <w:b/>
      <w:i/>
      <w:color w:val="60A0B0"/>
    </w:rPr>
  </w:style>
  <w:style w:type="character" w:customStyle="1" w:styleId="58">
    <w:name w:val="OtherTok"/>
    <w:basedOn w:val="38"/>
    <w:qFormat/>
    <w:uiPriority w:val="0"/>
    <w:rPr>
      <w:color w:val="007020"/>
    </w:rPr>
  </w:style>
  <w:style w:type="character" w:customStyle="1" w:styleId="59">
    <w:name w:val="FunctionTok"/>
    <w:basedOn w:val="38"/>
    <w:qFormat/>
    <w:uiPriority w:val="0"/>
    <w:rPr>
      <w:color w:val="06287E"/>
    </w:rPr>
  </w:style>
  <w:style w:type="character" w:customStyle="1" w:styleId="60">
    <w:name w:val="VariableTok"/>
    <w:basedOn w:val="38"/>
    <w:qFormat/>
    <w:uiPriority w:val="0"/>
    <w:rPr>
      <w:color w:val="19177C"/>
    </w:rPr>
  </w:style>
  <w:style w:type="character" w:customStyle="1" w:styleId="61">
    <w:name w:val="ControlFlowTok"/>
    <w:basedOn w:val="38"/>
    <w:qFormat/>
    <w:uiPriority w:val="0"/>
    <w:rPr>
      <w:b/>
      <w:color w:val="007020"/>
    </w:rPr>
  </w:style>
  <w:style w:type="character" w:customStyle="1" w:styleId="62">
    <w:name w:val="OperatorTok"/>
    <w:basedOn w:val="38"/>
    <w:qFormat/>
    <w:uiPriority w:val="0"/>
    <w:rPr>
      <w:color w:val="666666"/>
    </w:rPr>
  </w:style>
  <w:style w:type="character" w:customStyle="1" w:styleId="63">
    <w:name w:val="BuiltInTok"/>
    <w:basedOn w:val="38"/>
    <w:qFormat/>
    <w:uiPriority w:val="0"/>
    <w:rPr>
      <w:color w:val="008000"/>
    </w:rPr>
  </w:style>
  <w:style w:type="character" w:customStyle="1" w:styleId="64">
    <w:name w:val="ExtensionTok"/>
    <w:basedOn w:val="38"/>
    <w:qFormat/>
    <w:uiPriority w:val="0"/>
  </w:style>
  <w:style w:type="character" w:customStyle="1" w:styleId="65">
    <w:name w:val="PreprocessorTok"/>
    <w:basedOn w:val="38"/>
    <w:qFormat/>
    <w:uiPriority w:val="0"/>
    <w:rPr>
      <w:color w:val="BC7A00"/>
    </w:rPr>
  </w:style>
  <w:style w:type="character" w:customStyle="1" w:styleId="66">
    <w:name w:val="AttributeTok"/>
    <w:basedOn w:val="38"/>
    <w:qFormat/>
    <w:uiPriority w:val="0"/>
    <w:rPr>
      <w:color w:val="7D9029"/>
    </w:rPr>
  </w:style>
  <w:style w:type="character" w:customStyle="1" w:styleId="67">
    <w:name w:val="RegionMarkerTok"/>
    <w:basedOn w:val="38"/>
    <w:qFormat/>
    <w:uiPriority w:val="0"/>
  </w:style>
  <w:style w:type="character" w:customStyle="1" w:styleId="68">
    <w:name w:val="InformationTok"/>
    <w:basedOn w:val="38"/>
    <w:qFormat/>
    <w:uiPriority w:val="0"/>
    <w:rPr>
      <w:b/>
      <w:i/>
      <w:color w:val="60A0B0"/>
    </w:rPr>
  </w:style>
  <w:style w:type="character" w:customStyle="1" w:styleId="69">
    <w:name w:val="WarningTok"/>
    <w:basedOn w:val="38"/>
    <w:qFormat/>
    <w:uiPriority w:val="0"/>
    <w:rPr>
      <w:b/>
      <w:i/>
      <w:color w:val="60A0B0"/>
    </w:rPr>
  </w:style>
  <w:style w:type="character" w:customStyle="1" w:styleId="70">
    <w:name w:val="AlertTok"/>
    <w:basedOn w:val="38"/>
    <w:qFormat/>
    <w:uiPriority w:val="0"/>
    <w:rPr>
      <w:b/>
      <w:color w:val="FF0000"/>
    </w:rPr>
  </w:style>
  <w:style w:type="character" w:customStyle="1" w:styleId="71">
    <w:name w:val="ErrorTok"/>
    <w:basedOn w:val="38"/>
    <w:qFormat/>
    <w:uiPriority w:val="0"/>
    <w:rPr>
      <w:b/>
      <w:color w:val="FF0000"/>
    </w:rPr>
  </w:style>
  <w:style w:type="character" w:customStyle="1" w:styleId="72">
    <w:name w:val="NormalTok"/>
    <w:basedOn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2200</Words>
  <Characters>2342</Characters>
  <Lines>12</Lines>
  <Paragraphs>8</Paragraphs>
  <TotalTime>3</TotalTime>
  <ScaleCrop>false</ScaleCrop>
  <LinksUpToDate>false</LinksUpToDate>
  <CharactersWithSpaces>2468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2023-05-11T20:43:00Z</dcterms:created>
  <dc:creator>二维生物</dc:creator>
  <cp:lastModifiedBy>二维生物</cp:lastModifiedBy>
  <dcterms:modified xsi:type="dcterms:W3CDTF">2023-05-11T20:52:57Z</dcterms:modified>
  <dc:title>BackdoorDefenseviaAdaptivelySplittingPoisonedDataset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9DB81A72804546DCB5EAB01E0AFC63FC_13</vt:lpwstr>
  </property>
</Properties>
</file>