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5FC4E"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normaltextrun"/>
          <w:rFonts w:eastAsiaTheme="majorEastAsia"/>
          <w:color w:val="333333"/>
          <w:sz w:val="28"/>
          <w:szCs w:val="28"/>
          <w:lang w:val="en"/>
        </w:rPr>
        <w:t>SCRI Grant Application</w:t>
      </w:r>
    </w:p>
    <w:p w14:paraId="342D223E"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eop"/>
          <w:rFonts w:eastAsiaTheme="majorEastAsia"/>
          <w:color w:val="333333"/>
        </w:rPr>
        <w:t> </w:t>
      </w:r>
    </w:p>
    <w:p w14:paraId="42877034"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normaltextrun"/>
          <w:rFonts w:eastAsiaTheme="majorEastAsia"/>
          <w:color w:val="333333"/>
          <w:lang w:val="en"/>
        </w:rPr>
        <w:t>July 24, 2024</w:t>
      </w:r>
      <w:r w:rsidRPr="00A70DE1">
        <w:rPr>
          <w:rStyle w:val="eop"/>
          <w:rFonts w:eastAsiaTheme="majorEastAsia"/>
          <w:color w:val="333333"/>
        </w:rPr>
        <w:t> </w:t>
      </w:r>
    </w:p>
    <w:p w14:paraId="60E83FE6"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eop"/>
          <w:rFonts w:eastAsiaTheme="majorEastAsia"/>
          <w:color w:val="333333"/>
        </w:rPr>
        <w:t> </w:t>
      </w:r>
    </w:p>
    <w:p w14:paraId="48E83F8F"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normaltextrun"/>
          <w:rFonts w:eastAsiaTheme="majorEastAsia"/>
          <w:color w:val="333333"/>
          <w:lang w:val="en"/>
        </w:rPr>
        <w:t>Courtney F Cooper</w:t>
      </w:r>
    </w:p>
    <w:p w14:paraId="10DB2519"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normaltextrun"/>
          <w:rFonts w:eastAsiaTheme="majorEastAsia"/>
          <w:color w:val="333333"/>
          <w:lang w:val="en"/>
        </w:rPr>
        <w:t>Environmental Dynamics</w:t>
      </w:r>
      <w:r w:rsidRPr="00A70DE1">
        <w:rPr>
          <w:rStyle w:val="eop"/>
          <w:rFonts w:eastAsiaTheme="majorEastAsia"/>
          <w:color w:val="333333"/>
        </w:rPr>
        <w:t> </w:t>
      </w:r>
    </w:p>
    <w:p w14:paraId="422AE2E2"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normaltextrun"/>
          <w:rFonts w:eastAsiaTheme="majorEastAsia"/>
          <w:color w:val="333333"/>
          <w:lang w:val="en"/>
        </w:rPr>
        <w:t>University of Arkansas - Fayetteville</w:t>
      </w:r>
      <w:r w:rsidRPr="00A70DE1">
        <w:rPr>
          <w:rStyle w:val="eop"/>
          <w:rFonts w:eastAsiaTheme="majorEastAsia"/>
          <w:color w:val="333333"/>
        </w:rPr>
        <w:t> </w:t>
      </w:r>
    </w:p>
    <w:p w14:paraId="024ED7CA" w14:textId="77777777" w:rsidR="000536D4" w:rsidRPr="00A70DE1" w:rsidRDefault="000536D4" w:rsidP="00C7236B">
      <w:pPr>
        <w:pStyle w:val="paragraph"/>
        <w:shd w:val="clear" w:color="auto" w:fill="FFFFFF"/>
        <w:spacing w:before="0" w:beforeAutospacing="0" w:after="0" w:afterAutospacing="0" w:line="360" w:lineRule="auto"/>
        <w:jc w:val="center"/>
        <w:textAlignment w:val="baseline"/>
        <w:rPr>
          <w:sz w:val="18"/>
          <w:szCs w:val="18"/>
        </w:rPr>
      </w:pPr>
      <w:r w:rsidRPr="00A70DE1">
        <w:rPr>
          <w:rStyle w:val="eop"/>
          <w:rFonts w:eastAsiaTheme="majorEastAsia"/>
          <w:color w:val="333333"/>
        </w:rPr>
        <w:t> </w:t>
      </w:r>
    </w:p>
    <w:p w14:paraId="4059BB76" w14:textId="77777777" w:rsidR="000536D4" w:rsidRPr="00A70DE1" w:rsidRDefault="000536D4" w:rsidP="00C7236B">
      <w:pPr>
        <w:spacing w:line="360" w:lineRule="auto"/>
        <w:rPr>
          <w:rStyle w:val="normaltextrun"/>
          <w:rFonts w:ascii="Times New Roman" w:eastAsiaTheme="majorEastAsia" w:hAnsi="Times New Roman" w:cs="Times New Roman"/>
          <w:b/>
          <w:bCs/>
          <w:kern w:val="0"/>
          <w:sz w:val="24"/>
          <w:szCs w:val="24"/>
          <w:lang w:val="en"/>
          <w14:ligatures w14:val="none"/>
        </w:rPr>
      </w:pPr>
    </w:p>
    <w:sdt>
      <w:sdtPr>
        <w:rPr>
          <w:rFonts w:ascii="Times New Roman" w:eastAsiaTheme="minorHAnsi" w:hAnsi="Times New Roman" w:cs="Times New Roman"/>
          <w:color w:val="auto"/>
          <w:kern w:val="2"/>
          <w:sz w:val="22"/>
          <w:szCs w:val="22"/>
          <w14:ligatures w14:val="standardContextual"/>
        </w:rPr>
        <w:id w:val="1075311570"/>
        <w:docPartObj>
          <w:docPartGallery w:val="Table of Contents"/>
          <w:docPartUnique/>
        </w:docPartObj>
      </w:sdtPr>
      <w:sdtEndPr/>
      <w:sdtContent>
        <w:p w14:paraId="4D796580" w14:textId="77777777" w:rsidR="000536D4" w:rsidRPr="00A70DE1" w:rsidRDefault="000536D4" w:rsidP="00C7236B">
          <w:pPr>
            <w:pStyle w:val="TOCHeading"/>
            <w:spacing w:line="360" w:lineRule="auto"/>
            <w:rPr>
              <w:rFonts w:ascii="Times New Roman" w:hAnsi="Times New Roman" w:cs="Times New Roman"/>
            </w:rPr>
          </w:pPr>
          <w:r w:rsidRPr="00A70DE1">
            <w:rPr>
              <w:rFonts w:ascii="Times New Roman" w:hAnsi="Times New Roman" w:cs="Times New Roman"/>
            </w:rPr>
            <w:t>Table of Contents</w:t>
          </w:r>
        </w:p>
        <w:p w14:paraId="3A74ABFD" w14:textId="53B3C224" w:rsidR="007A62E8" w:rsidRDefault="000536D4">
          <w:pPr>
            <w:pStyle w:val="TOC1"/>
            <w:tabs>
              <w:tab w:val="right" w:leader="dot" w:pos="10070"/>
            </w:tabs>
            <w:rPr>
              <w:rFonts w:eastAsiaTheme="minorEastAsia"/>
              <w:noProof/>
              <w:sz w:val="24"/>
              <w:szCs w:val="24"/>
            </w:rPr>
          </w:pPr>
          <w:r w:rsidRPr="00A70DE1">
            <w:rPr>
              <w:rFonts w:ascii="Times New Roman" w:hAnsi="Times New Roman" w:cs="Times New Roman"/>
            </w:rPr>
            <w:fldChar w:fldCharType="begin"/>
          </w:r>
          <w:r w:rsidRPr="00A70DE1">
            <w:rPr>
              <w:rFonts w:ascii="Times New Roman" w:hAnsi="Times New Roman" w:cs="Times New Roman"/>
            </w:rPr>
            <w:instrText>TOC \o "1-3" \z \u \h</w:instrText>
          </w:r>
          <w:r w:rsidRPr="00A70DE1">
            <w:rPr>
              <w:rFonts w:ascii="Times New Roman" w:hAnsi="Times New Roman" w:cs="Times New Roman"/>
            </w:rPr>
            <w:fldChar w:fldCharType="separate"/>
          </w:r>
          <w:hyperlink w:anchor="_Toc172283618" w:history="1">
            <w:r w:rsidR="007A62E8" w:rsidRPr="001261DC">
              <w:rPr>
                <w:rStyle w:val="Hyperlink"/>
                <w:rFonts w:ascii="Times New Roman" w:hAnsi="Times New Roman" w:cs="Times New Roman"/>
                <w:b/>
                <w:bCs/>
                <w:noProof/>
              </w:rPr>
              <w:t>Executive Summary</w:t>
            </w:r>
            <w:r w:rsidR="007A62E8">
              <w:rPr>
                <w:noProof/>
                <w:webHidden/>
              </w:rPr>
              <w:tab/>
            </w:r>
            <w:r w:rsidR="007A62E8">
              <w:rPr>
                <w:noProof/>
                <w:webHidden/>
              </w:rPr>
              <w:fldChar w:fldCharType="begin"/>
            </w:r>
            <w:r w:rsidR="007A62E8">
              <w:rPr>
                <w:noProof/>
                <w:webHidden/>
              </w:rPr>
              <w:instrText xml:space="preserve"> PAGEREF _Toc172283618 \h </w:instrText>
            </w:r>
            <w:r w:rsidR="007A62E8">
              <w:rPr>
                <w:noProof/>
                <w:webHidden/>
              </w:rPr>
            </w:r>
            <w:r w:rsidR="007A62E8">
              <w:rPr>
                <w:noProof/>
                <w:webHidden/>
              </w:rPr>
              <w:fldChar w:fldCharType="separate"/>
            </w:r>
            <w:r w:rsidR="007A62E8">
              <w:rPr>
                <w:noProof/>
                <w:webHidden/>
              </w:rPr>
              <w:t>2</w:t>
            </w:r>
            <w:r w:rsidR="007A62E8">
              <w:rPr>
                <w:noProof/>
                <w:webHidden/>
              </w:rPr>
              <w:fldChar w:fldCharType="end"/>
            </w:r>
          </w:hyperlink>
        </w:p>
        <w:p w14:paraId="28F6CE4C" w14:textId="529F5844" w:rsidR="007A62E8" w:rsidRDefault="00481BF6">
          <w:pPr>
            <w:pStyle w:val="TOC1"/>
            <w:tabs>
              <w:tab w:val="right" w:leader="dot" w:pos="10070"/>
            </w:tabs>
            <w:rPr>
              <w:rFonts w:eastAsiaTheme="minorEastAsia"/>
              <w:noProof/>
              <w:sz w:val="24"/>
              <w:szCs w:val="24"/>
            </w:rPr>
          </w:pPr>
          <w:hyperlink w:anchor="_Toc172283619" w:history="1">
            <w:r w:rsidR="007A62E8" w:rsidRPr="001261DC">
              <w:rPr>
                <w:rStyle w:val="Hyperlink"/>
                <w:rFonts w:ascii="Times New Roman" w:hAnsi="Times New Roman" w:cs="Times New Roman"/>
                <w:b/>
                <w:bCs/>
                <w:noProof/>
              </w:rPr>
              <w:t>Project Description</w:t>
            </w:r>
            <w:r w:rsidR="007A62E8">
              <w:rPr>
                <w:noProof/>
                <w:webHidden/>
              </w:rPr>
              <w:tab/>
            </w:r>
            <w:r w:rsidR="007A62E8">
              <w:rPr>
                <w:noProof/>
                <w:webHidden/>
              </w:rPr>
              <w:fldChar w:fldCharType="begin"/>
            </w:r>
            <w:r w:rsidR="007A62E8">
              <w:rPr>
                <w:noProof/>
                <w:webHidden/>
              </w:rPr>
              <w:instrText xml:space="preserve"> PAGEREF _Toc172283619 \h </w:instrText>
            </w:r>
            <w:r w:rsidR="007A62E8">
              <w:rPr>
                <w:noProof/>
                <w:webHidden/>
              </w:rPr>
            </w:r>
            <w:r w:rsidR="007A62E8">
              <w:rPr>
                <w:noProof/>
                <w:webHidden/>
              </w:rPr>
              <w:fldChar w:fldCharType="separate"/>
            </w:r>
            <w:r w:rsidR="007A62E8">
              <w:rPr>
                <w:noProof/>
                <w:webHidden/>
              </w:rPr>
              <w:t>5</w:t>
            </w:r>
            <w:r w:rsidR="007A62E8">
              <w:rPr>
                <w:noProof/>
                <w:webHidden/>
              </w:rPr>
              <w:fldChar w:fldCharType="end"/>
            </w:r>
          </w:hyperlink>
        </w:p>
        <w:p w14:paraId="1F54F4BB" w14:textId="4FDCD159" w:rsidR="007A62E8" w:rsidRDefault="00481BF6">
          <w:pPr>
            <w:pStyle w:val="TOC1"/>
            <w:tabs>
              <w:tab w:val="right" w:leader="dot" w:pos="10070"/>
            </w:tabs>
            <w:rPr>
              <w:rFonts w:eastAsiaTheme="minorEastAsia"/>
              <w:noProof/>
              <w:sz w:val="24"/>
              <w:szCs w:val="24"/>
            </w:rPr>
          </w:pPr>
          <w:hyperlink w:anchor="_Toc172283620" w:history="1">
            <w:r w:rsidR="007A62E8" w:rsidRPr="001261DC">
              <w:rPr>
                <w:rStyle w:val="Hyperlink"/>
                <w:rFonts w:ascii="Times New Roman" w:hAnsi="Times New Roman"/>
                <w:noProof/>
              </w:rPr>
              <w:t>Rationale / Significance</w:t>
            </w:r>
            <w:r w:rsidR="007A62E8">
              <w:rPr>
                <w:noProof/>
                <w:webHidden/>
              </w:rPr>
              <w:tab/>
            </w:r>
            <w:r w:rsidR="007A62E8">
              <w:rPr>
                <w:noProof/>
                <w:webHidden/>
              </w:rPr>
              <w:fldChar w:fldCharType="begin"/>
            </w:r>
            <w:r w:rsidR="007A62E8">
              <w:rPr>
                <w:noProof/>
                <w:webHidden/>
              </w:rPr>
              <w:instrText xml:space="preserve"> PAGEREF _Toc172283620 \h </w:instrText>
            </w:r>
            <w:r w:rsidR="007A62E8">
              <w:rPr>
                <w:noProof/>
                <w:webHidden/>
              </w:rPr>
            </w:r>
            <w:r w:rsidR="007A62E8">
              <w:rPr>
                <w:noProof/>
                <w:webHidden/>
              </w:rPr>
              <w:fldChar w:fldCharType="separate"/>
            </w:r>
            <w:r w:rsidR="007A62E8">
              <w:rPr>
                <w:noProof/>
                <w:webHidden/>
              </w:rPr>
              <w:t>8</w:t>
            </w:r>
            <w:r w:rsidR="007A62E8">
              <w:rPr>
                <w:noProof/>
                <w:webHidden/>
              </w:rPr>
              <w:fldChar w:fldCharType="end"/>
            </w:r>
          </w:hyperlink>
        </w:p>
        <w:p w14:paraId="193D697A" w14:textId="21088305" w:rsidR="007A62E8" w:rsidRDefault="00481BF6">
          <w:pPr>
            <w:pStyle w:val="TOC1"/>
            <w:tabs>
              <w:tab w:val="right" w:leader="dot" w:pos="10070"/>
            </w:tabs>
            <w:rPr>
              <w:rFonts w:eastAsiaTheme="minorEastAsia"/>
              <w:noProof/>
              <w:sz w:val="24"/>
              <w:szCs w:val="24"/>
            </w:rPr>
          </w:pPr>
          <w:hyperlink w:anchor="_Toc172283621" w:history="1">
            <w:r w:rsidR="007A62E8" w:rsidRPr="001261DC">
              <w:rPr>
                <w:rStyle w:val="Hyperlink"/>
                <w:rFonts w:ascii="Times New Roman" w:hAnsi="Times New Roman" w:cs="Times New Roman"/>
                <w:b/>
                <w:bCs/>
                <w:noProof/>
              </w:rPr>
              <w:t>Approach</w:t>
            </w:r>
            <w:r w:rsidR="007A62E8">
              <w:rPr>
                <w:noProof/>
                <w:webHidden/>
              </w:rPr>
              <w:tab/>
            </w:r>
            <w:r w:rsidR="007A62E8">
              <w:rPr>
                <w:noProof/>
                <w:webHidden/>
              </w:rPr>
              <w:fldChar w:fldCharType="begin"/>
            </w:r>
            <w:r w:rsidR="007A62E8">
              <w:rPr>
                <w:noProof/>
                <w:webHidden/>
              </w:rPr>
              <w:instrText xml:space="preserve"> PAGEREF _Toc172283621 \h </w:instrText>
            </w:r>
            <w:r w:rsidR="007A62E8">
              <w:rPr>
                <w:noProof/>
                <w:webHidden/>
              </w:rPr>
            </w:r>
            <w:r w:rsidR="007A62E8">
              <w:rPr>
                <w:noProof/>
                <w:webHidden/>
              </w:rPr>
              <w:fldChar w:fldCharType="separate"/>
            </w:r>
            <w:r w:rsidR="007A62E8">
              <w:rPr>
                <w:noProof/>
                <w:webHidden/>
              </w:rPr>
              <w:t>9</w:t>
            </w:r>
            <w:r w:rsidR="007A62E8">
              <w:rPr>
                <w:noProof/>
                <w:webHidden/>
              </w:rPr>
              <w:fldChar w:fldCharType="end"/>
            </w:r>
          </w:hyperlink>
        </w:p>
        <w:p w14:paraId="640421FE" w14:textId="3956FCE1" w:rsidR="007A62E8" w:rsidRDefault="00481BF6">
          <w:pPr>
            <w:pStyle w:val="TOC1"/>
            <w:tabs>
              <w:tab w:val="right" w:leader="dot" w:pos="10070"/>
            </w:tabs>
            <w:rPr>
              <w:rFonts w:eastAsiaTheme="minorEastAsia"/>
              <w:noProof/>
              <w:sz w:val="24"/>
              <w:szCs w:val="24"/>
            </w:rPr>
          </w:pPr>
          <w:hyperlink w:anchor="_Toc172283622" w:history="1">
            <w:r w:rsidR="007A62E8" w:rsidRPr="001261DC">
              <w:rPr>
                <w:rStyle w:val="Hyperlink"/>
                <w:rFonts w:ascii="Times New Roman" w:hAnsi="Times New Roman" w:cs="Times New Roman"/>
                <w:b/>
                <w:bCs/>
                <w:noProof/>
              </w:rPr>
              <w:t>Outreach plan</w:t>
            </w:r>
            <w:r w:rsidR="007A62E8">
              <w:rPr>
                <w:noProof/>
                <w:webHidden/>
              </w:rPr>
              <w:tab/>
            </w:r>
            <w:r w:rsidR="007A62E8">
              <w:rPr>
                <w:noProof/>
                <w:webHidden/>
              </w:rPr>
              <w:fldChar w:fldCharType="begin"/>
            </w:r>
            <w:r w:rsidR="007A62E8">
              <w:rPr>
                <w:noProof/>
                <w:webHidden/>
              </w:rPr>
              <w:instrText xml:space="preserve"> PAGEREF _Toc172283622 \h </w:instrText>
            </w:r>
            <w:r w:rsidR="007A62E8">
              <w:rPr>
                <w:noProof/>
                <w:webHidden/>
              </w:rPr>
            </w:r>
            <w:r w:rsidR="007A62E8">
              <w:rPr>
                <w:noProof/>
                <w:webHidden/>
              </w:rPr>
              <w:fldChar w:fldCharType="separate"/>
            </w:r>
            <w:r w:rsidR="007A62E8">
              <w:rPr>
                <w:noProof/>
                <w:webHidden/>
              </w:rPr>
              <w:t>12</w:t>
            </w:r>
            <w:r w:rsidR="007A62E8">
              <w:rPr>
                <w:noProof/>
                <w:webHidden/>
              </w:rPr>
              <w:fldChar w:fldCharType="end"/>
            </w:r>
          </w:hyperlink>
        </w:p>
        <w:p w14:paraId="0D9901B7" w14:textId="65AABAF3" w:rsidR="007A62E8" w:rsidRDefault="00481BF6">
          <w:pPr>
            <w:pStyle w:val="TOC1"/>
            <w:tabs>
              <w:tab w:val="right" w:leader="dot" w:pos="10070"/>
            </w:tabs>
            <w:rPr>
              <w:rFonts w:eastAsiaTheme="minorEastAsia"/>
              <w:noProof/>
              <w:sz w:val="24"/>
              <w:szCs w:val="24"/>
            </w:rPr>
          </w:pPr>
          <w:hyperlink w:anchor="_Toc172283623" w:history="1">
            <w:r w:rsidR="007A62E8" w:rsidRPr="001261DC">
              <w:rPr>
                <w:rStyle w:val="Hyperlink"/>
                <w:rFonts w:ascii="Times New Roman" w:hAnsi="Times New Roman" w:cs="Times New Roman"/>
                <w:b/>
                <w:bCs/>
                <w:noProof/>
              </w:rPr>
              <w:t>Pitfalls</w:t>
            </w:r>
            <w:r w:rsidR="007A62E8">
              <w:rPr>
                <w:noProof/>
                <w:webHidden/>
              </w:rPr>
              <w:tab/>
            </w:r>
            <w:r w:rsidR="007A62E8">
              <w:rPr>
                <w:noProof/>
                <w:webHidden/>
              </w:rPr>
              <w:fldChar w:fldCharType="begin"/>
            </w:r>
            <w:r w:rsidR="007A62E8">
              <w:rPr>
                <w:noProof/>
                <w:webHidden/>
              </w:rPr>
              <w:instrText xml:space="preserve"> PAGEREF _Toc172283623 \h </w:instrText>
            </w:r>
            <w:r w:rsidR="007A62E8">
              <w:rPr>
                <w:noProof/>
                <w:webHidden/>
              </w:rPr>
            </w:r>
            <w:r w:rsidR="007A62E8">
              <w:rPr>
                <w:noProof/>
                <w:webHidden/>
              </w:rPr>
              <w:fldChar w:fldCharType="separate"/>
            </w:r>
            <w:r w:rsidR="007A62E8">
              <w:rPr>
                <w:noProof/>
                <w:webHidden/>
              </w:rPr>
              <w:t>13</w:t>
            </w:r>
            <w:r w:rsidR="007A62E8">
              <w:rPr>
                <w:noProof/>
                <w:webHidden/>
              </w:rPr>
              <w:fldChar w:fldCharType="end"/>
            </w:r>
          </w:hyperlink>
        </w:p>
        <w:p w14:paraId="41E3874C" w14:textId="3005EFC5" w:rsidR="007A62E8" w:rsidRDefault="00481BF6">
          <w:pPr>
            <w:pStyle w:val="TOC1"/>
            <w:tabs>
              <w:tab w:val="right" w:leader="dot" w:pos="10070"/>
            </w:tabs>
            <w:rPr>
              <w:rFonts w:eastAsiaTheme="minorEastAsia"/>
              <w:noProof/>
              <w:sz w:val="24"/>
              <w:szCs w:val="24"/>
            </w:rPr>
          </w:pPr>
          <w:hyperlink w:anchor="_Toc172283624" w:history="1">
            <w:r w:rsidR="007A62E8" w:rsidRPr="001261DC">
              <w:rPr>
                <w:rStyle w:val="Hyperlink"/>
                <w:rFonts w:ascii="Times New Roman" w:hAnsi="Times New Roman" w:cs="Times New Roman"/>
                <w:b/>
                <w:bCs/>
                <w:noProof/>
              </w:rPr>
              <w:t>Limitations</w:t>
            </w:r>
            <w:r w:rsidR="007A62E8">
              <w:rPr>
                <w:noProof/>
                <w:webHidden/>
              </w:rPr>
              <w:tab/>
            </w:r>
            <w:r w:rsidR="007A62E8">
              <w:rPr>
                <w:noProof/>
                <w:webHidden/>
              </w:rPr>
              <w:fldChar w:fldCharType="begin"/>
            </w:r>
            <w:r w:rsidR="007A62E8">
              <w:rPr>
                <w:noProof/>
                <w:webHidden/>
              </w:rPr>
              <w:instrText xml:space="preserve"> PAGEREF _Toc172283624 \h </w:instrText>
            </w:r>
            <w:r w:rsidR="007A62E8">
              <w:rPr>
                <w:noProof/>
                <w:webHidden/>
              </w:rPr>
            </w:r>
            <w:r w:rsidR="007A62E8">
              <w:rPr>
                <w:noProof/>
                <w:webHidden/>
              </w:rPr>
              <w:fldChar w:fldCharType="separate"/>
            </w:r>
            <w:r w:rsidR="007A62E8">
              <w:rPr>
                <w:noProof/>
                <w:webHidden/>
              </w:rPr>
              <w:t>13</w:t>
            </w:r>
            <w:r w:rsidR="007A62E8">
              <w:rPr>
                <w:noProof/>
                <w:webHidden/>
              </w:rPr>
              <w:fldChar w:fldCharType="end"/>
            </w:r>
          </w:hyperlink>
        </w:p>
        <w:p w14:paraId="5DC04DC4" w14:textId="50CA42D4" w:rsidR="00C664F7" w:rsidRPr="00A70DE1" w:rsidRDefault="000536D4" w:rsidP="00C7236B">
          <w:pPr>
            <w:spacing w:line="360" w:lineRule="auto"/>
            <w:rPr>
              <w:rFonts w:ascii="Times New Roman" w:hAnsi="Times New Roman" w:cs="Times New Roman"/>
            </w:rPr>
          </w:pPr>
          <w:r w:rsidRPr="00A70DE1">
            <w:rPr>
              <w:rFonts w:ascii="Times New Roman" w:hAnsi="Times New Roman" w:cs="Times New Roman"/>
            </w:rPr>
            <w:fldChar w:fldCharType="end"/>
          </w:r>
        </w:p>
      </w:sdtContent>
    </w:sdt>
    <w:p w14:paraId="50731845" w14:textId="6A7701B4" w:rsidR="000536D4" w:rsidRPr="00A70DE1" w:rsidRDefault="000536D4" w:rsidP="00C7236B">
      <w:pPr>
        <w:spacing w:line="360" w:lineRule="auto"/>
        <w:rPr>
          <w:rFonts w:ascii="Times New Roman" w:hAnsi="Times New Roman" w:cs="Times New Roman"/>
        </w:rPr>
      </w:pPr>
      <w:r w:rsidRPr="00A70DE1">
        <w:rPr>
          <w:rFonts w:ascii="Times New Roman" w:hAnsi="Times New Roman" w:cs="Times New Roman"/>
        </w:rPr>
        <w:br w:type="page"/>
      </w:r>
    </w:p>
    <w:p w14:paraId="72895325" w14:textId="61769F40" w:rsidR="000536D4" w:rsidRPr="00A70DE1" w:rsidRDefault="000536D4" w:rsidP="00630064">
      <w:pPr>
        <w:pStyle w:val="Heading1"/>
        <w:spacing w:line="360" w:lineRule="auto"/>
        <w:rPr>
          <w:rFonts w:ascii="Times New Roman" w:hAnsi="Times New Roman" w:cs="Times New Roman"/>
          <w:b/>
          <w:bCs/>
          <w:sz w:val="24"/>
          <w:szCs w:val="24"/>
        </w:rPr>
      </w:pPr>
      <w:bookmarkStart w:id="0" w:name="_Toc172283618"/>
      <w:r w:rsidRPr="00A70DE1">
        <w:rPr>
          <w:rFonts w:ascii="Times New Roman" w:hAnsi="Times New Roman" w:cs="Times New Roman"/>
          <w:b/>
          <w:bCs/>
          <w:sz w:val="24"/>
          <w:szCs w:val="24"/>
        </w:rPr>
        <w:lastRenderedPageBreak/>
        <w:t>Executive Summary</w:t>
      </w:r>
      <w:bookmarkEnd w:id="0"/>
    </w:p>
    <w:p w14:paraId="32E966C3" w14:textId="77777777" w:rsidR="00DA5362" w:rsidRPr="00A70DE1" w:rsidRDefault="00DA5362" w:rsidP="00DA5362">
      <w:pPr>
        <w:spacing w:line="360" w:lineRule="auto"/>
        <w:jc w:val="center"/>
        <w:rPr>
          <w:rFonts w:ascii="Times New Roman" w:hAnsi="Times New Roman" w:cs="Times New Roman"/>
          <w:color w:val="000000"/>
          <w:sz w:val="24"/>
          <w:szCs w:val="24"/>
        </w:rPr>
      </w:pPr>
      <w:r w:rsidRPr="00A70DE1">
        <w:rPr>
          <w:rFonts w:ascii="Times New Roman" w:hAnsi="Times New Roman" w:cs="Times New Roman"/>
          <w:color w:val="000000"/>
          <w:sz w:val="24"/>
          <w:szCs w:val="24"/>
        </w:rPr>
        <w:t>Mitigating Revenue Volatility through Federal Crop Insurance: A Comparative Study of Specialty Crop Programs</w:t>
      </w:r>
    </w:p>
    <w:p w14:paraId="1A99712C" w14:textId="77777777" w:rsidR="00DA5362" w:rsidRPr="00A70DE1" w:rsidRDefault="00DA5362" w:rsidP="00630064">
      <w:pPr>
        <w:spacing w:line="360" w:lineRule="auto"/>
        <w:rPr>
          <w:rFonts w:ascii="Times New Roman" w:hAnsi="Times New Roman" w:cs="Times New Roman"/>
          <w:color w:val="000000"/>
          <w:sz w:val="24"/>
          <w:szCs w:val="24"/>
        </w:rPr>
      </w:pPr>
    </w:p>
    <w:p w14:paraId="41A5AC49" w14:textId="30B8FB67" w:rsidR="000536D4" w:rsidRPr="00A70DE1" w:rsidRDefault="000536D4" w:rsidP="00630064">
      <w:pPr>
        <w:spacing w:line="360" w:lineRule="auto"/>
        <w:rPr>
          <w:rFonts w:ascii="Times New Roman" w:hAnsi="Times New Roman" w:cs="Times New Roman"/>
          <w:sz w:val="24"/>
          <w:szCs w:val="24"/>
        </w:rPr>
      </w:pPr>
      <w:r w:rsidRPr="00A70DE1">
        <w:rPr>
          <w:rFonts w:ascii="Times New Roman" w:hAnsi="Times New Roman" w:cs="Times New Roman"/>
          <w:sz w:val="24"/>
          <w:szCs w:val="24"/>
        </w:rPr>
        <w:t>Project Type</w:t>
      </w:r>
      <w:r w:rsidR="00DA5362" w:rsidRPr="00A70DE1">
        <w:rPr>
          <w:rFonts w:ascii="Times New Roman" w:hAnsi="Times New Roman" w:cs="Times New Roman"/>
          <w:sz w:val="24"/>
          <w:szCs w:val="24"/>
        </w:rPr>
        <w:t xml:space="preserve">: </w:t>
      </w:r>
      <w:r w:rsidR="00186731" w:rsidRPr="00A70DE1">
        <w:rPr>
          <w:rFonts w:ascii="Times New Roman" w:hAnsi="Times New Roman" w:cs="Times New Roman"/>
          <w:sz w:val="24"/>
          <w:szCs w:val="24"/>
        </w:rPr>
        <w:t>Standard Research and Extension Project</w:t>
      </w:r>
    </w:p>
    <w:p w14:paraId="209E9D2B" w14:textId="40EC7022" w:rsidR="000536D4" w:rsidRPr="00A70DE1" w:rsidRDefault="000536D4" w:rsidP="00630064">
      <w:pPr>
        <w:spacing w:line="360" w:lineRule="auto"/>
        <w:rPr>
          <w:rFonts w:ascii="Times New Roman" w:hAnsi="Times New Roman" w:cs="Times New Roman"/>
          <w:sz w:val="24"/>
          <w:szCs w:val="24"/>
        </w:rPr>
      </w:pPr>
      <w:r w:rsidRPr="00A70DE1">
        <w:rPr>
          <w:rFonts w:ascii="Times New Roman" w:hAnsi="Times New Roman" w:cs="Times New Roman"/>
          <w:sz w:val="24"/>
          <w:szCs w:val="24"/>
        </w:rPr>
        <w:t>Outreach Plan Summary</w:t>
      </w:r>
      <w:r w:rsidR="000C4481" w:rsidRPr="00A70DE1">
        <w:rPr>
          <w:rFonts w:ascii="Times New Roman" w:hAnsi="Times New Roman" w:cs="Times New Roman"/>
          <w:sz w:val="24"/>
          <w:szCs w:val="24"/>
        </w:rPr>
        <w:t>:</w:t>
      </w:r>
    </w:p>
    <w:p w14:paraId="3229AB5D" w14:textId="77777777" w:rsidR="000C4481" w:rsidRPr="00A70DE1" w:rsidRDefault="000C4481" w:rsidP="00630064">
      <w:pPr>
        <w:spacing w:line="360" w:lineRule="auto"/>
        <w:rPr>
          <w:rFonts w:ascii="Times New Roman" w:hAnsi="Times New Roman" w:cs="Times New Roman"/>
          <w:sz w:val="24"/>
          <w:szCs w:val="24"/>
        </w:rPr>
      </w:pPr>
    </w:p>
    <w:p w14:paraId="5E53DADA" w14:textId="466EBAE6" w:rsidR="000536D4" w:rsidRPr="00A70DE1" w:rsidRDefault="000536D4" w:rsidP="00630064">
      <w:pPr>
        <w:spacing w:line="360" w:lineRule="auto"/>
        <w:rPr>
          <w:rFonts w:ascii="Times New Roman" w:hAnsi="Times New Roman" w:cs="Times New Roman"/>
          <w:i/>
          <w:iCs/>
          <w:sz w:val="24"/>
          <w:szCs w:val="24"/>
        </w:rPr>
      </w:pPr>
      <w:r w:rsidRPr="00A70DE1">
        <w:rPr>
          <w:rFonts w:ascii="Times New Roman" w:hAnsi="Times New Roman" w:cs="Times New Roman"/>
          <w:i/>
          <w:iCs/>
          <w:sz w:val="24"/>
          <w:szCs w:val="24"/>
        </w:rPr>
        <w:t xml:space="preserve">Project </w:t>
      </w:r>
      <w:r w:rsidR="00572676" w:rsidRPr="00A70DE1">
        <w:rPr>
          <w:rFonts w:ascii="Times New Roman" w:hAnsi="Times New Roman" w:cs="Times New Roman"/>
          <w:i/>
          <w:iCs/>
          <w:sz w:val="24"/>
          <w:szCs w:val="24"/>
        </w:rPr>
        <w:t>Transdisciplinary</w:t>
      </w:r>
      <w:r w:rsidRPr="00A70DE1">
        <w:rPr>
          <w:rFonts w:ascii="Times New Roman" w:hAnsi="Times New Roman" w:cs="Times New Roman"/>
          <w:i/>
          <w:iCs/>
          <w:sz w:val="24"/>
          <w:szCs w:val="24"/>
        </w:rPr>
        <w:t xml:space="preserve">: </w:t>
      </w:r>
    </w:p>
    <w:p w14:paraId="1FC6A99B" w14:textId="4DF85EF4" w:rsidR="009C0C31" w:rsidRDefault="00EB6EB2" w:rsidP="00630064">
      <w:pPr>
        <w:spacing w:before="12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Climate events will increase exponentially in the next 20 years, putting pressure on our already fragmented and fragile food system. While investments in creating a more regionalized food system have become a priority for policymakers and researchers, the COVID-19 crisis and recent weather shocks have raised concerns about the overall resiliency of our national and global food systems, especially due to the current highly centralized model. </w:t>
      </w:r>
      <w:r w:rsidR="00E55281">
        <w:rPr>
          <w:rFonts w:ascii="Times New Roman" w:hAnsi="Times New Roman" w:cs="Times New Roman"/>
          <w:sz w:val="24"/>
          <w:szCs w:val="24"/>
        </w:rPr>
        <w:t xml:space="preserve">Centralized production, particularly for </w:t>
      </w:r>
      <w:r w:rsidR="00A95F05">
        <w:rPr>
          <w:rFonts w:ascii="Times New Roman" w:hAnsi="Times New Roman" w:cs="Times New Roman"/>
          <w:sz w:val="24"/>
          <w:szCs w:val="24"/>
        </w:rPr>
        <w:t>specialty</w:t>
      </w:r>
      <w:r w:rsidR="00E55281">
        <w:rPr>
          <w:rFonts w:ascii="Times New Roman" w:hAnsi="Times New Roman" w:cs="Times New Roman"/>
          <w:sz w:val="24"/>
          <w:szCs w:val="24"/>
        </w:rPr>
        <w:t xml:space="preserve"> crop production in California, </w:t>
      </w:r>
      <w:r w:rsidR="007F11A6">
        <w:rPr>
          <w:rFonts w:ascii="Times New Roman" w:hAnsi="Times New Roman" w:cs="Times New Roman"/>
          <w:sz w:val="24"/>
          <w:szCs w:val="24"/>
        </w:rPr>
        <w:t xml:space="preserve">has created a fragile </w:t>
      </w:r>
      <w:r w:rsidR="00A95F05">
        <w:rPr>
          <w:rFonts w:ascii="Times New Roman" w:hAnsi="Times New Roman" w:cs="Times New Roman"/>
          <w:sz w:val="24"/>
          <w:szCs w:val="24"/>
        </w:rPr>
        <w:t>food</w:t>
      </w:r>
      <w:r w:rsidR="007F11A6">
        <w:rPr>
          <w:rFonts w:ascii="Times New Roman" w:hAnsi="Times New Roman" w:cs="Times New Roman"/>
          <w:sz w:val="24"/>
          <w:szCs w:val="24"/>
        </w:rPr>
        <w:t xml:space="preserve"> system </w:t>
      </w:r>
      <w:r w:rsidR="00AE214C">
        <w:rPr>
          <w:rFonts w:ascii="Times New Roman" w:hAnsi="Times New Roman" w:cs="Times New Roman"/>
          <w:sz w:val="24"/>
          <w:szCs w:val="24"/>
        </w:rPr>
        <w:t>due to</w:t>
      </w:r>
      <w:r w:rsidR="007F11A6">
        <w:rPr>
          <w:rFonts w:ascii="Times New Roman" w:hAnsi="Times New Roman" w:cs="Times New Roman"/>
          <w:sz w:val="24"/>
          <w:szCs w:val="24"/>
        </w:rPr>
        <w:t xml:space="preserve"> increased drough</w:t>
      </w:r>
      <w:r w:rsidR="00FC5EB4">
        <w:rPr>
          <w:rFonts w:ascii="Times New Roman" w:hAnsi="Times New Roman" w:cs="Times New Roman"/>
          <w:sz w:val="24"/>
          <w:szCs w:val="24"/>
        </w:rPr>
        <w:t>t, wildfires, and water restrictions</w:t>
      </w:r>
      <w:r w:rsidR="006A7872">
        <w:rPr>
          <w:rFonts w:ascii="Times New Roman" w:hAnsi="Times New Roman" w:cs="Times New Roman"/>
          <w:sz w:val="24"/>
          <w:szCs w:val="24"/>
        </w:rPr>
        <w:t xml:space="preserve"> as</w:t>
      </w:r>
      <w:r w:rsidR="00FC5EB4">
        <w:rPr>
          <w:rFonts w:ascii="Times New Roman" w:hAnsi="Times New Roman" w:cs="Times New Roman"/>
          <w:sz w:val="24"/>
          <w:szCs w:val="24"/>
        </w:rPr>
        <w:t xml:space="preserve"> </w:t>
      </w:r>
      <w:r w:rsidR="006A7872" w:rsidRPr="00120EE7">
        <w:rPr>
          <w:rFonts w:ascii="Times New Roman" w:hAnsi="Times New Roman" w:cs="Times New Roman"/>
          <w:sz w:val="24"/>
          <w:szCs w:val="24"/>
        </w:rPr>
        <w:t xml:space="preserve">it produces more than 1/3 of the vegetables and 2/3 of the fruits and nuts grown in the US. </w:t>
      </w:r>
      <w:r w:rsidR="006A7872" w:rsidRPr="00120EE7">
        <w:rPr>
          <w:rFonts w:ascii="Times New Roman" w:hAnsi="Times New Roman" w:cs="Times New Roman"/>
          <w:sz w:val="24"/>
          <w:szCs w:val="24"/>
        </w:rPr>
        <w:fldChar w:fldCharType="begin"/>
      </w:r>
      <w:r w:rsidR="006A7872" w:rsidRPr="00120EE7">
        <w:rPr>
          <w:rFonts w:ascii="Times New Roman" w:hAnsi="Times New Roman" w:cs="Times New Roman"/>
          <w:sz w:val="24"/>
          <w:szCs w:val="24"/>
        </w:rPr>
        <w:instrText xml:space="preserve"> ADDIN ZOTERO_ITEM CSL_CITATION {"citationID":"a878jkhv4f","properties":{"formattedCitation":"\\uldash{(Frisvold et al., 2013)}","plainCitation":"(Frisvold et al., 2013)","noteIndex":0},"citationItems":[{"id":413,"uris":["http://zotero.org/users/8408281/items/84E4GW7X"],"itemData":{"id":413,"type":"article-journal","container-title":"Assessment of climate change in the Southwest United States: A report prepared for the National Climate Assessment","note":"publisher: Springer","page":"218–239","title":"Agriculture and ranching","author":[{"family":"Frisvold","given":"George B"},{"family":"Jackson","given":"Louise E"},{"family":"Pritchett","given":"James G"},{"family":"Ritten","given":"John P"},{"family":"Svoboda","given":"Mark"}],"issued":{"date-parts":[["2013"]]}}}],"schema":"https://github.com/citation-style-language/schema/raw/master/csl-citation.json"} </w:instrText>
      </w:r>
      <w:r w:rsidR="006A7872" w:rsidRPr="00120EE7">
        <w:rPr>
          <w:rFonts w:ascii="Times New Roman" w:hAnsi="Times New Roman" w:cs="Times New Roman"/>
          <w:sz w:val="24"/>
          <w:szCs w:val="24"/>
        </w:rPr>
        <w:fldChar w:fldCharType="separate"/>
      </w:r>
      <w:r w:rsidR="006A7872" w:rsidRPr="00120EE7">
        <w:rPr>
          <w:rFonts w:ascii="Times New Roman" w:hAnsi="Times New Roman" w:cs="Times New Roman"/>
          <w:sz w:val="24"/>
          <w:szCs w:val="24"/>
        </w:rPr>
        <w:t>(Frisvold et al., 2013)</w:t>
      </w:r>
      <w:r w:rsidR="006A7872" w:rsidRPr="00120EE7">
        <w:rPr>
          <w:rFonts w:ascii="Times New Roman" w:hAnsi="Times New Roman" w:cs="Times New Roman"/>
          <w:sz w:val="24"/>
          <w:szCs w:val="24"/>
        </w:rPr>
        <w:fldChar w:fldCharType="end"/>
      </w:r>
      <w:r w:rsidR="006A7872" w:rsidRPr="00120EE7">
        <w:rPr>
          <w:rFonts w:ascii="Times New Roman" w:hAnsi="Times New Roman" w:cs="Times New Roman"/>
          <w:sz w:val="24"/>
          <w:szCs w:val="24"/>
        </w:rPr>
        <w:t>.</w:t>
      </w:r>
      <w:r w:rsidR="00120EE7">
        <w:rPr>
          <w:rFonts w:ascii="Times New Roman" w:hAnsi="Times New Roman" w:cs="Times New Roman"/>
          <w:sz w:val="24"/>
          <w:szCs w:val="24"/>
        </w:rPr>
        <w:t xml:space="preserve"> </w:t>
      </w:r>
      <w:r w:rsidR="00FC5EB4">
        <w:rPr>
          <w:rFonts w:ascii="Times New Roman" w:hAnsi="Times New Roman" w:cs="Times New Roman"/>
          <w:sz w:val="24"/>
          <w:szCs w:val="24"/>
        </w:rPr>
        <w:t>Additionally, w</w:t>
      </w:r>
      <w:r w:rsidR="009C0C31">
        <w:rPr>
          <w:rFonts w:ascii="Times New Roman" w:hAnsi="Times New Roman" w:cs="Times New Roman"/>
          <w:sz w:val="24"/>
          <w:szCs w:val="24"/>
        </w:rPr>
        <w:t xml:space="preserve">hile </w:t>
      </w:r>
      <w:r w:rsidR="002A5073">
        <w:rPr>
          <w:rFonts w:ascii="Times New Roman" w:hAnsi="Times New Roman" w:cs="Times New Roman"/>
          <w:sz w:val="24"/>
          <w:szCs w:val="24"/>
        </w:rPr>
        <w:t>consumers</w:t>
      </w:r>
      <w:r w:rsidR="009C0C31">
        <w:rPr>
          <w:rFonts w:ascii="Times New Roman" w:hAnsi="Times New Roman" w:cs="Times New Roman"/>
          <w:sz w:val="24"/>
          <w:szCs w:val="24"/>
        </w:rPr>
        <w:t xml:space="preserve"> have shown interest in local food for several decades, newer trends</w:t>
      </w:r>
      <w:r w:rsidR="00784535">
        <w:rPr>
          <w:rFonts w:ascii="Times New Roman" w:hAnsi="Times New Roman" w:cs="Times New Roman"/>
          <w:sz w:val="24"/>
          <w:szCs w:val="24"/>
        </w:rPr>
        <w:t xml:space="preserve"> show that consumers are now prioritizing shopping in line with their values more so than in previous years</w:t>
      </w:r>
      <w:r w:rsidR="00120EE7">
        <w:rPr>
          <w:rFonts w:ascii="Times New Roman" w:hAnsi="Times New Roman" w:cs="Times New Roman"/>
          <w:sz w:val="24"/>
          <w:szCs w:val="24"/>
        </w:rPr>
        <w:t xml:space="preserve"> creating a higher demand than </w:t>
      </w:r>
      <w:r w:rsidR="00DF417E">
        <w:rPr>
          <w:rFonts w:ascii="Times New Roman" w:hAnsi="Times New Roman" w:cs="Times New Roman"/>
          <w:sz w:val="24"/>
          <w:szCs w:val="24"/>
        </w:rPr>
        <w:t>ever before.</w:t>
      </w:r>
    </w:p>
    <w:p w14:paraId="3ED24882" w14:textId="0699C61E" w:rsidR="00EB6EB2" w:rsidRPr="00A70DE1" w:rsidRDefault="00EB6EB2" w:rsidP="00630064">
      <w:pPr>
        <w:spacing w:before="12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This push for decentralized production and a more diverse and regionalized food system from consumers and policymakers has led to significant interest in increasing specialty crop production in areas of the United States that have not historically been considered significant </w:t>
      </w:r>
      <w:commentRangeStart w:id="1"/>
      <w:r w:rsidRPr="00A70DE1">
        <w:rPr>
          <w:rFonts w:ascii="Times New Roman" w:hAnsi="Times New Roman" w:cs="Times New Roman"/>
          <w:sz w:val="24"/>
          <w:szCs w:val="24"/>
        </w:rPr>
        <w:t xml:space="preserve">specialty crop production </w:t>
      </w:r>
      <w:commentRangeEnd w:id="1"/>
      <w:r w:rsidR="00C15357">
        <w:rPr>
          <w:rStyle w:val="CommentReference"/>
        </w:rPr>
        <w:commentReference w:id="1"/>
      </w:r>
      <w:r w:rsidRPr="00A70DE1">
        <w:rPr>
          <w:rFonts w:ascii="Times New Roman" w:hAnsi="Times New Roman" w:cs="Times New Roman"/>
          <w:sz w:val="24"/>
          <w:szCs w:val="24"/>
        </w:rPr>
        <w:t xml:space="preserve">areas. Numerous policy initiatives and federal programs have been directed toward new and emerging farmers to fill the growing population's increasing food and nutritional needs and to invest in more regional food models. However, while this increased interest in supporting producers has created numerous opportunities, the barriers for producers, especially specialty crop producers, continue to multiply. </w:t>
      </w:r>
    </w:p>
    <w:p w14:paraId="67BE42E9" w14:textId="60B5B304" w:rsidR="00EB6EB2" w:rsidRPr="00E21757" w:rsidRDefault="00EB6EB2" w:rsidP="00E21757">
      <w:pPr>
        <w:spacing w:before="120" w:after="0" w:line="360" w:lineRule="auto"/>
        <w:rPr>
          <w:rFonts w:ascii="Times New Roman" w:hAnsi="Times New Roman" w:cs="Times New Roman"/>
          <w:color w:val="000000" w:themeColor="text1"/>
          <w:sz w:val="24"/>
          <w:szCs w:val="24"/>
        </w:rPr>
      </w:pPr>
      <w:r w:rsidRPr="00A70DE1">
        <w:rPr>
          <w:rFonts w:ascii="Times New Roman" w:hAnsi="Times New Roman" w:cs="Times New Roman"/>
          <w:sz w:val="24"/>
          <w:szCs w:val="24"/>
        </w:rPr>
        <w:t xml:space="preserve">Regardless of their crop, all producers are vulnerable to yield and revenue volatility due to weather, price shocks, pests, </w:t>
      </w:r>
      <w:r w:rsidRPr="00A70DE1">
        <w:rPr>
          <w:rFonts w:ascii="Times New Roman" w:hAnsi="Times New Roman" w:cs="Times New Roman"/>
          <w:color w:val="000000" w:themeColor="text1"/>
          <w:sz w:val="24"/>
          <w:szCs w:val="24"/>
        </w:rPr>
        <w:t xml:space="preserve">and more. However, specialty crop producers are often even more vulnerable due to more intensive growing requirements, shorter shelf life, and a lack of risk management tools in contrast with </w:t>
      </w:r>
      <w:r w:rsidR="00C15357">
        <w:rPr>
          <w:rFonts w:ascii="Times New Roman" w:hAnsi="Times New Roman" w:cs="Times New Roman"/>
          <w:color w:val="000000" w:themeColor="text1"/>
          <w:sz w:val="24"/>
          <w:szCs w:val="24"/>
        </w:rPr>
        <w:t xml:space="preserve">producers of </w:t>
      </w:r>
      <w:r w:rsidRPr="00A70DE1">
        <w:rPr>
          <w:rFonts w:ascii="Times New Roman" w:hAnsi="Times New Roman" w:cs="Times New Roman"/>
          <w:color w:val="000000" w:themeColor="text1"/>
          <w:sz w:val="24"/>
          <w:szCs w:val="24"/>
        </w:rPr>
        <w:t xml:space="preserve">major row crops. This holds true for </w:t>
      </w:r>
      <w:r w:rsidR="00E21757">
        <w:rPr>
          <w:rFonts w:ascii="Times New Roman" w:hAnsi="Times New Roman" w:cs="Times New Roman"/>
          <w:color w:val="000000" w:themeColor="text1"/>
          <w:sz w:val="24"/>
          <w:szCs w:val="24"/>
        </w:rPr>
        <w:t>conventional and specialized local and organic specialty crop markets, considered thin markets defined by few buyers and sellers and lacking</w:t>
      </w:r>
      <w:r w:rsidRPr="00A70DE1">
        <w:rPr>
          <w:rFonts w:ascii="Times New Roman" w:hAnsi="Times New Roman" w:cs="Times New Roman"/>
          <w:color w:val="000000" w:themeColor="text1"/>
          <w:sz w:val="24"/>
          <w:szCs w:val="24"/>
        </w:rPr>
        <w:t xml:space="preserve"> active cash markets</w:t>
      </w:r>
      <w:r w:rsidR="00E21757">
        <w:rPr>
          <w:rFonts w:ascii="Times New Roman" w:hAnsi="Times New Roman" w:cs="Times New Roman"/>
          <w:color w:val="000000" w:themeColor="text1"/>
          <w:sz w:val="24"/>
          <w:szCs w:val="24"/>
        </w:rPr>
        <w:t xml:space="preserve"> </w:t>
      </w:r>
      <w:r w:rsidRPr="00A70DE1">
        <w:rPr>
          <w:rFonts w:ascii="Times New Roman" w:hAnsi="Times New Roman" w:cs="Times New Roman"/>
          <w:color w:val="000000" w:themeColor="text1"/>
          <w:sz w:val="24"/>
          <w:szCs w:val="24"/>
        </w:rPr>
        <w:fldChar w:fldCharType="begin"/>
      </w:r>
      <w:r w:rsidRPr="00A70DE1">
        <w:rPr>
          <w:rFonts w:ascii="Times New Roman" w:hAnsi="Times New Roman" w:cs="Times New Roman"/>
          <w:color w:val="000000" w:themeColor="text1"/>
          <w:sz w:val="24"/>
          <w:szCs w:val="24"/>
        </w:rPr>
        <w:instrText xml:space="preserve"> ADDIN ZOTERO_ITEM CSL_CITATION {"citationID":"1C6dUUTk","properties":{"formattedCitation":"(Raszap Skorbiansky et al., 2022)","plainCitation":"(Raszap Skorbiansky et al., 2022)","noteIndex":0},"citationItems":[{"id":97,"uris":["http://zotero.org/users/8408281/items/4R9K2L9G"],"itemData":{"id":97,"type":"article-journal","abstract":"The U.S. Department of Agriculture (USDA) offers various risk management products to farmers through the Federal Crop Insurance Program (FCIP), and for crops in counties where FCIP is not available, through the Noninsured Crop Disaster Assistance Program (NAP). All FCIP insurance products are actuarially sound (total premiums paid are calculated to equal or exceed total claims paid), requiring a substantial amount of data to price. Only some counties generate sufficient data to create products for specialty crops like fruits, vegetables, tree nuts, horticulture, and nursery crops. This study characterizes recent changes in FCIP and NAP use by specialty crop farmers, compares differences among conventional and organic farms, and investigates the reasons some farmers choose whether to participate in these programs. Specialty crop growers increased the value of their crops insured by FCIP products from about $12 billion in 2011 to about $21 billion in 2020 (not adjusted for inflation). In 2017, FCIP or NAP covered a significant portion of acreage for many crops.","DOI":"10.22004/AG.ECON.329075","language":"en","note":"publisher: Unknown","source":"DOI.org (Datacite)","title":"Specialty Crop Participation in Federal Risk Management Programs","URL":"https://ageconsearch.umn.edu/record/329075","author":[{"family":"Raszap Skorbiansky","given":"Sharon"},{"family":"Astill","given":"Gregory"},{"family":"Rosch","given":"Stephanie"},{"family":"Higgins","given":"Elizabeth"},{"family":"Ifft","given":"Jennifer"},{"family":"Rickard","given":"Bradley"}],"accessed":{"date-parts":[["2024",6,13]]},"issued":{"date-parts":[["2022"]]}}}],"schema":"https://github.com/citation-style-language/schema/raw/master/csl-citation.json"} </w:instrText>
      </w:r>
      <w:r w:rsidRPr="00A70DE1">
        <w:rPr>
          <w:rFonts w:ascii="Times New Roman" w:hAnsi="Times New Roman" w:cs="Times New Roman"/>
          <w:color w:val="000000" w:themeColor="text1"/>
          <w:sz w:val="24"/>
          <w:szCs w:val="24"/>
        </w:rPr>
        <w:fldChar w:fldCharType="separate"/>
      </w:r>
      <w:r w:rsidRPr="00A70DE1">
        <w:rPr>
          <w:rFonts w:ascii="Times New Roman" w:hAnsi="Times New Roman" w:cs="Times New Roman"/>
          <w:color w:val="000000" w:themeColor="text1"/>
          <w:sz w:val="24"/>
          <w:szCs w:val="24"/>
        </w:rPr>
        <w:t>(</w:t>
      </w:r>
      <w:proofErr w:type="spellStart"/>
      <w:r w:rsidRPr="00A70DE1">
        <w:rPr>
          <w:rFonts w:ascii="Times New Roman" w:hAnsi="Times New Roman" w:cs="Times New Roman"/>
          <w:color w:val="000000" w:themeColor="text1"/>
          <w:sz w:val="24"/>
          <w:szCs w:val="24"/>
        </w:rPr>
        <w:t>Raszap</w:t>
      </w:r>
      <w:proofErr w:type="spellEnd"/>
      <w:r w:rsidRPr="00A70DE1">
        <w:rPr>
          <w:rFonts w:ascii="Times New Roman" w:hAnsi="Times New Roman" w:cs="Times New Roman"/>
          <w:color w:val="000000" w:themeColor="text1"/>
          <w:sz w:val="24"/>
          <w:szCs w:val="24"/>
        </w:rPr>
        <w:t xml:space="preserve"> </w:t>
      </w:r>
      <w:proofErr w:type="spellStart"/>
      <w:r w:rsidRPr="00A70DE1">
        <w:rPr>
          <w:rFonts w:ascii="Times New Roman" w:hAnsi="Times New Roman" w:cs="Times New Roman"/>
          <w:color w:val="000000" w:themeColor="text1"/>
          <w:sz w:val="24"/>
          <w:szCs w:val="24"/>
        </w:rPr>
        <w:t>Skorbiansky</w:t>
      </w:r>
      <w:proofErr w:type="spellEnd"/>
      <w:r w:rsidRPr="00A70DE1">
        <w:rPr>
          <w:rFonts w:ascii="Times New Roman" w:hAnsi="Times New Roman" w:cs="Times New Roman"/>
          <w:color w:val="000000" w:themeColor="text1"/>
          <w:sz w:val="24"/>
          <w:szCs w:val="24"/>
        </w:rPr>
        <w:t xml:space="preserve"> et al., 2022)</w:t>
      </w:r>
      <w:r w:rsidRPr="00A70DE1">
        <w:rPr>
          <w:rFonts w:ascii="Times New Roman" w:hAnsi="Times New Roman" w:cs="Times New Roman"/>
          <w:color w:val="000000" w:themeColor="text1"/>
          <w:sz w:val="24"/>
          <w:szCs w:val="24"/>
        </w:rPr>
        <w:fldChar w:fldCharType="end"/>
      </w:r>
      <w:r w:rsidRPr="00A70DE1">
        <w:rPr>
          <w:rFonts w:ascii="Times New Roman" w:hAnsi="Times New Roman" w:cs="Times New Roman"/>
          <w:color w:val="000000" w:themeColor="text1"/>
          <w:sz w:val="24"/>
          <w:szCs w:val="24"/>
        </w:rPr>
        <w:t xml:space="preserve"> </w:t>
      </w:r>
      <w:r w:rsidRPr="00A70DE1">
        <w:rPr>
          <w:rFonts w:ascii="Times New Roman" w:hAnsi="Times New Roman" w:cs="Times New Roman"/>
          <w:color w:val="000000" w:themeColor="text1"/>
          <w:sz w:val="24"/>
          <w:szCs w:val="24"/>
        </w:rPr>
        <w:fldChar w:fldCharType="begin"/>
      </w:r>
      <w:r w:rsidRPr="00A70DE1">
        <w:rPr>
          <w:rFonts w:ascii="Times New Roman" w:hAnsi="Times New Roman" w:cs="Times New Roman"/>
          <w:color w:val="000000" w:themeColor="text1"/>
          <w:sz w:val="24"/>
          <w:szCs w:val="24"/>
        </w:rPr>
        <w:instrText xml:space="preserve"> ADDIN ZOTERO_ITEM CSL_CITATION {"citationID":"5jJBeh89","properties":{"formattedCitation":"(Hungerford et al., 2017)","plainCitation":"(Hungerford et al., 2017)","noteIndex":0},"citationItems":[{"id":99,"uris":["http://zotero.org/users/8408281/items/YY2GLBQB"],"itemData":{"id":99,"type":"article-journal","abstract":"ERS examines impacts of the Buy-Up coverage addition to the Noninsured Crop Disaster Assistance Program (NAP) on expected payments, producers' risk reduction, and NAP enrollment by type of producer and crops.","DOI":"10.22004/AG.ECON.262132","language":"en","note":"publisher: Unknown","source":"DOI.org (Datacite)","title":"Changes to the Noninsured Crop Disaster Assistance Program Under the Agricultural Act of 2014: Their Potential Risk Reduction Impacts","title-short":"Changes to the Noninsured Crop Disaster Assistance Program Under the Agricultural Act of 2014","URL":"https://ageconsearch.umn.edu/record/262132","author":[{"family":"Hungerford","given":"Ashley"},{"family":"Astill","given":"Gregory"},{"family":"Effland","given":"Anne"}],"accessed":{"date-parts":[["2024",6,13]]},"issued":{"date-parts":[["2017"]]}}}],"schema":"https://github.com/citation-style-language/schema/raw/master/csl-citation.json"} </w:instrText>
      </w:r>
      <w:r w:rsidRPr="00A70DE1">
        <w:rPr>
          <w:rFonts w:ascii="Times New Roman" w:hAnsi="Times New Roman" w:cs="Times New Roman"/>
          <w:color w:val="000000" w:themeColor="text1"/>
          <w:sz w:val="24"/>
          <w:szCs w:val="24"/>
        </w:rPr>
        <w:fldChar w:fldCharType="separate"/>
      </w:r>
      <w:r w:rsidRPr="00A70DE1">
        <w:rPr>
          <w:rFonts w:ascii="Times New Roman" w:hAnsi="Times New Roman" w:cs="Times New Roman"/>
          <w:color w:val="000000" w:themeColor="text1"/>
          <w:sz w:val="24"/>
          <w:szCs w:val="24"/>
        </w:rPr>
        <w:t>(Hungerford et al., 2017)</w:t>
      </w:r>
      <w:r w:rsidRPr="00A70DE1">
        <w:rPr>
          <w:rFonts w:ascii="Times New Roman" w:hAnsi="Times New Roman" w:cs="Times New Roman"/>
          <w:color w:val="000000" w:themeColor="text1"/>
          <w:sz w:val="24"/>
          <w:szCs w:val="24"/>
        </w:rPr>
        <w:fldChar w:fldCharType="end"/>
      </w:r>
      <w:r w:rsidRPr="00A70DE1">
        <w:rPr>
          <w:rFonts w:ascii="Times New Roman" w:hAnsi="Times New Roman" w:cs="Times New Roman"/>
          <w:color w:val="000000" w:themeColor="text1"/>
          <w:sz w:val="24"/>
          <w:szCs w:val="24"/>
        </w:rPr>
        <w:t xml:space="preserve"> (Rosa and Johnson, 2019).</w:t>
      </w:r>
    </w:p>
    <w:p w14:paraId="236ECA54" w14:textId="644DEF88" w:rsidR="00695B55" w:rsidRPr="00A70DE1" w:rsidRDefault="00695B55" w:rsidP="00630064">
      <w:pPr>
        <w:spacing w:line="360" w:lineRule="auto"/>
        <w:rPr>
          <w:rFonts w:ascii="Times New Roman" w:hAnsi="Times New Roman" w:cs="Times New Roman"/>
          <w:sz w:val="24"/>
          <w:szCs w:val="24"/>
        </w:rPr>
      </w:pPr>
      <w:r w:rsidRPr="00A70DE1">
        <w:rPr>
          <w:rFonts w:ascii="Times New Roman" w:hAnsi="Times New Roman" w:cs="Times New Roman"/>
          <w:sz w:val="24"/>
          <w:szCs w:val="24"/>
        </w:rPr>
        <w:t xml:space="preserve">The specialty crop industry is </w:t>
      </w:r>
      <w:r w:rsidR="004C1803">
        <w:rPr>
          <w:rFonts w:ascii="Times New Roman" w:hAnsi="Times New Roman" w:cs="Times New Roman"/>
          <w:sz w:val="24"/>
          <w:szCs w:val="24"/>
        </w:rPr>
        <w:t>filled with diverse producers and</w:t>
      </w:r>
      <w:r w:rsidR="00A65A63" w:rsidRPr="00A70DE1">
        <w:rPr>
          <w:rFonts w:ascii="Times New Roman" w:hAnsi="Times New Roman" w:cs="Times New Roman"/>
          <w:sz w:val="24"/>
          <w:szCs w:val="24"/>
        </w:rPr>
        <w:t xml:space="preserve"> problems working towards a common goal of </w:t>
      </w:r>
      <w:r w:rsidR="003D5349">
        <w:rPr>
          <w:rFonts w:ascii="Times New Roman" w:hAnsi="Times New Roman" w:cs="Times New Roman"/>
          <w:sz w:val="24"/>
          <w:szCs w:val="24"/>
        </w:rPr>
        <w:t xml:space="preserve">building an </w:t>
      </w:r>
      <w:r w:rsidR="00A65A63" w:rsidRPr="00A70DE1">
        <w:rPr>
          <w:rFonts w:ascii="Times New Roman" w:hAnsi="Times New Roman" w:cs="Times New Roman"/>
          <w:sz w:val="24"/>
          <w:szCs w:val="24"/>
        </w:rPr>
        <w:t xml:space="preserve">equitable food system </w:t>
      </w:r>
      <w:r w:rsidR="00F25812" w:rsidRPr="00A70DE1">
        <w:rPr>
          <w:rFonts w:ascii="Times New Roman" w:hAnsi="Times New Roman" w:cs="Times New Roman"/>
          <w:sz w:val="24"/>
          <w:szCs w:val="24"/>
        </w:rPr>
        <w:t xml:space="preserve">providing </w:t>
      </w:r>
      <w:r w:rsidR="006D6BEE" w:rsidRPr="00A70DE1">
        <w:rPr>
          <w:rFonts w:ascii="Times New Roman" w:hAnsi="Times New Roman" w:cs="Times New Roman"/>
          <w:sz w:val="24"/>
          <w:szCs w:val="24"/>
        </w:rPr>
        <w:t xml:space="preserve">healthy and nutritious food </w:t>
      </w:r>
      <w:r w:rsidR="003D5349">
        <w:rPr>
          <w:rFonts w:ascii="Times New Roman" w:hAnsi="Times New Roman" w:cs="Times New Roman"/>
          <w:sz w:val="24"/>
          <w:szCs w:val="24"/>
        </w:rPr>
        <w:t>for</w:t>
      </w:r>
      <w:r w:rsidR="003D5349" w:rsidRPr="00A70DE1">
        <w:rPr>
          <w:rFonts w:ascii="Times New Roman" w:hAnsi="Times New Roman" w:cs="Times New Roman"/>
          <w:sz w:val="24"/>
          <w:szCs w:val="24"/>
        </w:rPr>
        <w:t xml:space="preserve"> </w:t>
      </w:r>
      <w:commentRangeStart w:id="2"/>
      <w:commentRangeEnd w:id="2"/>
      <w:r w:rsidR="003D5349">
        <w:rPr>
          <w:rStyle w:val="CommentReference"/>
        </w:rPr>
        <w:commentReference w:id="2"/>
      </w:r>
      <w:r w:rsidR="0065612A" w:rsidRPr="00A70DE1">
        <w:rPr>
          <w:rFonts w:ascii="Times New Roman" w:hAnsi="Times New Roman" w:cs="Times New Roman"/>
          <w:sz w:val="24"/>
          <w:szCs w:val="24"/>
        </w:rPr>
        <w:t xml:space="preserve">healthy and </w:t>
      </w:r>
      <w:r w:rsidR="003D5349">
        <w:rPr>
          <w:rFonts w:ascii="Times New Roman" w:hAnsi="Times New Roman" w:cs="Times New Roman"/>
          <w:sz w:val="24"/>
          <w:szCs w:val="24"/>
        </w:rPr>
        <w:t>strong, stable</w:t>
      </w:r>
      <w:r w:rsidR="003D5349" w:rsidRPr="00A70DE1">
        <w:rPr>
          <w:rFonts w:ascii="Times New Roman" w:hAnsi="Times New Roman" w:cs="Times New Roman"/>
          <w:sz w:val="24"/>
          <w:szCs w:val="24"/>
        </w:rPr>
        <w:t xml:space="preserve"> </w:t>
      </w:r>
      <w:r w:rsidR="0065612A" w:rsidRPr="00A70DE1">
        <w:rPr>
          <w:rFonts w:ascii="Times New Roman" w:hAnsi="Times New Roman" w:cs="Times New Roman"/>
          <w:sz w:val="24"/>
          <w:szCs w:val="24"/>
        </w:rPr>
        <w:t xml:space="preserve">communities. </w:t>
      </w:r>
      <w:r w:rsidR="00567F34" w:rsidRPr="00A70DE1">
        <w:rPr>
          <w:rFonts w:ascii="Times New Roman" w:hAnsi="Times New Roman" w:cs="Times New Roman"/>
          <w:sz w:val="24"/>
          <w:szCs w:val="24"/>
        </w:rPr>
        <w:t xml:space="preserve">Ensuring the resiliency of this food system and </w:t>
      </w:r>
      <w:r w:rsidR="00E21757">
        <w:rPr>
          <w:rFonts w:ascii="Times New Roman" w:hAnsi="Times New Roman" w:cs="Times New Roman"/>
          <w:sz w:val="24"/>
          <w:szCs w:val="24"/>
        </w:rPr>
        <w:t>its producers</w:t>
      </w:r>
      <w:r w:rsidR="00567F34" w:rsidRPr="00A70DE1">
        <w:rPr>
          <w:rFonts w:ascii="Times New Roman" w:hAnsi="Times New Roman" w:cs="Times New Roman"/>
          <w:sz w:val="24"/>
          <w:szCs w:val="24"/>
        </w:rPr>
        <w:t xml:space="preserve"> is of the utmost importance, </w:t>
      </w:r>
      <w:r w:rsidR="003D480C" w:rsidRPr="00A70DE1">
        <w:rPr>
          <w:rFonts w:ascii="Times New Roman" w:hAnsi="Times New Roman" w:cs="Times New Roman"/>
          <w:sz w:val="24"/>
          <w:szCs w:val="24"/>
        </w:rPr>
        <w:t xml:space="preserve">and as </w:t>
      </w:r>
      <w:r w:rsidR="00992A7E" w:rsidRPr="00A70DE1">
        <w:rPr>
          <w:rFonts w:ascii="Times New Roman" w:hAnsi="Times New Roman" w:cs="Times New Roman"/>
          <w:sz w:val="24"/>
          <w:szCs w:val="24"/>
        </w:rPr>
        <w:t xml:space="preserve">our population grows and new </w:t>
      </w:r>
      <w:r w:rsidR="00C20B22" w:rsidRPr="00A70DE1">
        <w:rPr>
          <w:rFonts w:ascii="Times New Roman" w:hAnsi="Times New Roman" w:cs="Times New Roman"/>
          <w:sz w:val="24"/>
          <w:szCs w:val="24"/>
        </w:rPr>
        <w:t xml:space="preserve">pressures test our fragile and fragmented food </w:t>
      </w:r>
      <w:r w:rsidR="00854586" w:rsidRPr="00A70DE1">
        <w:rPr>
          <w:rFonts w:ascii="Times New Roman" w:hAnsi="Times New Roman" w:cs="Times New Roman"/>
          <w:sz w:val="24"/>
          <w:szCs w:val="24"/>
        </w:rPr>
        <w:t>system,</w:t>
      </w:r>
      <w:r w:rsidR="00C20B22" w:rsidRPr="00A70DE1">
        <w:rPr>
          <w:rFonts w:ascii="Times New Roman" w:hAnsi="Times New Roman" w:cs="Times New Roman"/>
          <w:sz w:val="24"/>
          <w:szCs w:val="24"/>
        </w:rPr>
        <w:t xml:space="preserve"> we must find </w:t>
      </w:r>
      <w:r w:rsidR="00861875" w:rsidRPr="00A70DE1">
        <w:rPr>
          <w:rFonts w:ascii="Times New Roman" w:hAnsi="Times New Roman" w:cs="Times New Roman"/>
          <w:sz w:val="24"/>
          <w:szCs w:val="24"/>
        </w:rPr>
        <w:t xml:space="preserve">new strategies to </w:t>
      </w:r>
      <w:r w:rsidR="00A32657" w:rsidRPr="00A70DE1">
        <w:rPr>
          <w:rFonts w:ascii="Times New Roman" w:hAnsi="Times New Roman" w:cs="Times New Roman"/>
          <w:sz w:val="24"/>
          <w:szCs w:val="24"/>
        </w:rPr>
        <w:t xml:space="preserve">protect it </w:t>
      </w:r>
      <w:r w:rsidR="00EA48B9">
        <w:rPr>
          <w:rFonts w:ascii="Times New Roman" w:hAnsi="Times New Roman" w:cs="Times New Roman"/>
          <w:sz w:val="24"/>
          <w:szCs w:val="24"/>
        </w:rPr>
        <w:t>at</w:t>
      </w:r>
      <w:r w:rsidR="00A32657" w:rsidRPr="00A70DE1">
        <w:rPr>
          <w:rFonts w:ascii="Times New Roman" w:hAnsi="Times New Roman" w:cs="Times New Roman"/>
          <w:sz w:val="24"/>
          <w:szCs w:val="24"/>
        </w:rPr>
        <w:t xml:space="preserve"> the very foundation</w:t>
      </w:r>
      <w:r w:rsidR="00854586" w:rsidRPr="00A70DE1">
        <w:rPr>
          <w:rFonts w:ascii="Times New Roman" w:hAnsi="Times New Roman" w:cs="Times New Roman"/>
          <w:sz w:val="24"/>
          <w:szCs w:val="24"/>
        </w:rPr>
        <w:t>:</w:t>
      </w:r>
      <w:r w:rsidR="00A32657" w:rsidRPr="00A70DE1">
        <w:rPr>
          <w:rFonts w:ascii="Times New Roman" w:hAnsi="Times New Roman" w:cs="Times New Roman"/>
          <w:sz w:val="24"/>
          <w:szCs w:val="24"/>
        </w:rPr>
        <w:t xml:space="preserve"> </w:t>
      </w:r>
      <w:r w:rsidR="00854586" w:rsidRPr="00A70DE1">
        <w:rPr>
          <w:rFonts w:ascii="Times New Roman" w:hAnsi="Times New Roman" w:cs="Times New Roman"/>
          <w:sz w:val="24"/>
          <w:szCs w:val="24"/>
        </w:rPr>
        <w:t xml:space="preserve">financial. This project is an innovative approach </w:t>
      </w:r>
      <w:r w:rsidR="007E1712" w:rsidRPr="00A70DE1">
        <w:rPr>
          <w:rFonts w:ascii="Times New Roman" w:hAnsi="Times New Roman" w:cs="Times New Roman"/>
          <w:sz w:val="24"/>
          <w:szCs w:val="24"/>
        </w:rPr>
        <w:t xml:space="preserve">to address </w:t>
      </w:r>
      <w:r w:rsidR="00B57990" w:rsidRPr="00A70DE1">
        <w:rPr>
          <w:rFonts w:ascii="Times New Roman" w:hAnsi="Times New Roman" w:cs="Times New Roman"/>
          <w:sz w:val="24"/>
          <w:szCs w:val="24"/>
        </w:rPr>
        <w:t xml:space="preserve">the dual </w:t>
      </w:r>
      <w:r w:rsidR="00153627" w:rsidRPr="00A70DE1">
        <w:rPr>
          <w:rFonts w:ascii="Times New Roman" w:hAnsi="Times New Roman" w:cs="Times New Roman"/>
          <w:sz w:val="24"/>
          <w:szCs w:val="24"/>
        </w:rPr>
        <w:t xml:space="preserve">pressures </w:t>
      </w:r>
      <w:r w:rsidR="003D5349">
        <w:rPr>
          <w:rFonts w:ascii="Times New Roman" w:hAnsi="Times New Roman" w:cs="Times New Roman"/>
          <w:sz w:val="24"/>
          <w:szCs w:val="24"/>
        </w:rPr>
        <w:t>of</w:t>
      </w:r>
      <w:r w:rsidR="003D5349" w:rsidRPr="00A70DE1">
        <w:rPr>
          <w:rFonts w:ascii="Times New Roman" w:hAnsi="Times New Roman" w:cs="Times New Roman"/>
          <w:sz w:val="24"/>
          <w:szCs w:val="24"/>
        </w:rPr>
        <w:t xml:space="preserve"> </w:t>
      </w:r>
      <w:r w:rsidR="00153627" w:rsidRPr="00A70DE1">
        <w:rPr>
          <w:rFonts w:ascii="Times New Roman" w:hAnsi="Times New Roman" w:cs="Times New Roman"/>
          <w:sz w:val="24"/>
          <w:szCs w:val="24"/>
        </w:rPr>
        <w:t>both supply and demand</w:t>
      </w:r>
      <w:r w:rsidR="003D5349">
        <w:rPr>
          <w:rFonts w:ascii="Times New Roman" w:hAnsi="Times New Roman" w:cs="Times New Roman"/>
          <w:sz w:val="24"/>
          <w:szCs w:val="24"/>
        </w:rPr>
        <w:t xml:space="preserve"> caused by increasing </w:t>
      </w:r>
      <w:r w:rsidR="00B57990" w:rsidRPr="00A70DE1">
        <w:rPr>
          <w:rFonts w:ascii="Times New Roman" w:hAnsi="Times New Roman" w:cs="Times New Roman"/>
          <w:sz w:val="24"/>
          <w:szCs w:val="24"/>
        </w:rPr>
        <w:t>climate change</w:t>
      </w:r>
      <w:r w:rsidR="00153627" w:rsidRPr="00A70DE1">
        <w:rPr>
          <w:rFonts w:ascii="Times New Roman" w:hAnsi="Times New Roman" w:cs="Times New Roman"/>
          <w:sz w:val="24"/>
          <w:szCs w:val="24"/>
        </w:rPr>
        <w:t xml:space="preserve"> and </w:t>
      </w:r>
      <w:r w:rsidR="003D5349">
        <w:rPr>
          <w:rFonts w:ascii="Times New Roman" w:hAnsi="Times New Roman" w:cs="Times New Roman"/>
          <w:sz w:val="24"/>
          <w:szCs w:val="24"/>
        </w:rPr>
        <w:t xml:space="preserve">a growing </w:t>
      </w:r>
      <w:r w:rsidR="00B7465E" w:rsidRPr="00A70DE1">
        <w:rPr>
          <w:rFonts w:ascii="Times New Roman" w:hAnsi="Times New Roman" w:cs="Times New Roman"/>
          <w:sz w:val="24"/>
          <w:szCs w:val="24"/>
        </w:rPr>
        <w:t>interest in local food.</w:t>
      </w:r>
    </w:p>
    <w:p w14:paraId="18FD3B25" w14:textId="6AB6D08B" w:rsidR="006B2542" w:rsidRPr="00A70DE1" w:rsidRDefault="006B2542" w:rsidP="00630064">
      <w:pPr>
        <w:spacing w:line="360" w:lineRule="auto"/>
        <w:rPr>
          <w:rFonts w:ascii="Times New Roman" w:hAnsi="Times New Roman" w:cs="Times New Roman"/>
          <w:sz w:val="24"/>
          <w:szCs w:val="24"/>
        </w:rPr>
      </w:pPr>
      <w:r w:rsidRPr="00A70DE1">
        <w:rPr>
          <w:rFonts w:ascii="Times New Roman" w:hAnsi="Times New Roman" w:cs="Times New Roman"/>
          <w:sz w:val="24"/>
          <w:szCs w:val="24"/>
        </w:rPr>
        <w:t xml:space="preserve">Supporting research into current federal specialty crop insurance options is vital for addressing agricultural challenges through a systems approach. By enhancing the effectiveness and accessibility of crop insurance, we enable farmers to manage climate-related risks more effectively, safeguarding both the environment and their livelihoods. This holistic approach ensures that all farmers, including those cultivating specialty crops, have access to essential risk management tools, fostering a more equitable and resilient agricultural system. Improving insurance options contributes to a competitive and fair marketplace, benefiting all producers and reinforcing the interconnectedness of the agricultural economy. Additionally, stabilizing food production through better insurance helps ensure widespread access to </w:t>
      </w:r>
      <w:r w:rsidR="00EA617C">
        <w:rPr>
          <w:rFonts w:ascii="Times New Roman" w:hAnsi="Times New Roman" w:cs="Times New Roman"/>
          <w:sz w:val="24"/>
          <w:szCs w:val="24"/>
        </w:rPr>
        <w:t xml:space="preserve">a </w:t>
      </w:r>
      <w:r w:rsidRPr="00A70DE1">
        <w:rPr>
          <w:rFonts w:ascii="Times New Roman" w:hAnsi="Times New Roman" w:cs="Times New Roman"/>
          <w:sz w:val="24"/>
          <w:szCs w:val="24"/>
        </w:rPr>
        <w:t>safe and nutritious food</w:t>
      </w:r>
      <w:r w:rsidR="00EA617C">
        <w:rPr>
          <w:rFonts w:ascii="Times New Roman" w:hAnsi="Times New Roman" w:cs="Times New Roman"/>
          <w:sz w:val="24"/>
          <w:szCs w:val="24"/>
        </w:rPr>
        <w:t xml:space="preserve"> supply</w:t>
      </w:r>
      <w:r w:rsidRPr="00A70DE1">
        <w:rPr>
          <w:rFonts w:ascii="Times New Roman" w:hAnsi="Times New Roman" w:cs="Times New Roman"/>
          <w:sz w:val="24"/>
          <w:szCs w:val="24"/>
        </w:rPr>
        <w:t>. Finally, by reducing financial risks for farmers, especially in rural and tribal areas, this research supports economic development and improves quality of life, demonstrating how interconnected elements of the agricultural system can work together to achieve broader societal benefits.</w:t>
      </w:r>
    </w:p>
    <w:p w14:paraId="4565269C" w14:textId="77777777" w:rsidR="00565E4F" w:rsidRDefault="00565E4F">
      <w:pPr>
        <w:spacing w:line="278"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41C60287" w14:textId="414BEE2E" w:rsidR="000536D4" w:rsidRPr="00A70DE1" w:rsidRDefault="000536D4" w:rsidP="00630064">
      <w:pPr>
        <w:spacing w:line="360" w:lineRule="auto"/>
        <w:rPr>
          <w:rFonts w:ascii="Times New Roman" w:hAnsi="Times New Roman" w:cs="Times New Roman"/>
          <w:i/>
          <w:iCs/>
          <w:sz w:val="24"/>
          <w:szCs w:val="24"/>
        </w:rPr>
      </w:pPr>
      <w:r w:rsidRPr="00A70DE1">
        <w:rPr>
          <w:rFonts w:ascii="Times New Roman" w:hAnsi="Times New Roman" w:cs="Times New Roman"/>
          <w:i/>
          <w:iCs/>
          <w:sz w:val="24"/>
          <w:szCs w:val="24"/>
        </w:rPr>
        <w:lastRenderedPageBreak/>
        <w:t>Logic Model</w:t>
      </w:r>
    </w:p>
    <w:p w14:paraId="6C35058F" w14:textId="77777777" w:rsidR="000536D4" w:rsidRPr="00A70DE1" w:rsidRDefault="000536D4" w:rsidP="00630064">
      <w:pPr>
        <w:spacing w:line="360" w:lineRule="auto"/>
        <w:rPr>
          <w:rFonts w:ascii="Times New Roman" w:eastAsiaTheme="majorEastAsia" w:hAnsi="Times New Roman" w:cs="Times New Roman"/>
          <w:b/>
          <w:bCs/>
          <w:color w:val="0F4761" w:themeColor="accent1" w:themeShade="BF"/>
          <w:sz w:val="24"/>
          <w:szCs w:val="24"/>
        </w:rPr>
      </w:pPr>
      <w:r w:rsidRPr="00A70DE1">
        <w:rPr>
          <w:rFonts w:ascii="Times New Roman" w:hAnsi="Times New Roman" w:cs="Times New Roman"/>
          <w:b/>
          <w:bCs/>
          <w:sz w:val="24"/>
          <w:szCs w:val="24"/>
        </w:rPr>
        <w:br w:type="page"/>
      </w:r>
    </w:p>
    <w:p w14:paraId="05A7D84F" w14:textId="5891CB67" w:rsidR="000536D4" w:rsidRPr="00A70DE1" w:rsidRDefault="000536D4" w:rsidP="00630064">
      <w:pPr>
        <w:pStyle w:val="Heading1"/>
        <w:spacing w:line="360" w:lineRule="auto"/>
        <w:rPr>
          <w:rFonts w:ascii="Times New Roman" w:hAnsi="Times New Roman" w:cs="Times New Roman"/>
          <w:b/>
          <w:bCs/>
          <w:sz w:val="24"/>
          <w:szCs w:val="24"/>
        </w:rPr>
      </w:pPr>
      <w:bookmarkStart w:id="3" w:name="_Toc172283619"/>
      <w:r w:rsidRPr="00A70DE1">
        <w:rPr>
          <w:rFonts w:ascii="Times New Roman" w:hAnsi="Times New Roman" w:cs="Times New Roman"/>
          <w:b/>
          <w:bCs/>
          <w:sz w:val="24"/>
          <w:szCs w:val="24"/>
        </w:rPr>
        <w:lastRenderedPageBreak/>
        <w:t>Project Description</w:t>
      </w:r>
      <w:bookmarkEnd w:id="3"/>
    </w:p>
    <w:p w14:paraId="490170E7" w14:textId="529CEC7A" w:rsidR="000536D4" w:rsidRPr="00C60B4F" w:rsidRDefault="000536D4" w:rsidP="00630064">
      <w:pPr>
        <w:spacing w:line="360" w:lineRule="auto"/>
        <w:rPr>
          <w:rFonts w:ascii="Times New Roman" w:hAnsi="Times New Roman" w:cs="Times New Roman"/>
          <w:i/>
          <w:iCs/>
          <w:sz w:val="24"/>
          <w:szCs w:val="24"/>
        </w:rPr>
      </w:pPr>
      <w:r w:rsidRPr="00C60B4F">
        <w:rPr>
          <w:rFonts w:ascii="Times New Roman" w:hAnsi="Times New Roman" w:cs="Times New Roman"/>
          <w:i/>
          <w:iCs/>
          <w:sz w:val="24"/>
          <w:szCs w:val="24"/>
        </w:rPr>
        <w:t>Introduction</w:t>
      </w:r>
    </w:p>
    <w:p w14:paraId="203F0238" w14:textId="77777777" w:rsidR="00983860" w:rsidRPr="00A70DE1" w:rsidRDefault="00983860" w:rsidP="00630064">
      <w:pPr>
        <w:spacing w:after="0" w:line="360" w:lineRule="auto"/>
        <w:ind w:firstLine="720"/>
        <w:rPr>
          <w:rFonts w:ascii="Times New Roman" w:hAnsi="Times New Roman" w:cs="Times New Roman"/>
          <w:color w:val="C00000"/>
          <w:sz w:val="24"/>
          <w:szCs w:val="24"/>
        </w:rPr>
      </w:pPr>
      <w:r w:rsidRPr="00A70DE1">
        <w:rPr>
          <w:rFonts w:ascii="Times New Roman" w:hAnsi="Times New Roman" w:cs="Times New Roman"/>
          <w:sz w:val="24"/>
          <w:szCs w:val="24"/>
        </w:rPr>
        <w:t xml:space="preserve">Currently, commercial production of one or more specialty crops occurs in every state in the United States. </w:t>
      </w:r>
      <w:r w:rsidRPr="00A70DE1">
        <w:rPr>
          <w:rFonts w:ascii="Times New Roman" w:hAnsi="Times New Roman" w:cs="Times New Roman"/>
          <w:color w:val="000000" w:themeColor="text1"/>
          <w:sz w:val="24"/>
          <w:szCs w:val="24"/>
        </w:rPr>
        <w:t xml:space="preserve">Most US fruits or vegetables are produced in three coastal states (California, Florida, and Washington), while dried beans or pulses are concentrated in North Dakota and Montana. Overall, distribution across regions varies according to commodity. </w:t>
      </w:r>
      <w:r w:rsidRPr="00A70DE1">
        <w:rPr>
          <w:rFonts w:ascii="Times New Roman" w:hAnsi="Times New Roman" w:cs="Times New Roman"/>
          <w:color w:val="C00000"/>
          <w:sz w:val="24"/>
          <w:szCs w:val="24"/>
        </w:rPr>
        <w:fldChar w:fldCharType="begin"/>
      </w:r>
      <w:r w:rsidRPr="00A70DE1">
        <w:rPr>
          <w:rFonts w:ascii="Times New Roman" w:hAnsi="Times New Roman" w:cs="Times New Roman"/>
          <w:color w:val="C00000"/>
          <w:sz w:val="24"/>
          <w:szCs w:val="24"/>
        </w:rPr>
        <w:instrText xml:space="preserve"> ADDIN ZOTERO_ITEM CSL_CITATION {"citationID":"0JVWVFpw","properties":{"formattedCitation":"(Johnson, 2017)","plainCitation":"(Johnson, 2017)","noteIndex":0},"citationItems":[{"id":91,"uris":["http://zotero.org/users/8408281/items/7DKS774K"],"itemData":{"id":91,"type":"article-journal","container-title":"Congressional Research Services: Washington, DC, USA","title":"Defining “specialty crops”: a fact sheet","author":[{"family":"Johnson","given":"Renée"}],"issued":{"date-parts":[["2017"]]}}}],"schema":"https://github.com/citation-style-language/schema/raw/master/csl-citation.json"} </w:instrText>
      </w:r>
      <w:r w:rsidRPr="00A70DE1">
        <w:rPr>
          <w:rFonts w:ascii="Times New Roman" w:hAnsi="Times New Roman" w:cs="Times New Roman"/>
          <w:color w:val="C00000"/>
          <w:sz w:val="24"/>
          <w:szCs w:val="24"/>
        </w:rPr>
        <w:fldChar w:fldCharType="separate"/>
      </w:r>
      <w:r w:rsidRPr="00A70DE1">
        <w:rPr>
          <w:rFonts w:ascii="Times New Roman" w:hAnsi="Times New Roman" w:cs="Times New Roman"/>
          <w:sz w:val="24"/>
          <w:szCs w:val="24"/>
        </w:rPr>
        <w:t>(Johnson, 2017)</w:t>
      </w:r>
      <w:r w:rsidRPr="00A70DE1">
        <w:rPr>
          <w:rFonts w:ascii="Times New Roman" w:hAnsi="Times New Roman" w:cs="Times New Roman"/>
          <w:color w:val="C00000"/>
          <w:sz w:val="24"/>
          <w:szCs w:val="24"/>
        </w:rPr>
        <w:fldChar w:fldCharType="end"/>
      </w:r>
      <w:r w:rsidRPr="00A70DE1">
        <w:rPr>
          <w:rFonts w:ascii="Times New Roman" w:hAnsi="Times New Roman" w:cs="Times New Roman"/>
          <w:color w:val="C00000"/>
          <w:sz w:val="24"/>
          <w:szCs w:val="24"/>
        </w:rPr>
        <w:t xml:space="preserve"> </w:t>
      </w:r>
    </w:p>
    <w:tbl>
      <w:tblPr>
        <w:tblStyle w:val="TableGrid"/>
        <w:tblW w:w="0" w:type="auto"/>
        <w:jc w:val="center"/>
        <w:tblCellMar>
          <w:left w:w="101" w:type="dxa"/>
          <w:right w:w="101" w:type="dxa"/>
        </w:tblCellMar>
        <w:tblLook w:val="04A0" w:firstRow="1" w:lastRow="0" w:firstColumn="1" w:lastColumn="0" w:noHBand="0" w:noVBand="1"/>
      </w:tblPr>
      <w:tblGrid>
        <w:gridCol w:w="2235"/>
        <w:gridCol w:w="5017"/>
      </w:tblGrid>
      <w:tr w:rsidR="00983860" w:rsidRPr="00A70DE1" w14:paraId="48FD6D20" w14:textId="77777777">
        <w:trPr>
          <w:trHeight w:val="320"/>
          <w:jc w:val="center"/>
        </w:trPr>
        <w:tc>
          <w:tcPr>
            <w:tcW w:w="0" w:type="auto"/>
            <w:noWrap/>
            <w:hideMark/>
          </w:tcPr>
          <w:p w14:paraId="2C44E620" w14:textId="77777777" w:rsidR="00983860" w:rsidRPr="00A70DE1" w:rsidRDefault="00983860" w:rsidP="00630064">
            <w:pPr>
              <w:spacing w:line="360" w:lineRule="auto"/>
              <w:ind w:firstLine="720"/>
              <w:jc w:val="both"/>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State</w:t>
            </w:r>
          </w:p>
        </w:tc>
        <w:tc>
          <w:tcPr>
            <w:tcW w:w="5017" w:type="dxa"/>
            <w:noWrap/>
            <w:hideMark/>
          </w:tcPr>
          <w:p w14:paraId="6A3D33E9" w14:textId="77777777" w:rsidR="00983860" w:rsidRPr="00A70DE1" w:rsidRDefault="00983860" w:rsidP="00630064">
            <w:pPr>
              <w:spacing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Acres in Specialty Crops</w:t>
            </w:r>
          </w:p>
        </w:tc>
      </w:tr>
      <w:tr w:rsidR="00983860" w:rsidRPr="00A70DE1" w14:paraId="76254010" w14:textId="77777777">
        <w:trPr>
          <w:trHeight w:val="320"/>
          <w:jc w:val="center"/>
        </w:trPr>
        <w:tc>
          <w:tcPr>
            <w:tcW w:w="0" w:type="auto"/>
            <w:noWrap/>
            <w:hideMark/>
          </w:tcPr>
          <w:p w14:paraId="3D504BA7" w14:textId="77777777" w:rsidR="00983860" w:rsidRPr="00A70DE1" w:rsidRDefault="00983860" w:rsidP="00630064">
            <w:pPr>
              <w:spacing w:line="360" w:lineRule="auto"/>
              <w:ind w:firstLine="720"/>
              <w:jc w:val="both"/>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California</w:t>
            </w:r>
          </w:p>
        </w:tc>
        <w:tc>
          <w:tcPr>
            <w:tcW w:w="5017" w:type="dxa"/>
            <w:noWrap/>
            <w:hideMark/>
          </w:tcPr>
          <w:p w14:paraId="4C731624" w14:textId="7DD9D798" w:rsidR="00983860" w:rsidRPr="00A70DE1" w:rsidRDefault="00983860" w:rsidP="00630064">
            <w:pPr>
              <w:spacing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4</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767</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784</w:t>
            </w:r>
          </w:p>
        </w:tc>
      </w:tr>
      <w:tr w:rsidR="00983860" w:rsidRPr="00A70DE1" w14:paraId="00B52CB6" w14:textId="77777777">
        <w:trPr>
          <w:trHeight w:val="320"/>
          <w:jc w:val="center"/>
        </w:trPr>
        <w:tc>
          <w:tcPr>
            <w:tcW w:w="0" w:type="auto"/>
            <w:noWrap/>
            <w:hideMark/>
          </w:tcPr>
          <w:p w14:paraId="0E178F9D" w14:textId="77777777" w:rsidR="00983860" w:rsidRPr="00A70DE1" w:rsidRDefault="00983860" w:rsidP="00630064">
            <w:pPr>
              <w:spacing w:line="360" w:lineRule="auto"/>
              <w:ind w:firstLine="720"/>
              <w:jc w:val="both"/>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North Dakota</w:t>
            </w:r>
          </w:p>
        </w:tc>
        <w:tc>
          <w:tcPr>
            <w:tcW w:w="5017" w:type="dxa"/>
            <w:noWrap/>
            <w:hideMark/>
          </w:tcPr>
          <w:p w14:paraId="38ED3FCB" w14:textId="539BF8B5" w:rsidR="00983860" w:rsidRPr="00A70DE1" w:rsidRDefault="00983860" w:rsidP="00630064">
            <w:pPr>
              <w:spacing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1</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463</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183</w:t>
            </w:r>
          </w:p>
        </w:tc>
      </w:tr>
      <w:tr w:rsidR="00983860" w:rsidRPr="00A70DE1" w14:paraId="12737D26" w14:textId="77777777">
        <w:trPr>
          <w:trHeight w:val="320"/>
          <w:jc w:val="center"/>
        </w:trPr>
        <w:tc>
          <w:tcPr>
            <w:tcW w:w="0" w:type="auto"/>
            <w:noWrap/>
            <w:hideMark/>
          </w:tcPr>
          <w:p w14:paraId="4180ED0D" w14:textId="77777777" w:rsidR="00983860" w:rsidRPr="00A70DE1" w:rsidRDefault="00983860" w:rsidP="00630064">
            <w:pPr>
              <w:spacing w:line="360" w:lineRule="auto"/>
              <w:ind w:firstLine="720"/>
              <w:jc w:val="both"/>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Montana</w:t>
            </w:r>
          </w:p>
        </w:tc>
        <w:tc>
          <w:tcPr>
            <w:tcW w:w="5017" w:type="dxa"/>
            <w:noWrap/>
            <w:hideMark/>
          </w:tcPr>
          <w:p w14:paraId="0A12E8A3" w14:textId="3C1B5B28" w:rsidR="00983860" w:rsidRPr="00A70DE1" w:rsidRDefault="00983860" w:rsidP="00630064">
            <w:pPr>
              <w:spacing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1</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429</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337</w:t>
            </w:r>
          </w:p>
        </w:tc>
      </w:tr>
      <w:tr w:rsidR="00983860" w:rsidRPr="00A70DE1" w14:paraId="767D168F" w14:textId="77777777">
        <w:trPr>
          <w:trHeight w:val="320"/>
          <w:jc w:val="center"/>
        </w:trPr>
        <w:tc>
          <w:tcPr>
            <w:tcW w:w="0" w:type="auto"/>
            <w:noWrap/>
            <w:hideMark/>
          </w:tcPr>
          <w:p w14:paraId="7394DCAA" w14:textId="77777777" w:rsidR="00983860" w:rsidRPr="00A70DE1" w:rsidRDefault="00983860" w:rsidP="00630064">
            <w:pPr>
              <w:spacing w:line="360" w:lineRule="auto"/>
              <w:ind w:firstLine="720"/>
              <w:jc w:val="both"/>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Washington</w:t>
            </w:r>
          </w:p>
        </w:tc>
        <w:tc>
          <w:tcPr>
            <w:tcW w:w="5017" w:type="dxa"/>
            <w:noWrap/>
            <w:hideMark/>
          </w:tcPr>
          <w:p w14:paraId="30E25900" w14:textId="06175467" w:rsidR="00983860" w:rsidRPr="00A70DE1" w:rsidRDefault="00983860" w:rsidP="00630064">
            <w:pPr>
              <w:spacing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1</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112</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175</w:t>
            </w:r>
          </w:p>
        </w:tc>
      </w:tr>
      <w:tr w:rsidR="00983860" w:rsidRPr="00A70DE1" w14:paraId="75DC5BD7" w14:textId="77777777">
        <w:trPr>
          <w:trHeight w:val="320"/>
          <w:jc w:val="center"/>
        </w:trPr>
        <w:tc>
          <w:tcPr>
            <w:tcW w:w="0" w:type="auto"/>
            <w:noWrap/>
            <w:hideMark/>
          </w:tcPr>
          <w:p w14:paraId="37D769AE" w14:textId="77777777" w:rsidR="00983860" w:rsidRPr="00A70DE1" w:rsidRDefault="00983860" w:rsidP="00630064">
            <w:pPr>
              <w:spacing w:line="360" w:lineRule="auto"/>
              <w:ind w:firstLine="720"/>
              <w:jc w:val="both"/>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Florida</w:t>
            </w:r>
          </w:p>
        </w:tc>
        <w:tc>
          <w:tcPr>
            <w:tcW w:w="5017" w:type="dxa"/>
            <w:noWrap/>
            <w:hideMark/>
          </w:tcPr>
          <w:p w14:paraId="5DFE0A42" w14:textId="4EDC9B75" w:rsidR="00983860" w:rsidRPr="00A70DE1" w:rsidRDefault="00983860" w:rsidP="00630064">
            <w:pPr>
              <w:spacing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8</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710</w:t>
            </w:r>
            <w:r w:rsidR="00B370E5">
              <w:rPr>
                <w:rFonts w:ascii="Times New Roman" w:hAnsi="Times New Roman" w:cs="Times New Roman"/>
                <w:color w:val="000000" w:themeColor="text1"/>
                <w:sz w:val="24"/>
                <w:szCs w:val="24"/>
              </w:rPr>
              <w:t>,</w:t>
            </w:r>
            <w:r w:rsidRPr="00A70DE1">
              <w:rPr>
                <w:rFonts w:ascii="Times New Roman" w:hAnsi="Times New Roman" w:cs="Times New Roman"/>
                <w:color w:val="000000" w:themeColor="text1"/>
                <w:sz w:val="24"/>
                <w:szCs w:val="24"/>
              </w:rPr>
              <w:t>669</w:t>
            </w:r>
          </w:p>
        </w:tc>
      </w:tr>
    </w:tbl>
    <w:p w14:paraId="21BC4D74" w14:textId="17D54808" w:rsidR="00983860" w:rsidRPr="00A70DE1" w:rsidRDefault="00983860" w:rsidP="00630064">
      <w:pPr>
        <w:spacing w:after="0" w:line="360" w:lineRule="auto"/>
        <w:ind w:firstLine="720"/>
        <w:rPr>
          <w:rFonts w:ascii="Times New Roman" w:hAnsi="Times New Roman" w:cs="Times New Roman"/>
          <w:color w:val="C00000"/>
          <w:sz w:val="24"/>
          <w:szCs w:val="24"/>
        </w:rPr>
      </w:pPr>
    </w:p>
    <w:p w14:paraId="4FF428D7" w14:textId="77777777" w:rsidR="00983860" w:rsidRPr="00A70DE1" w:rsidRDefault="00983860" w:rsidP="00630064">
      <w:pPr>
        <w:spacing w:after="0" w:line="360" w:lineRule="auto"/>
        <w:ind w:firstLine="720"/>
        <w:rPr>
          <w:rFonts w:ascii="Times New Roman" w:hAnsi="Times New Roman" w:cs="Times New Roman"/>
          <w:b/>
          <w:bCs/>
          <w:color w:val="000000" w:themeColor="text1"/>
          <w:sz w:val="24"/>
          <w:szCs w:val="24"/>
        </w:rPr>
      </w:pPr>
      <w:commentRangeStart w:id="4"/>
      <w:r w:rsidRPr="00A70DE1">
        <w:rPr>
          <w:rFonts w:ascii="Times New Roman" w:hAnsi="Times New Roman" w:cs="Times New Roman"/>
          <w:b/>
          <w:bCs/>
          <w:color w:val="000000" w:themeColor="text1"/>
          <w:sz w:val="24"/>
          <w:szCs w:val="24"/>
        </w:rPr>
        <w:t>Figure 1</w:t>
      </w:r>
      <w:commentRangeEnd w:id="4"/>
      <w:r w:rsidRPr="00A70DE1">
        <w:rPr>
          <w:rStyle w:val="CommentReference"/>
          <w:rFonts w:ascii="Times New Roman" w:hAnsi="Times New Roman" w:cs="Times New Roman"/>
          <w:sz w:val="24"/>
          <w:szCs w:val="24"/>
        </w:rPr>
        <w:commentReference w:id="4"/>
      </w:r>
      <w:r w:rsidRPr="00A70DE1">
        <w:rPr>
          <w:rFonts w:ascii="Times New Roman" w:hAnsi="Times New Roman" w:cs="Times New Roman"/>
          <w:b/>
          <w:bCs/>
          <w:color w:val="000000" w:themeColor="text1"/>
          <w:sz w:val="24"/>
          <w:szCs w:val="24"/>
        </w:rPr>
        <w:t xml:space="preserve"> illustrates the density of vegetable crop production in the United States. </w:t>
      </w:r>
    </w:p>
    <w:p w14:paraId="64CFA7CE" w14:textId="77777777" w:rsidR="00983860" w:rsidRPr="00A70DE1" w:rsidRDefault="00983860" w:rsidP="00630064">
      <w:pPr>
        <w:spacing w:after="0" w:line="360" w:lineRule="auto"/>
        <w:ind w:firstLine="720"/>
        <w:rPr>
          <w:rFonts w:ascii="Times New Roman" w:hAnsi="Times New Roman" w:cs="Times New Roman"/>
          <w:b/>
          <w:bCs/>
          <w:color w:val="000000" w:themeColor="text1"/>
          <w:sz w:val="24"/>
          <w:szCs w:val="24"/>
        </w:rPr>
      </w:pPr>
      <w:r w:rsidRPr="00A70DE1">
        <w:rPr>
          <w:rFonts w:ascii="Times New Roman" w:hAnsi="Times New Roman" w:cs="Times New Roman"/>
          <w:b/>
          <w:bCs/>
          <w:color w:val="000000" w:themeColor="text1"/>
          <w:sz w:val="24"/>
          <w:szCs w:val="24"/>
        </w:rPr>
        <w:t>Figure 2 shows the density of fruit/nut crop production in the United States.</w:t>
      </w:r>
    </w:p>
    <w:p w14:paraId="74B44595" w14:textId="2F6B4076" w:rsidR="00EA617C" w:rsidRDefault="00983860" w:rsidP="00EA617C">
      <w:pPr>
        <w:spacing w:after="0" w:line="360" w:lineRule="auto"/>
        <w:ind w:firstLine="720"/>
        <w:rPr>
          <w:rFonts w:ascii="Times New Roman" w:hAnsi="Times New Roman" w:cs="Times New Roman"/>
          <w:sz w:val="24"/>
          <w:szCs w:val="24"/>
        </w:rPr>
      </w:pPr>
      <w:r w:rsidRPr="009A2D74">
        <w:rPr>
          <w:rFonts w:ascii="Times New Roman" w:hAnsi="Times New Roman" w:cs="Times New Roman"/>
          <w:color w:val="000000" w:themeColor="text1"/>
          <w:sz w:val="24"/>
          <w:szCs w:val="24"/>
        </w:rPr>
        <w:t xml:space="preserve">California is essential to specialty crop production in the US, as it produces more than 1/3 of the vegetables and 2/3 of the fruits and nuts grown in the US. It is the leading producer of dozens of specialty crops and the sole producer (99% or more) of almonds, dates, figs, raisin grapes, kiwifruit, honeydew, olives, clingstone peaches, pistachios, and walnuts, among others. California's success in specialty crop production can be attributed to several factors. The state's diverse climate and geography create ideal conditions for a wide range </w:t>
      </w:r>
      <w:r w:rsidRPr="00A70DE1">
        <w:rPr>
          <w:rFonts w:ascii="Times New Roman" w:hAnsi="Times New Roman" w:cs="Times New Roman"/>
          <w:sz w:val="24"/>
          <w:szCs w:val="24"/>
        </w:rPr>
        <w:t>of crops, especially high-value specialty crops (</w:t>
      </w:r>
      <w:proofErr w:type="spellStart"/>
      <w:r w:rsidRPr="00A70DE1">
        <w:rPr>
          <w:rFonts w:ascii="Times New Roman" w:hAnsi="Times New Roman" w:cs="Times New Roman"/>
          <w:sz w:val="24"/>
          <w:szCs w:val="24"/>
        </w:rPr>
        <w:t>Frisvold</w:t>
      </w:r>
      <w:proofErr w:type="spellEnd"/>
      <w:r w:rsidRPr="00A70DE1">
        <w:rPr>
          <w:rFonts w:ascii="Times New Roman" w:hAnsi="Times New Roman" w:cs="Times New Roman"/>
          <w:sz w:val="24"/>
          <w:szCs w:val="24"/>
        </w:rPr>
        <w:t xml:space="preserve"> 2013). Specifically, many areas of California have substantially more stability in terms of rainfall and temperature than </w:t>
      </w:r>
      <w:r w:rsidR="00CE47F1">
        <w:rPr>
          <w:rFonts w:ascii="Times New Roman" w:hAnsi="Times New Roman" w:cs="Times New Roman"/>
          <w:sz w:val="24"/>
          <w:szCs w:val="24"/>
        </w:rPr>
        <w:t xml:space="preserve">in </w:t>
      </w:r>
      <w:r w:rsidRPr="00A70DE1">
        <w:rPr>
          <w:rFonts w:ascii="Times New Roman" w:hAnsi="Times New Roman" w:cs="Times New Roman"/>
          <w:sz w:val="24"/>
          <w:szCs w:val="24"/>
        </w:rPr>
        <w:t>more northern or central parts of the US.</w:t>
      </w:r>
      <w:r w:rsidR="00EA617C">
        <w:rPr>
          <w:rFonts w:ascii="Times New Roman" w:hAnsi="Times New Roman" w:cs="Times New Roman"/>
          <w:sz w:val="24"/>
          <w:szCs w:val="24"/>
        </w:rPr>
        <w:t xml:space="preserve"> </w:t>
      </w:r>
      <w:r w:rsidRPr="00A70DE1">
        <w:rPr>
          <w:rFonts w:ascii="Times New Roman" w:hAnsi="Times New Roman" w:cs="Times New Roman"/>
          <w:sz w:val="24"/>
          <w:szCs w:val="24"/>
        </w:rPr>
        <w:t xml:space="preserve">Additionally, urban areas in </w:t>
      </w:r>
      <w:r w:rsidR="00EA617C">
        <w:rPr>
          <w:rFonts w:ascii="Times New Roman" w:hAnsi="Times New Roman" w:cs="Times New Roman"/>
          <w:sz w:val="24"/>
          <w:szCs w:val="24"/>
        </w:rPr>
        <w:t>California</w:t>
      </w:r>
      <w:r w:rsidR="00EA617C" w:rsidRPr="00A70DE1">
        <w:rPr>
          <w:rFonts w:ascii="Times New Roman" w:hAnsi="Times New Roman" w:cs="Times New Roman"/>
          <w:sz w:val="24"/>
          <w:szCs w:val="24"/>
        </w:rPr>
        <w:t xml:space="preserve"> </w:t>
      </w:r>
      <w:r w:rsidRPr="00A70DE1">
        <w:rPr>
          <w:rFonts w:ascii="Times New Roman" w:hAnsi="Times New Roman" w:cs="Times New Roman"/>
          <w:sz w:val="24"/>
          <w:szCs w:val="24"/>
        </w:rPr>
        <w:t>have benefited agriculture by providing capital</w:t>
      </w:r>
      <w:r w:rsidR="009643A3">
        <w:rPr>
          <w:rFonts w:ascii="Times New Roman" w:hAnsi="Times New Roman" w:cs="Times New Roman"/>
          <w:sz w:val="24"/>
          <w:szCs w:val="24"/>
        </w:rPr>
        <w:t xml:space="preserve">, </w:t>
      </w:r>
      <w:r w:rsidRPr="00A70DE1">
        <w:rPr>
          <w:rFonts w:ascii="Times New Roman" w:hAnsi="Times New Roman" w:cs="Times New Roman"/>
          <w:sz w:val="24"/>
          <w:szCs w:val="24"/>
        </w:rPr>
        <w:t>enabling modern operations development</w:t>
      </w:r>
      <w:r w:rsidR="009643A3">
        <w:rPr>
          <w:rFonts w:ascii="Times New Roman" w:hAnsi="Times New Roman" w:cs="Times New Roman"/>
          <w:sz w:val="24"/>
          <w:szCs w:val="24"/>
        </w:rPr>
        <w:t>,</w:t>
      </w:r>
      <w:r w:rsidRPr="00A70DE1">
        <w:rPr>
          <w:rFonts w:ascii="Times New Roman" w:hAnsi="Times New Roman" w:cs="Times New Roman"/>
          <w:sz w:val="24"/>
          <w:szCs w:val="24"/>
        </w:rPr>
        <w:t xml:space="preserve"> and the ability to attract and fund labor for high-intensity crops</w:t>
      </w:r>
      <w:r w:rsidR="0005248B">
        <w:rPr>
          <w:rFonts w:ascii="Times New Roman" w:hAnsi="Times New Roman" w:cs="Times New Roman"/>
          <w:sz w:val="24"/>
          <w:szCs w:val="24"/>
        </w:rPr>
        <w:t xml:space="preserve"> </w:t>
      </w:r>
      <w:r w:rsidR="0005248B" w:rsidRPr="00A70DE1">
        <w:rPr>
          <w:rFonts w:ascii="Times New Roman" w:hAnsi="Times New Roman" w:cs="Times New Roman"/>
          <w:sz w:val="24"/>
          <w:szCs w:val="24"/>
        </w:rPr>
        <w:t>(Hart 2003)</w:t>
      </w:r>
      <w:r w:rsidRPr="00A70DE1">
        <w:rPr>
          <w:rFonts w:ascii="Times New Roman" w:hAnsi="Times New Roman" w:cs="Times New Roman"/>
          <w:sz w:val="24"/>
          <w:szCs w:val="24"/>
        </w:rPr>
        <w:t xml:space="preserve">. </w:t>
      </w:r>
    </w:p>
    <w:p w14:paraId="07EC9BA8" w14:textId="09DEDA92" w:rsidR="00983860" w:rsidRPr="00A70DE1" w:rsidRDefault="00983860" w:rsidP="00EA617C">
      <w:pPr>
        <w:spacing w:after="0" w:line="360" w:lineRule="auto"/>
        <w:ind w:firstLine="720"/>
        <w:rPr>
          <w:rFonts w:ascii="Times New Roman" w:hAnsi="Times New Roman" w:cs="Times New Roman"/>
          <w:color w:val="C00000"/>
          <w:sz w:val="24"/>
          <w:szCs w:val="24"/>
        </w:rPr>
      </w:pPr>
      <w:r w:rsidRPr="00A70DE1">
        <w:rPr>
          <w:rFonts w:ascii="Times New Roman" w:hAnsi="Times New Roman" w:cs="Times New Roman"/>
          <w:sz w:val="24"/>
          <w:szCs w:val="24"/>
        </w:rPr>
        <w:t>The factors contributing to the success of California, Florida, and Washington are the same factors preventing significant growth on a commercial scale in other regions; many other states, even if the growing season provides an opportunity for producer expansion, are unable to produce at a commercial level due to the onslaught of pests from the early rainfalls, late freezes, or lack of skilled labor infrastructure.</w:t>
      </w:r>
      <w:r w:rsidRPr="00A70DE1">
        <w:rPr>
          <w:rFonts w:ascii="Times New Roman" w:hAnsi="Times New Roman" w:cs="Times New Roman"/>
          <w:color w:val="C00000"/>
          <w:sz w:val="24"/>
          <w:szCs w:val="24"/>
        </w:rPr>
        <w:t xml:space="preserve"> </w:t>
      </w:r>
      <w:r w:rsidRPr="00A70DE1">
        <w:rPr>
          <w:rFonts w:ascii="Times New Roman" w:hAnsi="Times New Roman" w:cs="Times New Roman"/>
          <w:sz w:val="24"/>
          <w:szCs w:val="24"/>
        </w:rPr>
        <w:t xml:space="preserve">However, climate change is projected to not only shift the growing areas of many crops but also present more climate variability, with excessive moisture, freeze, and drought events being the most significant factors. </w:t>
      </w:r>
      <w:r w:rsidRPr="00A70DE1">
        <w:rPr>
          <w:rFonts w:ascii="Times New Roman" w:hAnsi="Times New Roman" w:cs="Times New Roman"/>
          <w:sz w:val="24"/>
          <w:szCs w:val="24"/>
        </w:rPr>
        <w:fldChar w:fldCharType="begin"/>
      </w:r>
      <w:r w:rsidRPr="00A70DE1">
        <w:rPr>
          <w:rFonts w:ascii="Times New Roman" w:hAnsi="Times New Roman" w:cs="Times New Roman"/>
          <w:sz w:val="24"/>
          <w:szCs w:val="24"/>
        </w:rPr>
        <w:instrText xml:space="preserve"> ADDIN ZOTERO_ITEM CSL_CITATION {"citationID":"d5L6bnrM","properties":{"formattedCitation":"(Kistner et al., 2018)","plainCitation":"(Kistner et al., 2018)","noteIndex":0},"citationItems":[{"id":94,"uris":["http://zotero.org/users/8408281/items/5MB8ANAG"],"itemData":{"id":94,"type":"article-journal","container-title":"Climatic Change","DOI":"10.1007/s10584-017-2066-1","ISSN":"0165-0009, 1573-1480","issue":"1-2","journalAbbreviation":"Climatic Change","language":"en","page":"145-158","source":"DOI.org (Crossref)","title":"Vulnerability of specialty crops to short-term climatic variability and adaptation strategies in the Midwestern USA","volume":"146","author":[{"family":"Kistner","given":"Erica"},{"family":"Kellner","given":"Olivia"},{"family":"Andresen","given":"Jeffrey"},{"family":"Todey","given":"Dennis"},{"family":"Morton","given":"Lois Wright"}],"issued":{"date-parts":[["2018",1]]}}}],"schema":"https://github.com/citation-style-language/schema/raw/master/csl-citation.json"} </w:instrText>
      </w:r>
      <w:r w:rsidRPr="00A70DE1">
        <w:rPr>
          <w:rFonts w:ascii="Times New Roman" w:hAnsi="Times New Roman" w:cs="Times New Roman"/>
          <w:sz w:val="24"/>
          <w:szCs w:val="24"/>
        </w:rPr>
        <w:fldChar w:fldCharType="separate"/>
      </w:r>
      <w:r w:rsidRPr="00A70DE1">
        <w:rPr>
          <w:rFonts w:ascii="Times New Roman" w:hAnsi="Times New Roman" w:cs="Times New Roman"/>
          <w:sz w:val="24"/>
          <w:szCs w:val="24"/>
        </w:rPr>
        <w:t>(Kistner et al., 2018)</w:t>
      </w:r>
      <w:r w:rsidRPr="00A70DE1">
        <w:rPr>
          <w:rFonts w:ascii="Times New Roman" w:hAnsi="Times New Roman" w:cs="Times New Roman"/>
          <w:sz w:val="24"/>
          <w:szCs w:val="24"/>
        </w:rPr>
        <w:fldChar w:fldCharType="end"/>
      </w:r>
      <w:r w:rsidRPr="00A70DE1">
        <w:rPr>
          <w:rFonts w:ascii="Times New Roman" w:hAnsi="Times New Roman" w:cs="Times New Roman"/>
          <w:sz w:val="24"/>
          <w:szCs w:val="24"/>
        </w:rPr>
        <w:t xml:space="preserve"> (ALSO PARKER 2016) These environmental </w:t>
      </w:r>
      <w:r w:rsidRPr="00A70DE1">
        <w:rPr>
          <w:rFonts w:ascii="Times New Roman" w:hAnsi="Times New Roman" w:cs="Times New Roman"/>
          <w:sz w:val="24"/>
          <w:szCs w:val="24"/>
        </w:rPr>
        <w:lastRenderedPageBreak/>
        <w:t xml:space="preserve">changes could not only mean </w:t>
      </w:r>
      <w:r w:rsidR="00EA617C">
        <w:rPr>
          <w:rFonts w:ascii="Times New Roman" w:hAnsi="Times New Roman" w:cs="Times New Roman"/>
          <w:sz w:val="24"/>
          <w:szCs w:val="24"/>
        </w:rPr>
        <w:t xml:space="preserve">the development of </w:t>
      </w:r>
      <w:r w:rsidRPr="00A70DE1">
        <w:rPr>
          <w:rFonts w:ascii="Times New Roman" w:hAnsi="Times New Roman" w:cs="Times New Roman"/>
          <w:sz w:val="24"/>
          <w:szCs w:val="24"/>
        </w:rPr>
        <w:t>new growing regions for certain crops but shifts out of previously ideal growing regions.</w:t>
      </w:r>
    </w:p>
    <w:p w14:paraId="263CFE89" w14:textId="5759A65B" w:rsidR="00983860" w:rsidRPr="00A70DE1" w:rsidRDefault="00FA15E9" w:rsidP="0063006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w:t>
      </w:r>
      <w:r w:rsidR="00E032AF">
        <w:rPr>
          <w:rFonts w:ascii="Times New Roman" w:hAnsi="Times New Roman" w:cs="Times New Roman"/>
          <w:sz w:val="24"/>
          <w:szCs w:val="24"/>
        </w:rPr>
        <w:t xml:space="preserve">n addition to these developments caused by climate </w:t>
      </w:r>
      <w:r w:rsidR="007D67B2">
        <w:rPr>
          <w:rFonts w:ascii="Times New Roman" w:hAnsi="Times New Roman" w:cs="Times New Roman"/>
          <w:sz w:val="24"/>
          <w:szCs w:val="24"/>
        </w:rPr>
        <w:t>change</w:t>
      </w:r>
      <w:r w:rsidR="00E032AF">
        <w:rPr>
          <w:rFonts w:ascii="Times New Roman" w:hAnsi="Times New Roman" w:cs="Times New Roman"/>
          <w:sz w:val="24"/>
          <w:szCs w:val="24"/>
        </w:rPr>
        <w:t>,</w:t>
      </w:r>
      <w:r w:rsidR="007D67B2">
        <w:rPr>
          <w:rFonts w:ascii="Times New Roman" w:hAnsi="Times New Roman" w:cs="Times New Roman"/>
          <w:sz w:val="24"/>
          <w:szCs w:val="24"/>
        </w:rPr>
        <w:t xml:space="preserve"> </w:t>
      </w:r>
      <w:r w:rsidR="00983860" w:rsidRPr="00A70DE1">
        <w:rPr>
          <w:rFonts w:ascii="Times New Roman" w:hAnsi="Times New Roman" w:cs="Times New Roman"/>
          <w:sz w:val="24"/>
          <w:szCs w:val="24"/>
        </w:rPr>
        <w:t xml:space="preserve">increased consumer interest in localization rather than globalization has </w:t>
      </w:r>
      <w:r w:rsidR="007D67B2">
        <w:rPr>
          <w:rFonts w:ascii="Times New Roman" w:hAnsi="Times New Roman" w:cs="Times New Roman"/>
          <w:sz w:val="24"/>
          <w:szCs w:val="24"/>
        </w:rPr>
        <w:t xml:space="preserve">led to </w:t>
      </w:r>
      <w:r w:rsidR="00983860" w:rsidRPr="00A70DE1">
        <w:rPr>
          <w:rFonts w:ascii="Times New Roman" w:hAnsi="Times New Roman" w:cs="Times New Roman"/>
          <w:sz w:val="24"/>
          <w:szCs w:val="24"/>
        </w:rPr>
        <w:t xml:space="preserve">a shift towards smaller, more diverse vegetable farms and greenhouse operations, reflecting the influence of consumer preferences for organic and local foods </w:t>
      </w:r>
      <w:r w:rsidR="00983860" w:rsidRPr="00A70DE1">
        <w:rPr>
          <w:rFonts w:ascii="Times New Roman" w:hAnsi="Times New Roman" w:cs="Times New Roman"/>
          <w:sz w:val="24"/>
          <w:szCs w:val="24"/>
        </w:rPr>
        <w:fldChar w:fldCharType="begin"/>
      </w:r>
      <w:r w:rsidR="00983860" w:rsidRPr="00A70DE1">
        <w:rPr>
          <w:rFonts w:ascii="Times New Roman" w:hAnsi="Times New Roman" w:cs="Times New Roman"/>
          <w:sz w:val="24"/>
          <w:szCs w:val="24"/>
        </w:rPr>
        <w:instrText xml:space="preserve"> ADDIN ZOTERO_ITEM CSL_CITATION {"citationID":"35S7AkGM","properties":{"formattedCitation":"(Dimitri &amp; Effland, 2020)","plainCitation":"(Dimitri &amp; Effland, 2020)","noteIndex":0},"citationItems":[{"id":93,"uris":["http://zotero.org/users/8408281/items/YKNMZXNL"],"itemData":{"id":93,"type":"article-journal","abstract":"Abstract\n            Nearly two decades into the 21st century, we revisit the topic of changes in the US agricultural system. We focus on trends in structure, technology and policy, and on the increasing influence of consumer preferences on this system, particularly for organic agriculture and local and regional foods. We examine technological innovations in the 21st century, including biotechnology, precision agriculture and indoor farming. Within overall trends toward consolidation, we identify an increasing number of vegetable farms and greenhouse operations, accompanied by a decrease in average size of those operations. We note the shift away from price support toward greater reliance on risk management in farm policy, and also track the impact of food movement trends on recent farm bills. While farm bill policies continue to focus on conventional field crop agriculture, some trends—expanded crop insurance, conservation program support and spending on federal data collection, research and community-based grants, for example—have begun to incorporate the growing movement toward organic, local and regional food systems into the mainstream of US agricultural production and policy.","container-title":"Renewable Agriculture and Food Systems","DOI":"10.1017/S1742170518000522","ISSN":"1742-1705, 1742-1713","issue":"4","journalAbbreviation":"Renew. Agric. Food Syst.","language":"en","page":"391-406","source":"DOI.org (Crossref)","title":"From farming to food systems: the evolution of US agricultural production and policy into the 21st century","title-short":"From farming to food systems","volume":"35","author":[{"family":"Dimitri","given":"Carolyn"},{"family":"Effland","given":"Anne"}],"issued":{"date-parts":[["2020",8]]}}}],"schema":"https://github.com/citation-style-language/schema/raw/master/csl-citation.json"} </w:instrText>
      </w:r>
      <w:r w:rsidR="00983860" w:rsidRPr="00A70DE1">
        <w:rPr>
          <w:rFonts w:ascii="Times New Roman" w:hAnsi="Times New Roman" w:cs="Times New Roman"/>
          <w:sz w:val="24"/>
          <w:szCs w:val="24"/>
        </w:rPr>
        <w:fldChar w:fldCharType="separate"/>
      </w:r>
      <w:r w:rsidR="00983860" w:rsidRPr="00A70DE1">
        <w:rPr>
          <w:rFonts w:ascii="Times New Roman" w:hAnsi="Times New Roman" w:cs="Times New Roman"/>
          <w:sz w:val="24"/>
          <w:szCs w:val="24"/>
        </w:rPr>
        <w:t>(Dimitri &amp; Effland, 2020)</w:t>
      </w:r>
      <w:r w:rsidR="00983860" w:rsidRPr="00A70DE1">
        <w:rPr>
          <w:rFonts w:ascii="Times New Roman" w:hAnsi="Times New Roman" w:cs="Times New Roman"/>
          <w:sz w:val="24"/>
          <w:szCs w:val="24"/>
        </w:rPr>
        <w:fldChar w:fldCharType="end"/>
      </w:r>
      <w:r w:rsidR="00983860" w:rsidRPr="00A70DE1">
        <w:rPr>
          <w:rFonts w:ascii="Times New Roman" w:hAnsi="Times New Roman" w:cs="Times New Roman"/>
          <w:sz w:val="24"/>
          <w:szCs w:val="24"/>
        </w:rPr>
        <w:t>. Consumer interest in local food has continued to grow for several decades, as many consumers tie shopping local to positive outcomes for their environment, local economy, and public health (</w:t>
      </w:r>
      <w:proofErr w:type="spellStart"/>
      <w:r w:rsidR="00983860" w:rsidRPr="00A70DE1">
        <w:rPr>
          <w:rFonts w:ascii="Times New Roman" w:hAnsi="Times New Roman" w:cs="Times New Roman"/>
          <w:kern w:val="0"/>
          <w:sz w:val="24"/>
          <w:szCs w:val="24"/>
          <w:u w:val="dash"/>
        </w:rPr>
        <w:t>Onozaka</w:t>
      </w:r>
      <w:proofErr w:type="spellEnd"/>
      <w:r w:rsidR="00983860" w:rsidRPr="00A70DE1">
        <w:rPr>
          <w:rFonts w:ascii="Times New Roman" w:hAnsi="Times New Roman" w:cs="Times New Roman"/>
          <w:kern w:val="0"/>
          <w:sz w:val="24"/>
          <w:szCs w:val="24"/>
          <w:u w:val="dash"/>
        </w:rPr>
        <w:t xml:space="preserve"> et al., n.d.)</w:t>
      </w:r>
    </w:p>
    <w:p w14:paraId="73503578" w14:textId="5D3492AC" w:rsidR="00F23593" w:rsidRPr="00A70DE1" w:rsidRDefault="00516399" w:rsidP="00630064">
      <w:pPr>
        <w:spacing w:before="240" w:after="0" w:line="360" w:lineRule="auto"/>
        <w:rPr>
          <w:rFonts w:ascii="Times New Roman" w:hAnsi="Times New Roman" w:cs="Times New Roman"/>
          <w:sz w:val="24"/>
          <w:szCs w:val="24"/>
        </w:rPr>
      </w:pPr>
      <w:r>
        <w:rPr>
          <w:rFonts w:ascii="Times New Roman" w:hAnsi="Times New Roman" w:cs="Times New Roman"/>
          <w:sz w:val="24"/>
          <w:szCs w:val="24"/>
        </w:rPr>
        <w:t>While the increased demand for local food has</w:t>
      </w:r>
      <w:r w:rsidR="005B33A3">
        <w:rPr>
          <w:rFonts w:ascii="Times New Roman" w:hAnsi="Times New Roman" w:cs="Times New Roman"/>
          <w:sz w:val="24"/>
          <w:szCs w:val="24"/>
        </w:rPr>
        <w:t xml:space="preserve"> increased diversity in specialty crop growing regions</w:t>
      </w:r>
      <w:r w:rsidR="002B661B" w:rsidRPr="00A70DE1">
        <w:rPr>
          <w:rFonts w:ascii="Times New Roman" w:hAnsi="Times New Roman" w:cs="Times New Roman"/>
          <w:sz w:val="24"/>
          <w:szCs w:val="24"/>
        </w:rPr>
        <w:t xml:space="preserve">, </w:t>
      </w:r>
      <w:r w:rsidR="00FE6DF5" w:rsidRPr="00A70DE1">
        <w:rPr>
          <w:rFonts w:ascii="Times New Roman" w:hAnsi="Times New Roman" w:cs="Times New Roman"/>
          <w:sz w:val="24"/>
          <w:szCs w:val="24"/>
        </w:rPr>
        <w:t>more comprehensive management and adaptation strategies are needed to mitigate the impact of climate variability on specialty crop production and find</w:t>
      </w:r>
      <w:r w:rsidR="002B661B" w:rsidRPr="00A70DE1">
        <w:rPr>
          <w:rFonts w:ascii="Times New Roman" w:hAnsi="Times New Roman" w:cs="Times New Roman"/>
          <w:sz w:val="24"/>
          <w:szCs w:val="24"/>
        </w:rPr>
        <w:t xml:space="preserve"> ways for producers to address the increasing </w:t>
      </w:r>
      <w:r w:rsidR="00026AD0" w:rsidRPr="00A70DE1">
        <w:rPr>
          <w:rFonts w:ascii="Times New Roman" w:hAnsi="Times New Roman" w:cs="Times New Roman"/>
          <w:sz w:val="24"/>
          <w:szCs w:val="24"/>
        </w:rPr>
        <w:t>production risks</w:t>
      </w:r>
      <w:r w:rsidR="002B661B" w:rsidRPr="00A70DE1">
        <w:rPr>
          <w:rFonts w:ascii="Times New Roman" w:hAnsi="Times New Roman" w:cs="Times New Roman"/>
          <w:sz w:val="24"/>
          <w:szCs w:val="24"/>
        </w:rPr>
        <w:t xml:space="preserve"> in their area.</w:t>
      </w:r>
      <w:r w:rsidR="009369BF">
        <w:rPr>
          <w:rFonts w:ascii="Times New Roman" w:hAnsi="Times New Roman" w:cs="Times New Roman"/>
          <w:sz w:val="24"/>
          <w:szCs w:val="24"/>
        </w:rPr>
        <w:t xml:space="preserve"> </w:t>
      </w:r>
      <w:r w:rsidR="00620448">
        <w:rPr>
          <w:rFonts w:ascii="Times New Roman" w:hAnsi="Times New Roman" w:cs="Times New Roman"/>
          <w:sz w:val="24"/>
          <w:szCs w:val="24"/>
        </w:rPr>
        <w:t xml:space="preserve">For many producers, crop insurance serves as the main form of risk management </w:t>
      </w:r>
      <w:r w:rsidR="00943457">
        <w:rPr>
          <w:rFonts w:ascii="Times New Roman" w:hAnsi="Times New Roman" w:cs="Times New Roman"/>
          <w:sz w:val="24"/>
          <w:szCs w:val="24"/>
        </w:rPr>
        <w:t>to sustain their production in the face of a changing climate. However, w</w:t>
      </w:r>
      <w:r w:rsidR="00037764" w:rsidRPr="00037764">
        <w:rPr>
          <w:rFonts w:ascii="Times New Roman" w:hAnsi="Times New Roman" w:cs="Times New Roman"/>
          <w:sz w:val="24"/>
          <w:szCs w:val="24"/>
        </w:rPr>
        <w:t xml:space="preserve">hile </w:t>
      </w:r>
      <w:r w:rsidR="007B1A70">
        <w:rPr>
          <w:rFonts w:ascii="Times New Roman" w:hAnsi="Times New Roman" w:cs="Times New Roman"/>
          <w:sz w:val="24"/>
          <w:szCs w:val="24"/>
        </w:rPr>
        <w:t>federal crop insurance</w:t>
      </w:r>
      <w:r w:rsidR="00037764" w:rsidRPr="00037764">
        <w:rPr>
          <w:rFonts w:ascii="Times New Roman" w:hAnsi="Times New Roman" w:cs="Times New Roman"/>
          <w:sz w:val="24"/>
          <w:szCs w:val="24"/>
        </w:rPr>
        <w:t xml:space="preserve"> is readily available to most row crop producers, </w:t>
      </w:r>
      <w:r w:rsidR="00E53164">
        <w:rPr>
          <w:rFonts w:ascii="Times New Roman" w:hAnsi="Times New Roman" w:cs="Times New Roman"/>
          <w:sz w:val="24"/>
          <w:szCs w:val="24"/>
        </w:rPr>
        <w:t xml:space="preserve">RMA </w:t>
      </w:r>
      <w:r w:rsidR="00037764" w:rsidRPr="00037764">
        <w:rPr>
          <w:rFonts w:ascii="Times New Roman" w:hAnsi="Times New Roman" w:cs="Times New Roman"/>
          <w:sz w:val="24"/>
          <w:szCs w:val="24"/>
        </w:rPr>
        <w:t>policies are only available for counties and commodities with sufficient production and price data at a local level to maintain an actuarially sound product. (</w:t>
      </w:r>
      <w:proofErr w:type="spellStart"/>
      <w:r w:rsidR="00037764" w:rsidRPr="00037764">
        <w:rPr>
          <w:rFonts w:ascii="Times New Roman" w:hAnsi="Times New Roman" w:cs="Times New Roman"/>
          <w:sz w:val="24"/>
          <w:szCs w:val="24"/>
        </w:rPr>
        <w:t>Raszap</w:t>
      </w:r>
      <w:proofErr w:type="spellEnd"/>
      <w:r w:rsidR="00037764" w:rsidRPr="00037764">
        <w:rPr>
          <w:rFonts w:ascii="Times New Roman" w:hAnsi="Times New Roman" w:cs="Times New Roman"/>
          <w:sz w:val="24"/>
          <w:szCs w:val="24"/>
        </w:rPr>
        <w:t xml:space="preserve"> </w:t>
      </w:r>
      <w:proofErr w:type="spellStart"/>
      <w:r w:rsidR="00037764" w:rsidRPr="00037764">
        <w:rPr>
          <w:rFonts w:ascii="Times New Roman" w:hAnsi="Times New Roman" w:cs="Times New Roman"/>
          <w:sz w:val="24"/>
          <w:szCs w:val="24"/>
        </w:rPr>
        <w:t>Skorbiansky</w:t>
      </w:r>
      <w:proofErr w:type="spellEnd"/>
      <w:r w:rsidR="00037764" w:rsidRPr="00037764">
        <w:rPr>
          <w:rFonts w:ascii="Times New Roman" w:hAnsi="Times New Roman" w:cs="Times New Roman"/>
          <w:sz w:val="24"/>
          <w:szCs w:val="24"/>
        </w:rPr>
        <w:t xml:space="preserve">, Astill, et al., 2022; Turner et al., 2023). </w:t>
      </w:r>
      <w:r w:rsidR="00067A1A">
        <w:rPr>
          <w:rFonts w:ascii="Times New Roman" w:hAnsi="Times New Roman" w:cs="Times New Roman"/>
          <w:sz w:val="24"/>
          <w:szCs w:val="24"/>
        </w:rPr>
        <w:t xml:space="preserve">This gap in data causes gaps in insurance options for all types of </w:t>
      </w:r>
      <w:proofErr w:type="gramStart"/>
      <w:r w:rsidR="00067A1A">
        <w:rPr>
          <w:rFonts w:ascii="Times New Roman" w:hAnsi="Times New Roman" w:cs="Times New Roman"/>
          <w:sz w:val="24"/>
          <w:szCs w:val="24"/>
        </w:rPr>
        <w:t>producer</w:t>
      </w:r>
      <w:proofErr w:type="gramEnd"/>
      <w:r w:rsidR="00067A1A">
        <w:rPr>
          <w:rFonts w:ascii="Times New Roman" w:hAnsi="Times New Roman" w:cs="Times New Roman"/>
          <w:sz w:val="24"/>
          <w:szCs w:val="24"/>
        </w:rPr>
        <w:t xml:space="preserve"> but is especially prevalent for specialty crop producers. </w:t>
      </w:r>
      <w:r w:rsidR="00037764" w:rsidRPr="00037764">
        <w:rPr>
          <w:rFonts w:ascii="Times New Roman" w:hAnsi="Times New Roman" w:cs="Times New Roman"/>
          <w:sz w:val="24"/>
          <w:szCs w:val="24"/>
        </w:rPr>
        <w:t xml:space="preserve">For specialty crops, </w:t>
      </w:r>
      <w:r w:rsidR="00E53164">
        <w:rPr>
          <w:rFonts w:ascii="Times New Roman" w:hAnsi="Times New Roman" w:cs="Times New Roman"/>
          <w:sz w:val="24"/>
          <w:szCs w:val="24"/>
        </w:rPr>
        <w:t>the</w:t>
      </w:r>
      <w:r w:rsidR="00037764" w:rsidRPr="00037764">
        <w:rPr>
          <w:rFonts w:ascii="Times New Roman" w:hAnsi="Times New Roman" w:cs="Times New Roman"/>
          <w:sz w:val="24"/>
          <w:szCs w:val="24"/>
        </w:rPr>
        <w:t xml:space="preserve"> coverage</w:t>
      </w:r>
      <w:r w:rsidR="00E53164">
        <w:rPr>
          <w:rFonts w:ascii="Times New Roman" w:hAnsi="Times New Roman" w:cs="Times New Roman"/>
          <w:sz w:val="24"/>
          <w:szCs w:val="24"/>
        </w:rPr>
        <w:t xml:space="preserve"> available from RMA </w:t>
      </w:r>
      <w:r w:rsidR="00037764" w:rsidRPr="00037764">
        <w:rPr>
          <w:rFonts w:ascii="Times New Roman" w:hAnsi="Times New Roman" w:cs="Times New Roman"/>
          <w:sz w:val="24"/>
          <w:szCs w:val="24"/>
        </w:rPr>
        <w:t>typically falls under the Actual Production History (APH) plan of insurance. For producers growing crops in counties without available RMA FCI policies</w:t>
      </w:r>
      <w:r w:rsidR="00FA15E9">
        <w:rPr>
          <w:rFonts w:ascii="Times New Roman" w:hAnsi="Times New Roman" w:cs="Times New Roman"/>
          <w:sz w:val="24"/>
          <w:szCs w:val="24"/>
        </w:rPr>
        <w:t>,</w:t>
      </w:r>
      <w:r w:rsidR="00037764" w:rsidRPr="00037764">
        <w:rPr>
          <w:rFonts w:ascii="Times New Roman" w:hAnsi="Times New Roman" w:cs="Times New Roman"/>
          <w:sz w:val="24"/>
          <w:szCs w:val="24"/>
        </w:rPr>
        <w:t xml:space="preserve"> USDA- FSA’s Noninsured Crop Disaster Assistance Program (NAP) serves </w:t>
      </w:r>
      <w:r w:rsidR="00037764" w:rsidRPr="00037764">
        <w:rPr>
          <w:rFonts w:ascii="Times New Roman" w:hAnsi="Times New Roman" w:cs="Times New Roman"/>
          <w:sz w:val="24"/>
          <w:szCs w:val="24"/>
        </w:rPr>
        <w:lastRenderedPageBreak/>
        <w:t>as the</w:t>
      </w:r>
      <w:r w:rsidR="00D579B5">
        <w:rPr>
          <w:rFonts w:ascii="Times New Roman" w:hAnsi="Times New Roman" w:cs="Times New Roman"/>
          <w:sz w:val="24"/>
          <w:szCs w:val="24"/>
        </w:rPr>
        <w:t xml:space="preserve"> main</w:t>
      </w:r>
      <w:r w:rsidR="00037764" w:rsidRPr="00037764">
        <w:rPr>
          <w:rFonts w:ascii="Times New Roman" w:hAnsi="Times New Roman" w:cs="Times New Roman"/>
          <w:sz w:val="24"/>
          <w:szCs w:val="24"/>
        </w:rPr>
        <w:t xml:space="preserve"> federally supported risk management program. NAP was created in the Federal Crop Insurance Reform Act of 1994 as an attempt to replace ad hoc (and unbudgeted for) disaster programs to repay producers who suffered significant crop losses during natural disasters. There are still some ad-hoc disaster programs that support producers, but NAP has replaced most of that spending. </w:t>
      </w:r>
      <w:r w:rsidR="00D579B5">
        <w:rPr>
          <w:rFonts w:ascii="Times New Roman" w:hAnsi="Times New Roman" w:cs="Times New Roman"/>
          <w:sz w:val="24"/>
          <w:szCs w:val="24"/>
        </w:rPr>
        <w:t>A</w:t>
      </w:r>
      <w:r w:rsidR="002E35BF">
        <w:rPr>
          <w:rFonts w:ascii="Times New Roman" w:hAnsi="Times New Roman" w:cs="Times New Roman"/>
          <w:sz w:val="24"/>
          <w:szCs w:val="24"/>
        </w:rPr>
        <w:t xml:space="preserve">nother, </w:t>
      </w:r>
      <w:r w:rsidR="00D579B5">
        <w:rPr>
          <w:rFonts w:ascii="Times New Roman" w:hAnsi="Times New Roman" w:cs="Times New Roman"/>
          <w:sz w:val="24"/>
          <w:szCs w:val="24"/>
        </w:rPr>
        <w:t xml:space="preserve">more recent option for specialty crop producers, especially small to medium </w:t>
      </w:r>
      <w:r w:rsidR="00C64F62">
        <w:rPr>
          <w:rFonts w:ascii="Times New Roman" w:hAnsi="Times New Roman" w:cs="Times New Roman"/>
          <w:sz w:val="24"/>
          <w:szCs w:val="24"/>
        </w:rPr>
        <w:t>farms</w:t>
      </w:r>
      <w:r w:rsidR="00D579B5">
        <w:rPr>
          <w:rFonts w:ascii="Times New Roman" w:hAnsi="Times New Roman" w:cs="Times New Roman"/>
          <w:sz w:val="24"/>
          <w:szCs w:val="24"/>
        </w:rPr>
        <w:t xml:space="preserve"> with diverse </w:t>
      </w:r>
      <w:r w:rsidR="00C64F62">
        <w:rPr>
          <w:rFonts w:ascii="Times New Roman" w:hAnsi="Times New Roman" w:cs="Times New Roman"/>
          <w:sz w:val="24"/>
          <w:szCs w:val="24"/>
        </w:rPr>
        <w:t>production</w:t>
      </w:r>
      <w:r w:rsidR="00374653">
        <w:rPr>
          <w:rFonts w:ascii="Times New Roman" w:hAnsi="Times New Roman" w:cs="Times New Roman"/>
          <w:sz w:val="24"/>
          <w:szCs w:val="24"/>
        </w:rPr>
        <w:t>, is the Whole Farm Revenue Protection</w:t>
      </w:r>
      <w:r w:rsidR="002E35BF">
        <w:rPr>
          <w:rFonts w:ascii="Times New Roman" w:hAnsi="Times New Roman" w:cs="Times New Roman"/>
          <w:sz w:val="24"/>
          <w:szCs w:val="24"/>
        </w:rPr>
        <w:t xml:space="preserve"> (WFRP)</w:t>
      </w:r>
      <w:r w:rsidR="00374653">
        <w:rPr>
          <w:rFonts w:ascii="Times New Roman" w:hAnsi="Times New Roman" w:cs="Times New Roman"/>
          <w:sz w:val="24"/>
          <w:szCs w:val="24"/>
        </w:rPr>
        <w:t xml:space="preserve"> program</w:t>
      </w:r>
      <w:r w:rsidR="00C5165F">
        <w:rPr>
          <w:rFonts w:ascii="Times New Roman" w:hAnsi="Times New Roman" w:cs="Times New Roman"/>
          <w:sz w:val="24"/>
          <w:szCs w:val="24"/>
        </w:rPr>
        <w:t>.</w:t>
      </w:r>
      <w:r w:rsidR="00BE1EDB">
        <w:rPr>
          <w:rFonts w:ascii="Times New Roman" w:hAnsi="Times New Roman" w:cs="Times New Roman"/>
          <w:sz w:val="24"/>
          <w:szCs w:val="24"/>
        </w:rPr>
        <w:t xml:space="preserve"> </w:t>
      </w:r>
      <w:r w:rsidR="00BE1EDB" w:rsidRPr="00BE1EDB">
        <w:rPr>
          <w:rFonts w:ascii="Times New Roman" w:hAnsi="Times New Roman" w:cs="Times New Roman"/>
          <w:sz w:val="24"/>
          <w:szCs w:val="24"/>
        </w:rPr>
        <w:t>This method of whole farm insurance that allow</w:t>
      </w:r>
      <w:r w:rsidR="002E35BF">
        <w:rPr>
          <w:rFonts w:ascii="Times New Roman" w:hAnsi="Times New Roman" w:cs="Times New Roman"/>
          <w:sz w:val="24"/>
          <w:szCs w:val="24"/>
        </w:rPr>
        <w:t>s</w:t>
      </w:r>
      <w:r w:rsidR="00BE1EDB" w:rsidRPr="00BE1EDB">
        <w:rPr>
          <w:rFonts w:ascii="Times New Roman" w:hAnsi="Times New Roman" w:cs="Times New Roman"/>
          <w:sz w:val="24"/>
          <w:szCs w:val="24"/>
        </w:rPr>
        <w:t xml:space="preserve"> producers to </w:t>
      </w:r>
      <w:proofErr w:type="gramStart"/>
      <w:r w:rsidR="00BE1EDB" w:rsidRPr="00BE1EDB">
        <w:rPr>
          <w:rFonts w:ascii="Times New Roman" w:hAnsi="Times New Roman" w:cs="Times New Roman"/>
          <w:sz w:val="24"/>
          <w:szCs w:val="24"/>
        </w:rPr>
        <w:t>insure</w:t>
      </w:r>
      <w:proofErr w:type="gramEnd"/>
      <w:r w:rsidR="00BE1EDB" w:rsidRPr="00BE1EDB">
        <w:rPr>
          <w:rFonts w:ascii="Times New Roman" w:hAnsi="Times New Roman" w:cs="Times New Roman"/>
          <w:sz w:val="24"/>
          <w:szCs w:val="24"/>
        </w:rPr>
        <w:t xml:space="preserve"> revenue earned from all crops grown on their farm was </w:t>
      </w:r>
      <w:r w:rsidR="002E35BF">
        <w:rPr>
          <w:rFonts w:ascii="Times New Roman" w:hAnsi="Times New Roman" w:cs="Times New Roman"/>
          <w:sz w:val="24"/>
          <w:szCs w:val="24"/>
        </w:rPr>
        <w:t>a</w:t>
      </w:r>
      <w:r w:rsidR="002E35BF" w:rsidRPr="00BE1EDB">
        <w:rPr>
          <w:rFonts w:ascii="Times New Roman" w:hAnsi="Times New Roman" w:cs="Times New Roman"/>
          <w:sz w:val="24"/>
          <w:szCs w:val="24"/>
        </w:rPr>
        <w:t xml:space="preserve"> </w:t>
      </w:r>
      <w:r w:rsidR="00BE1EDB" w:rsidRPr="00BE1EDB">
        <w:rPr>
          <w:rFonts w:ascii="Times New Roman" w:hAnsi="Times New Roman" w:cs="Times New Roman"/>
          <w:sz w:val="24"/>
          <w:szCs w:val="24"/>
        </w:rPr>
        <w:t xml:space="preserve">rework </w:t>
      </w:r>
      <w:r w:rsidR="002E35BF">
        <w:rPr>
          <w:rFonts w:ascii="Times New Roman" w:hAnsi="Times New Roman" w:cs="Times New Roman"/>
          <w:sz w:val="24"/>
          <w:szCs w:val="24"/>
        </w:rPr>
        <w:t xml:space="preserve">of </w:t>
      </w:r>
      <w:r w:rsidR="00BE1EDB" w:rsidRPr="00BE1EDB">
        <w:rPr>
          <w:rFonts w:ascii="Times New Roman" w:hAnsi="Times New Roman" w:cs="Times New Roman"/>
          <w:sz w:val="24"/>
          <w:szCs w:val="24"/>
        </w:rPr>
        <w:t>a previous insurance plan, Adjusted Gross Revenue (AGR), that was available from 1999-2014 but was not available in all states. WFRP protects all revenue produced at a minimum of 50% coverage and up to 85% coverage.</w:t>
      </w:r>
    </w:p>
    <w:p w14:paraId="1FA55469" w14:textId="62F584E3" w:rsidR="00932CFF" w:rsidRDefault="002B661B" w:rsidP="00EF74CA">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While the literature on crop insurance for row crops is well developed, specialty crop insurance literature is more limited due </w:t>
      </w:r>
      <w:r w:rsidR="009D77DF" w:rsidRPr="00A70DE1">
        <w:rPr>
          <w:rFonts w:ascii="Times New Roman" w:hAnsi="Times New Roman" w:cs="Times New Roman"/>
          <w:sz w:val="24"/>
          <w:szCs w:val="24"/>
        </w:rPr>
        <w:t xml:space="preserve">to </w:t>
      </w:r>
      <w:r w:rsidRPr="00A70DE1">
        <w:rPr>
          <w:rFonts w:ascii="Times New Roman" w:hAnsi="Times New Roman" w:cs="Times New Roman"/>
          <w:sz w:val="24"/>
          <w:szCs w:val="24"/>
        </w:rPr>
        <w:t>the recent addition of the program</w:t>
      </w:r>
      <w:r w:rsidR="00CB53A0">
        <w:rPr>
          <w:rFonts w:ascii="Times New Roman" w:hAnsi="Times New Roman" w:cs="Times New Roman"/>
          <w:sz w:val="24"/>
          <w:szCs w:val="24"/>
        </w:rPr>
        <w:t>s</w:t>
      </w:r>
      <w:r w:rsidRPr="00A70DE1">
        <w:rPr>
          <w:rFonts w:ascii="Times New Roman" w:hAnsi="Times New Roman" w:cs="Times New Roman"/>
          <w:sz w:val="24"/>
          <w:szCs w:val="24"/>
        </w:rPr>
        <w:t xml:space="preserve"> federally, but also the diversity of specialty crops and their markets.  This diversity makes it difficult </w:t>
      </w:r>
      <w:r w:rsidR="009D77DF" w:rsidRPr="00A70DE1">
        <w:rPr>
          <w:rFonts w:ascii="Times New Roman" w:hAnsi="Times New Roman" w:cs="Times New Roman"/>
          <w:sz w:val="24"/>
          <w:szCs w:val="24"/>
        </w:rPr>
        <w:t xml:space="preserve">not only to </w:t>
      </w:r>
      <w:r w:rsidR="002E35BF">
        <w:rPr>
          <w:rFonts w:ascii="Times New Roman" w:hAnsi="Times New Roman" w:cs="Times New Roman"/>
          <w:sz w:val="24"/>
          <w:szCs w:val="24"/>
        </w:rPr>
        <w:t>build</w:t>
      </w:r>
      <w:r w:rsidR="002E35BF" w:rsidRPr="00A70DE1">
        <w:rPr>
          <w:rFonts w:ascii="Times New Roman" w:hAnsi="Times New Roman" w:cs="Times New Roman"/>
          <w:sz w:val="24"/>
          <w:szCs w:val="24"/>
        </w:rPr>
        <w:t xml:space="preserve"> </w:t>
      </w:r>
      <w:r w:rsidR="009D77DF" w:rsidRPr="00A70DE1">
        <w:rPr>
          <w:rFonts w:ascii="Times New Roman" w:hAnsi="Times New Roman" w:cs="Times New Roman"/>
          <w:sz w:val="24"/>
          <w:szCs w:val="24"/>
        </w:rPr>
        <w:t xml:space="preserve">a one-size-fits-all program </w:t>
      </w:r>
      <w:r w:rsidR="002E35BF">
        <w:rPr>
          <w:rFonts w:ascii="Times New Roman" w:hAnsi="Times New Roman" w:cs="Times New Roman"/>
          <w:sz w:val="24"/>
          <w:szCs w:val="24"/>
        </w:rPr>
        <w:t>for</w:t>
      </w:r>
      <w:r w:rsidR="002E35BF" w:rsidRPr="00A70DE1">
        <w:rPr>
          <w:rFonts w:ascii="Times New Roman" w:hAnsi="Times New Roman" w:cs="Times New Roman"/>
          <w:sz w:val="24"/>
          <w:szCs w:val="24"/>
        </w:rPr>
        <w:t xml:space="preserve"> </w:t>
      </w:r>
      <w:r w:rsidR="009D77DF" w:rsidRPr="00A70DE1">
        <w:rPr>
          <w:rFonts w:ascii="Times New Roman" w:hAnsi="Times New Roman" w:cs="Times New Roman"/>
          <w:sz w:val="24"/>
          <w:szCs w:val="24"/>
        </w:rPr>
        <w:t>all crops in a singular program</w:t>
      </w:r>
      <w:r w:rsidRPr="00A70DE1">
        <w:rPr>
          <w:rFonts w:ascii="Times New Roman" w:hAnsi="Times New Roman" w:cs="Times New Roman"/>
          <w:sz w:val="24"/>
          <w:szCs w:val="24"/>
        </w:rPr>
        <w:t xml:space="preserve"> but also to understand the efficacy and success of the programs. </w:t>
      </w:r>
      <w:r w:rsidR="00B527EE">
        <w:rPr>
          <w:rFonts w:ascii="Times New Roman" w:hAnsi="Times New Roman" w:cs="Times New Roman"/>
          <w:sz w:val="24"/>
          <w:szCs w:val="24"/>
        </w:rPr>
        <w:t xml:space="preserve">The two major options for </w:t>
      </w:r>
      <w:r w:rsidR="00B81000">
        <w:rPr>
          <w:rFonts w:ascii="Times New Roman" w:hAnsi="Times New Roman" w:cs="Times New Roman"/>
          <w:sz w:val="24"/>
          <w:szCs w:val="24"/>
        </w:rPr>
        <w:t>specialty crop producers</w:t>
      </w:r>
      <w:r w:rsidR="002E35BF">
        <w:rPr>
          <w:rFonts w:ascii="Times New Roman" w:hAnsi="Times New Roman" w:cs="Times New Roman"/>
          <w:sz w:val="24"/>
          <w:szCs w:val="24"/>
        </w:rPr>
        <w:t xml:space="preserve">, </w:t>
      </w:r>
      <w:r w:rsidR="00595B15">
        <w:rPr>
          <w:rFonts w:ascii="Times New Roman" w:hAnsi="Times New Roman" w:cs="Times New Roman"/>
          <w:sz w:val="24"/>
          <w:szCs w:val="24"/>
        </w:rPr>
        <w:t>WFRP and NAP, both have significant gaps in the literature on the impacts of the program on producer revenue</w:t>
      </w:r>
      <w:r w:rsidR="00026C0E">
        <w:rPr>
          <w:rFonts w:ascii="Times New Roman" w:hAnsi="Times New Roman" w:cs="Times New Roman"/>
          <w:sz w:val="24"/>
          <w:szCs w:val="24"/>
        </w:rPr>
        <w:t xml:space="preserve"> volatility. </w:t>
      </w:r>
      <w:r w:rsidRPr="00A70DE1">
        <w:rPr>
          <w:rFonts w:ascii="Times New Roman" w:hAnsi="Times New Roman" w:cs="Times New Roman"/>
          <w:sz w:val="24"/>
          <w:szCs w:val="24"/>
        </w:rPr>
        <w:t xml:space="preserve">However, the limited literature </w:t>
      </w:r>
      <w:r w:rsidR="002E35BF">
        <w:rPr>
          <w:rFonts w:ascii="Times New Roman" w:hAnsi="Times New Roman" w:cs="Times New Roman"/>
          <w:sz w:val="24"/>
          <w:szCs w:val="24"/>
        </w:rPr>
        <w:t>does point</w:t>
      </w:r>
      <w:r w:rsidR="002E35BF" w:rsidRPr="00A70DE1">
        <w:rPr>
          <w:rFonts w:ascii="Times New Roman" w:hAnsi="Times New Roman" w:cs="Times New Roman"/>
          <w:sz w:val="24"/>
          <w:szCs w:val="24"/>
        </w:rPr>
        <w:t xml:space="preserve"> </w:t>
      </w:r>
      <w:r w:rsidRPr="00A70DE1">
        <w:rPr>
          <w:rFonts w:ascii="Times New Roman" w:hAnsi="Times New Roman" w:cs="Times New Roman"/>
          <w:sz w:val="24"/>
          <w:szCs w:val="24"/>
        </w:rPr>
        <w:t xml:space="preserve">to two key </w:t>
      </w:r>
      <w:r w:rsidR="00680C4E" w:rsidRPr="00A70DE1">
        <w:rPr>
          <w:rFonts w:ascii="Times New Roman" w:hAnsi="Times New Roman" w:cs="Times New Roman"/>
          <w:sz w:val="24"/>
          <w:szCs w:val="24"/>
        </w:rPr>
        <w:t>trends</w:t>
      </w:r>
      <w:r w:rsidR="001742EF" w:rsidRPr="00A70DE1">
        <w:rPr>
          <w:rFonts w:ascii="Times New Roman" w:hAnsi="Times New Roman" w:cs="Times New Roman"/>
          <w:sz w:val="24"/>
          <w:szCs w:val="24"/>
        </w:rPr>
        <w:t>:</w:t>
      </w:r>
      <w:r w:rsidRPr="00A70DE1">
        <w:rPr>
          <w:rFonts w:ascii="Times New Roman" w:hAnsi="Times New Roman" w:cs="Times New Roman"/>
          <w:sz w:val="24"/>
          <w:szCs w:val="24"/>
        </w:rPr>
        <w:t xml:space="preserve"> the diversification of risk management strategies</w:t>
      </w:r>
      <w:r w:rsidR="00570AB3">
        <w:rPr>
          <w:rFonts w:ascii="Times New Roman" w:hAnsi="Times New Roman" w:cs="Times New Roman"/>
          <w:sz w:val="24"/>
          <w:szCs w:val="24"/>
        </w:rPr>
        <w:t xml:space="preserve"> for specialty crop producers developed</w:t>
      </w:r>
      <w:r w:rsidRPr="00A70DE1">
        <w:rPr>
          <w:rFonts w:ascii="Times New Roman" w:hAnsi="Times New Roman" w:cs="Times New Roman"/>
          <w:sz w:val="24"/>
          <w:szCs w:val="24"/>
        </w:rPr>
        <w:t xml:space="preserve"> because of the </w:t>
      </w:r>
      <w:r w:rsidR="00570AB3">
        <w:rPr>
          <w:rFonts w:ascii="Times New Roman" w:hAnsi="Times New Roman" w:cs="Times New Roman"/>
          <w:sz w:val="24"/>
          <w:szCs w:val="24"/>
        </w:rPr>
        <w:t xml:space="preserve">historical </w:t>
      </w:r>
      <w:r w:rsidRPr="00A70DE1">
        <w:rPr>
          <w:rFonts w:ascii="Times New Roman" w:hAnsi="Times New Roman" w:cs="Times New Roman"/>
          <w:sz w:val="24"/>
          <w:szCs w:val="24"/>
        </w:rPr>
        <w:t>lack of federal programs available</w:t>
      </w:r>
      <w:r w:rsidR="005D5D58">
        <w:rPr>
          <w:rFonts w:ascii="Times New Roman" w:hAnsi="Times New Roman" w:cs="Times New Roman"/>
          <w:sz w:val="24"/>
          <w:szCs w:val="24"/>
        </w:rPr>
        <w:t xml:space="preserve">, </w:t>
      </w:r>
      <w:r w:rsidRPr="00A70DE1">
        <w:rPr>
          <w:rFonts w:ascii="Times New Roman" w:hAnsi="Times New Roman" w:cs="Times New Roman"/>
          <w:sz w:val="24"/>
          <w:szCs w:val="24"/>
        </w:rPr>
        <w:t xml:space="preserve">and </w:t>
      </w:r>
      <w:r w:rsidR="005D5D58">
        <w:rPr>
          <w:rFonts w:ascii="Times New Roman" w:hAnsi="Times New Roman" w:cs="Times New Roman"/>
          <w:sz w:val="24"/>
          <w:szCs w:val="24"/>
        </w:rPr>
        <w:t xml:space="preserve">the subsequent diverse options in federal programs to answer </w:t>
      </w:r>
      <w:r w:rsidR="003F48E0">
        <w:rPr>
          <w:rFonts w:ascii="Times New Roman" w:hAnsi="Times New Roman" w:cs="Times New Roman"/>
          <w:sz w:val="24"/>
          <w:szCs w:val="24"/>
        </w:rPr>
        <w:t xml:space="preserve">diversified strategies created a </w:t>
      </w:r>
      <w:r w:rsidR="00D01BC3" w:rsidRPr="00A70DE1">
        <w:rPr>
          <w:rFonts w:ascii="Times New Roman" w:hAnsi="Times New Roman" w:cs="Times New Roman"/>
          <w:sz w:val="24"/>
          <w:szCs w:val="24"/>
        </w:rPr>
        <w:t xml:space="preserve">lack of clarity for producers. </w:t>
      </w:r>
      <w:r w:rsidR="00932CFF" w:rsidRPr="00A70DE1">
        <w:rPr>
          <w:rFonts w:ascii="Times New Roman" w:hAnsi="Times New Roman" w:cs="Times New Roman"/>
          <w:sz w:val="24"/>
          <w:szCs w:val="24"/>
        </w:rPr>
        <w:t>This leads to lower participation rates</w:t>
      </w:r>
      <w:r w:rsidR="00EF74CA">
        <w:rPr>
          <w:rFonts w:ascii="Times New Roman" w:hAnsi="Times New Roman" w:cs="Times New Roman"/>
          <w:sz w:val="24"/>
          <w:szCs w:val="24"/>
        </w:rPr>
        <w:t xml:space="preserve"> in risk management programs overall,</w:t>
      </w:r>
      <w:r w:rsidR="00932CFF" w:rsidRPr="00A70DE1">
        <w:rPr>
          <w:rFonts w:ascii="Times New Roman" w:hAnsi="Times New Roman" w:cs="Times New Roman"/>
          <w:sz w:val="24"/>
          <w:szCs w:val="24"/>
        </w:rPr>
        <w:t xml:space="preserve"> and then </w:t>
      </w:r>
      <w:r w:rsidR="00EF74CA">
        <w:rPr>
          <w:rFonts w:ascii="Times New Roman" w:hAnsi="Times New Roman" w:cs="Times New Roman"/>
          <w:sz w:val="24"/>
          <w:szCs w:val="24"/>
        </w:rPr>
        <w:t>a delay in evolving the current programs to fit the needs of producers due to a lack of engagement overall.</w:t>
      </w:r>
    </w:p>
    <w:p w14:paraId="660315B0" w14:textId="77777777" w:rsidR="00EF74CA" w:rsidRPr="00EF74CA" w:rsidRDefault="00EF74CA" w:rsidP="00EF74CA">
      <w:pPr>
        <w:spacing w:before="240" w:after="0" w:line="360" w:lineRule="auto"/>
        <w:rPr>
          <w:rFonts w:ascii="Times New Roman" w:hAnsi="Times New Roman" w:cs="Times New Roman"/>
          <w:sz w:val="24"/>
          <w:szCs w:val="24"/>
        </w:rPr>
      </w:pPr>
    </w:p>
    <w:p w14:paraId="5E7732BC" w14:textId="77777777" w:rsidR="00EF74CA" w:rsidRDefault="00EF74CA">
      <w:pPr>
        <w:spacing w:line="278" w:lineRule="auto"/>
        <w:rPr>
          <w:rStyle w:val="normaltextrun"/>
          <w:rFonts w:ascii="Times New Roman" w:eastAsiaTheme="majorEastAsia" w:hAnsi="Times New Roman" w:cs="Times New Roman"/>
          <w:b/>
          <w:bCs/>
          <w:color w:val="0F4761" w:themeColor="accent1" w:themeShade="BF"/>
          <w:sz w:val="24"/>
          <w:szCs w:val="24"/>
          <w:lang w:val="en"/>
        </w:rPr>
      </w:pPr>
      <w:bookmarkStart w:id="5" w:name="_Toc170132947"/>
      <w:bookmarkStart w:id="6" w:name="_Toc172283620"/>
      <w:r>
        <w:rPr>
          <w:rStyle w:val="normaltextrun"/>
          <w:rFonts w:ascii="Times New Roman" w:hAnsi="Times New Roman"/>
          <w:sz w:val="24"/>
          <w:szCs w:val="24"/>
        </w:rPr>
        <w:br w:type="page"/>
      </w:r>
    </w:p>
    <w:p w14:paraId="00F39C07" w14:textId="5B04B3EB" w:rsidR="00237355" w:rsidRPr="007A62E8" w:rsidRDefault="00237355" w:rsidP="00630064">
      <w:pPr>
        <w:pStyle w:val="Style1"/>
        <w:spacing w:line="360" w:lineRule="auto"/>
        <w:rPr>
          <w:rStyle w:val="normaltextrun"/>
          <w:rFonts w:ascii="Times New Roman" w:hAnsi="Times New Roman"/>
          <w:sz w:val="24"/>
          <w:szCs w:val="24"/>
        </w:rPr>
      </w:pPr>
      <w:r w:rsidRPr="007A62E8">
        <w:rPr>
          <w:rStyle w:val="normaltextrun"/>
          <w:rFonts w:ascii="Times New Roman" w:hAnsi="Times New Roman"/>
          <w:sz w:val="24"/>
          <w:szCs w:val="24"/>
        </w:rPr>
        <w:t>Rationale / Significance</w:t>
      </w:r>
      <w:bookmarkEnd w:id="5"/>
      <w:bookmarkEnd w:id="6"/>
    </w:p>
    <w:p w14:paraId="1CB56AD3" w14:textId="340273D7" w:rsidR="00237355" w:rsidRPr="00A70DE1" w:rsidRDefault="00C71054" w:rsidP="00C81120">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From a food system resiliency perspective, the current centralization of domestic production for many specialty crops presents several issues. Because agriculture is highly reliant on regional factors such as weather for the success of a crop, crop failure is more highly correlated in centralized production regions. While international supply could fill the gap in emergencies, global climate change issues and uncertainty in geopolitical relations impacting trade policies make a strong domestic food supply a priority.</w:t>
      </w:r>
      <w:r w:rsidR="00C81120">
        <w:rPr>
          <w:rStyle w:val="normaltextrun"/>
          <w:rFonts w:ascii="Times New Roman" w:hAnsi="Times New Roman" w:cs="Times New Roman"/>
          <w:sz w:val="24"/>
          <w:szCs w:val="24"/>
        </w:rPr>
        <w:t xml:space="preserve"> </w:t>
      </w:r>
      <w:r w:rsidR="00237355" w:rsidRPr="00A70DE1">
        <w:rPr>
          <w:rFonts w:ascii="Times New Roman" w:hAnsi="Times New Roman" w:cs="Times New Roman"/>
          <w:sz w:val="24"/>
          <w:szCs w:val="24"/>
        </w:rPr>
        <w:t>As consumers demand more unique specialty crop options and current infrastructure becomes more exposed to vulnerabilities, current production will become inherently riskier, and expanding into riskier production spaces will be necessary. Many specialty crop producers are already feeling the strain of this risk in many centralized production regions.</w:t>
      </w:r>
    </w:p>
    <w:p w14:paraId="2F080FE8" w14:textId="77777777" w:rsidR="00EC71D6" w:rsidRPr="00A70DE1" w:rsidRDefault="00EC71D6" w:rsidP="00630064">
      <w:pPr>
        <w:spacing w:after="0" w:line="360" w:lineRule="auto"/>
        <w:rPr>
          <w:rFonts w:ascii="Times New Roman" w:hAnsi="Times New Roman" w:cs="Times New Roman"/>
          <w:sz w:val="24"/>
          <w:szCs w:val="24"/>
        </w:rPr>
      </w:pPr>
    </w:p>
    <w:p w14:paraId="76CFCF8E" w14:textId="77777777" w:rsidR="00237355" w:rsidRPr="00A70DE1" w:rsidRDefault="00237355" w:rsidP="00630064">
      <w:pPr>
        <w:spacing w:after="0" w:line="360" w:lineRule="auto"/>
        <w:rPr>
          <w:rFonts w:ascii="Times New Roman" w:hAnsi="Times New Roman" w:cs="Times New Roman"/>
          <w:i/>
          <w:iCs/>
          <w:sz w:val="24"/>
          <w:szCs w:val="24"/>
        </w:rPr>
      </w:pPr>
      <w:r w:rsidRPr="00A70DE1">
        <w:rPr>
          <w:rFonts w:ascii="Times New Roman" w:hAnsi="Times New Roman" w:cs="Times New Roman"/>
          <w:i/>
          <w:iCs/>
          <w:sz w:val="24"/>
          <w:szCs w:val="24"/>
        </w:rPr>
        <w:t>Pumpkins</w:t>
      </w:r>
    </w:p>
    <w:p w14:paraId="1D5A7B0E" w14:textId="15E7B9E8" w:rsidR="00237355" w:rsidRPr="00A70DE1" w:rsidRDefault="00237355" w:rsidP="00630064">
      <w:pPr>
        <w:spacing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Pumpkins are domesticated winter squashes belonging to the genus Cucurbita. The term "pumpkin" is predominantly associated with round, orange-colored squash varieties. However, it lacks a precise scientific definition and can refer to various squashes with diverse characteristics. Pumpkin production in the US is mainly located in Illinois, Indiana, Virginia, California, and Pennsylvania, depending on the intended use of the crop. Roughly 80% of pumpkins grown for processing are produced in Illinois (Illinois Dept Ag), and </w:t>
      </w:r>
      <w:r w:rsidR="002B1A85">
        <w:rPr>
          <w:rFonts w:ascii="Times New Roman" w:hAnsi="Times New Roman" w:cs="Times New Roman"/>
          <w:sz w:val="24"/>
          <w:szCs w:val="24"/>
        </w:rPr>
        <w:t xml:space="preserve">Illinois </w:t>
      </w:r>
      <w:r w:rsidRPr="00A70DE1">
        <w:rPr>
          <w:rFonts w:ascii="Times New Roman" w:hAnsi="Times New Roman" w:cs="Times New Roman"/>
          <w:sz w:val="24"/>
          <w:szCs w:val="24"/>
        </w:rPr>
        <w:t>harvests twice as many pumpkin acres as any other state, at 17,600 acres. Pennsylvania leads the country in pumpkins grown for fresh markets</w:t>
      </w:r>
      <w:r w:rsidR="008814C6" w:rsidRPr="00A70DE1">
        <w:rPr>
          <w:rFonts w:ascii="Times New Roman" w:hAnsi="Times New Roman" w:cs="Times New Roman"/>
          <w:sz w:val="24"/>
          <w:szCs w:val="24"/>
        </w:rPr>
        <w:t>. EXPAND</w:t>
      </w:r>
    </w:p>
    <w:p w14:paraId="332F7891" w14:textId="77777777" w:rsidR="00237355" w:rsidRPr="00A70DE1" w:rsidRDefault="00237355" w:rsidP="00630064">
      <w:pPr>
        <w:spacing w:after="0" w:line="360" w:lineRule="auto"/>
        <w:rPr>
          <w:rFonts w:ascii="Times New Roman" w:hAnsi="Times New Roman" w:cs="Times New Roman"/>
          <w:sz w:val="24"/>
          <w:szCs w:val="24"/>
        </w:rPr>
      </w:pPr>
    </w:p>
    <w:p w14:paraId="3F311A28" w14:textId="77777777" w:rsidR="00237355" w:rsidRPr="00A70DE1" w:rsidRDefault="00237355" w:rsidP="00630064">
      <w:pPr>
        <w:spacing w:after="0" w:line="360" w:lineRule="auto"/>
        <w:rPr>
          <w:rFonts w:ascii="Times New Roman" w:hAnsi="Times New Roman" w:cs="Times New Roman"/>
          <w:i/>
          <w:iCs/>
          <w:sz w:val="24"/>
          <w:szCs w:val="24"/>
        </w:rPr>
      </w:pPr>
      <w:r w:rsidRPr="00A70DE1">
        <w:rPr>
          <w:rFonts w:ascii="Times New Roman" w:hAnsi="Times New Roman" w:cs="Times New Roman"/>
          <w:i/>
          <w:iCs/>
          <w:sz w:val="24"/>
          <w:szCs w:val="24"/>
        </w:rPr>
        <w:t>Christmas Tree (drought)</w:t>
      </w:r>
    </w:p>
    <w:p w14:paraId="59C5554F" w14:textId="367454E8" w:rsidR="00237355" w:rsidRPr="00A70DE1" w:rsidRDefault="00237355" w:rsidP="00630064">
      <w:pPr>
        <w:spacing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Christmas Trees, the umbrella term for sheared or unsheared coniferous trees traditionally marketed as Christmas trees, include but are not limited to varieties of fir, spruce, and pine. </w:t>
      </w:r>
      <w:r w:rsidR="008814C6" w:rsidRPr="00A70DE1">
        <w:rPr>
          <w:rFonts w:ascii="Times New Roman" w:hAnsi="Times New Roman" w:cs="Times New Roman"/>
          <w:sz w:val="24"/>
          <w:szCs w:val="24"/>
        </w:rPr>
        <w:t>EXPAND</w:t>
      </w:r>
    </w:p>
    <w:p w14:paraId="02669D4E" w14:textId="77777777" w:rsidR="00237355" w:rsidRPr="00A70DE1" w:rsidRDefault="00237355" w:rsidP="00630064">
      <w:pPr>
        <w:spacing w:after="0" w:line="360" w:lineRule="auto"/>
        <w:rPr>
          <w:rStyle w:val="normaltextrun"/>
          <w:rFonts w:ascii="Times New Roman" w:hAnsi="Times New Roman" w:cs="Times New Roman"/>
          <w:sz w:val="24"/>
          <w:szCs w:val="24"/>
        </w:rPr>
      </w:pPr>
    </w:p>
    <w:p w14:paraId="5A42AB40" w14:textId="6F711AFA" w:rsidR="000D6B2D" w:rsidRPr="00A70DE1" w:rsidRDefault="00237355" w:rsidP="00630064">
      <w:pPr>
        <w:spacing w:before="240" w:after="0" w:line="360" w:lineRule="auto"/>
        <w:rPr>
          <w:rFonts w:ascii="Times New Roman" w:hAnsi="Times New Roman" w:cs="Times New Roman"/>
          <w:sz w:val="24"/>
          <w:szCs w:val="24"/>
        </w:rPr>
      </w:pPr>
      <w:r w:rsidRPr="00A70DE1">
        <w:rPr>
          <w:rStyle w:val="normaltextrun"/>
          <w:rFonts w:ascii="Times New Roman" w:hAnsi="Times New Roman" w:cs="Times New Roman"/>
          <w:sz w:val="24"/>
          <w:szCs w:val="24"/>
        </w:rPr>
        <w:t xml:space="preserve">In addition to more centralized </w:t>
      </w:r>
      <w:r w:rsidRPr="00A70DE1">
        <w:rPr>
          <w:rStyle w:val="normaltextrun"/>
          <w:rFonts w:ascii="Times New Roman" w:hAnsi="Times New Roman" w:cs="Times New Roman"/>
          <w:color w:val="000000" w:themeColor="text1"/>
          <w:sz w:val="24"/>
          <w:szCs w:val="24"/>
        </w:rPr>
        <w:t xml:space="preserve">production regions, many small producers in non-traditional growing regions are feeling the pressure of differing pests, </w:t>
      </w:r>
      <w:r w:rsidR="002B1A85">
        <w:rPr>
          <w:rStyle w:val="normaltextrun"/>
          <w:rFonts w:ascii="Times New Roman" w:hAnsi="Times New Roman" w:cs="Times New Roman"/>
          <w:color w:val="000000" w:themeColor="text1"/>
          <w:sz w:val="24"/>
          <w:szCs w:val="24"/>
        </w:rPr>
        <w:t xml:space="preserve">as well as a </w:t>
      </w:r>
      <w:r w:rsidRPr="00A70DE1">
        <w:rPr>
          <w:rStyle w:val="normaltextrun"/>
          <w:rFonts w:ascii="Times New Roman" w:hAnsi="Times New Roman" w:cs="Times New Roman"/>
          <w:color w:val="000000" w:themeColor="text1"/>
          <w:sz w:val="24"/>
          <w:szCs w:val="24"/>
        </w:rPr>
        <w:t xml:space="preserve">lack of labor or processing infrastructure. The longstanding federal solution to weather risks for producers has been federal crop insurance, but producer participation in many programs for specialty crops continues to </w:t>
      </w:r>
      <w:r w:rsidRPr="00A70DE1">
        <w:rPr>
          <w:rStyle w:val="normaltextrun"/>
          <w:rFonts w:ascii="Times New Roman" w:hAnsi="Times New Roman" w:cs="Times New Roman"/>
          <w:sz w:val="24"/>
          <w:szCs w:val="24"/>
        </w:rPr>
        <w:t xml:space="preserve">trend significantly lower than their row crop counterparts. </w:t>
      </w:r>
      <w:r w:rsidR="00C22852">
        <w:rPr>
          <w:rStyle w:val="normaltextrun"/>
          <w:rFonts w:ascii="Times New Roman" w:hAnsi="Times New Roman" w:cs="Times New Roman"/>
          <w:sz w:val="24"/>
          <w:szCs w:val="24"/>
        </w:rPr>
        <w:t xml:space="preserve">While the difference in trends between the groups is </w:t>
      </w:r>
      <w:r w:rsidR="00BC5DA0">
        <w:rPr>
          <w:rStyle w:val="normaltextrun"/>
          <w:rFonts w:ascii="Times New Roman" w:hAnsi="Times New Roman" w:cs="Times New Roman"/>
          <w:sz w:val="24"/>
          <w:szCs w:val="24"/>
        </w:rPr>
        <w:t>believed to be</w:t>
      </w:r>
      <w:r w:rsidR="00C22852">
        <w:rPr>
          <w:rStyle w:val="normaltextrun"/>
          <w:rFonts w:ascii="Times New Roman" w:hAnsi="Times New Roman" w:cs="Times New Roman"/>
          <w:sz w:val="24"/>
          <w:szCs w:val="24"/>
        </w:rPr>
        <w:t xml:space="preserve"> </w:t>
      </w:r>
      <w:r w:rsidR="00A57317">
        <w:rPr>
          <w:rStyle w:val="normaltextrun"/>
          <w:rFonts w:ascii="Times New Roman" w:hAnsi="Times New Roman" w:cs="Times New Roman"/>
          <w:sz w:val="24"/>
          <w:szCs w:val="24"/>
        </w:rPr>
        <w:t xml:space="preserve">a lack of </w:t>
      </w:r>
      <w:r w:rsidR="00BC5DA0">
        <w:rPr>
          <w:rStyle w:val="normaltextrun"/>
          <w:rFonts w:ascii="Times New Roman" w:hAnsi="Times New Roman" w:cs="Times New Roman"/>
          <w:sz w:val="24"/>
          <w:szCs w:val="24"/>
        </w:rPr>
        <w:t>clear information</w:t>
      </w:r>
      <w:r w:rsidR="00A57317">
        <w:rPr>
          <w:rStyle w:val="normaltextrun"/>
          <w:rFonts w:ascii="Times New Roman" w:hAnsi="Times New Roman" w:cs="Times New Roman"/>
          <w:sz w:val="24"/>
          <w:szCs w:val="24"/>
        </w:rPr>
        <w:t xml:space="preserve">, </w:t>
      </w:r>
      <w:r w:rsidR="00FF1007">
        <w:rPr>
          <w:rStyle w:val="normaltextrun"/>
          <w:rFonts w:ascii="Times New Roman" w:hAnsi="Times New Roman" w:cs="Times New Roman"/>
          <w:sz w:val="24"/>
          <w:szCs w:val="24"/>
        </w:rPr>
        <w:t>there is a lack of literature on the benefits of these programs to specialty crop producers</w:t>
      </w:r>
      <w:r w:rsidR="00694E22">
        <w:rPr>
          <w:rStyle w:val="normaltextrun"/>
          <w:rFonts w:ascii="Times New Roman" w:hAnsi="Times New Roman" w:cs="Times New Roman"/>
          <w:sz w:val="24"/>
          <w:szCs w:val="24"/>
        </w:rPr>
        <w:t>.</w:t>
      </w:r>
    </w:p>
    <w:p w14:paraId="1D23B704" w14:textId="77777777" w:rsidR="007A113D" w:rsidRDefault="007A113D" w:rsidP="00630064">
      <w:pPr>
        <w:spacing w:line="360" w:lineRule="auto"/>
        <w:rPr>
          <w:rFonts w:ascii="Times New Roman" w:hAnsi="Times New Roman" w:cs="Times New Roman"/>
          <w:b/>
          <w:bCs/>
          <w:sz w:val="24"/>
          <w:szCs w:val="24"/>
        </w:rPr>
      </w:pPr>
    </w:p>
    <w:p w14:paraId="12875968" w14:textId="65D7A6B7" w:rsidR="000536D4" w:rsidRPr="00A70DE1" w:rsidRDefault="000536D4" w:rsidP="00CB29F5">
      <w:pPr>
        <w:pStyle w:val="Heading1"/>
        <w:spacing w:line="360" w:lineRule="auto"/>
        <w:rPr>
          <w:rFonts w:ascii="Times New Roman" w:hAnsi="Times New Roman" w:cs="Times New Roman"/>
          <w:b/>
          <w:bCs/>
          <w:sz w:val="24"/>
          <w:szCs w:val="24"/>
        </w:rPr>
      </w:pPr>
      <w:bookmarkStart w:id="7" w:name="_Toc172283621"/>
      <w:r w:rsidRPr="00A70DE1">
        <w:rPr>
          <w:rFonts w:ascii="Times New Roman" w:hAnsi="Times New Roman" w:cs="Times New Roman"/>
          <w:b/>
          <w:bCs/>
          <w:sz w:val="24"/>
          <w:szCs w:val="24"/>
        </w:rPr>
        <w:t>Approach</w:t>
      </w:r>
      <w:bookmarkEnd w:id="7"/>
    </w:p>
    <w:p w14:paraId="590F62B8" w14:textId="151F6767" w:rsidR="00EE6DC9" w:rsidRPr="00A70DE1" w:rsidRDefault="00EE6DC9" w:rsidP="00630064">
      <w:pPr>
        <w:spacing w:before="240" w:after="0" w:line="360" w:lineRule="auto"/>
        <w:rPr>
          <w:rFonts w:ascii="Times New Roman" w:hAnsi="Times New Roman" w:cs="Times New Roman"/>
          <w:sz w:val="24"/>
          <w:szCs w:val="24"/>
        </w:rPr>
      </w:pPr>
      <w:r w:rsidRPr="00A70DE1">
        <w:rPr>
          <w:rStyle w:val="normaltextrun"/>
          <w:rFonts w:ascii="Times New Roman" w:hAnsi="Times New Roman" w:cs="Times New Roman"/>
          <w:sz w:val="24"/>
          <w:szCs w:val="24"/>
        </w:rPr>
        <w:t xml:space="preserve">Understanding how the current programs are or are not working for </w:t>
      </w:r>
      <w:r w:rsidR="0071751C" w:rsidRPr="00A70DE1">
        <w:rPr>
          <w:rStyle w:val="normaltextrun"/>
          <w:rFonts w:ascii="Times New Roman" w:hAnsi="Times New Roman" w:cs="Times New Roman"/>
          <w:sz w:val="24"/>
          <w:szCs w:val="24"/>
        </w:rPr>
        <w:t xml:space="preserve">specialty crop </w:t>
      </w:r>
      <w:r w:rsidRPr="00A70DE1">
        <w:rPr>
          <w:rStyle w:val="normaltextrun"/>
          <w:rFonts w:ascii="Times New Roman" w:hAnsi="Times New Roman" w:cs="Times New Roman"/>
          <w:sz w:val="24"/>
          <w:szCs w:val="24"/>
        </w:rPr>
        <w:t xml:space="preserve">producers is key to ensuring that the funding </w:t>
      </w:r>
      <w:r w:rsidR="0071751C" w:rsidRPr="00A70DE1">
        <w:rPr>
          <w:rStyle w:val="normaltextrun"/>
          <w:rFonts w:ascii="Times New Roman" w:hAnsi="Times New Roman" w:cs="Times New Roman"/>
          <w:sz w:val="24"/>
          <w:szCs w:val="24"/>
        </w:rPr>
        <w:t>allocated to them is efficiently and accurately spent and that producers are being supported in the most useful way</w:t>
      </w:r>
      <w:r w:rsidRPr="00A70DE1">
        <w:rPr>
          <w:rStyle w:val="normaltextrun"/>
          <w:rFonts w:ascii="Times New Roman" w:hAnsi="Times New Roman" w:cs="Times New Roman"/>
          <w:sz w:val="24"/>
          <w:szCs w:val="24"/>
        </w:rPr>
        <w:t xml:space="preserve"> as changes in the food system continue.</w:t>
      </w:r>
    </w:p>
    <w:p w14:paraId="60B8ECCF" w14:textId="2B94A76B" w:rsidR="00EE6DC9" w:rsidRPr="00A70DE1" w:rsidRDefault="00EE6DC9" w:rsidP="00630064">
      <w:pPr>
        <w:spacing w:after="0" w:line="360" w:lineRule="auto"/>
        <w:ind w:firstLine="720"/>
        <w:rPr>
          <w:rFonts w:ascii="Times New Roman" w:hAnsi="Times New Roman" w:cs="Times New Roman"/>
          <w:color w:val="000000" w:themeColor="text1"/>
          <w:sz w:val="24"/>
          <w:szCs w:val="24"/>
        </w:rPr>
      </w:pPr>
      <w:r w:rsidRPr="00A70DE1">
        <w:rPr>
          <w:rFonts w:ascii="Times New Roman" w:hAnsi="Times New Roman" w:cs="Times New Roman"/>
          <w:color w:val="000000" w:themeColor="text1"/>
          <w:sz w:val="24"/>
          <w:szCs w:val="24"/>
        </w:rPr>
        <w:t xml:space="preserve">For some specialty crop producers, crop insurance is </w:t>
      </w:r>
      <w:r w:rsidR="00CE6445" w:rsidRPr="00A70DE1">
        <w:rPr>
          <w:rFonts w:ascii="Times New Roman" w:hAnsi="Times New Roman" w:cs="Times New Roman"/>
          <w:color w:val="000000" w:themeColor="text1"/>
          <w:sz w:val="24"/>
          <w:szCs w:val="24"/>
        </w:rPr>
        <w:t>important</w:t>
      </w:r>
      <w:r w:rsidR="00A91A37" w:rsidRPr="00A70DE1">
        <w:rPr>
          <w:rFonts w:ascii="Times New Roman" w:hAnsi="Times New Roman" w:cs="Times New Roman"/>
          <w:color w:val="000000" w:themeColor="text1"/>
          <w:sz w:val="24"/>
          <w:szCs w:val="24"/>
        </w:rPr>
        <w:t xml:space="preserve"> for ensuring a sustainable business. C</w:t>
      </w:r>
      <w:r w:rsidRPr="00A70DE1">
        <w:rPr>
          <w:rFonts w:ascii="Times New Roman" w:hAnsi="Times New Roman" w:cs="Times New Roman"/>
          <w:color w:val="000000" w:themeColor="text1"/>
          <w:sz w:val="24"/>
          <w:szCs w:val="24"/>
        </w:rPr>
        <w:t xml:space="preserve">rop insurance provides an external form of risk management that </w:t>
      </w:r>
      <w:r w:rsidR="00A91A37" w:rsidRPr="00A70DE1">
        <w:rPr>
          <w:rFonts w:ascii="Times New Roman" w:hAnsi="Times New Roman" w:cs="Times New Roman"/>
          <w:color w:val="000000" w:themeColor="text1"/>
          <w:sz w:val="24"/>
          <w:szCs w:val="24"/>
        </w:rPr>
        <w:t>does not rely on previously leveraged capital, finances, or time, providing</w:t>
      </w:r>
      <w:r w:rsidRPr="00A70DE1">
        <w:rPr>
          <w:rFonts w:ascii="Times New Roman" w:hAnsi="Times New Roman" w:cs="Times New Roman"/>
          <w:color w:val="000000" w:themeColor="text1"/>
          <w:sz w:val="24"/>
          <w:szCs w:val="24"/>
        </w:rPr>
        <w:t xml:space="preserve"> more equal opportunities to producers of all backgrounds and experiences to enter the food system.</w:t>
      </w:r>
      <w:r w:rsidR="00E91ABE" w:rsidRPr="00A70DE1">
        <w:rPr>
          <w:rFonts w:ascii="Times New Roman" w:hAnsi="Times New Roman" w:cs="Times New Roman"/>
          <w:color w:val="000000" w:themeColor="text1"/>
          <w:sz w:val="24"/>
          <w:szCs w:val="24"/>
        </w:rPr>
        <w:t xml:space="preserve"> </w:t>
      </w:r>
      <w:r w:rsidR="009046E6">
        <w:rPr>
          <w:rFonts w:ascii="Times New Roman" w:hAnsi="Times New Roman" w:cs="Times New Roman"/>
          <w:color w:val="000000" w:themeColor="text1"/>
          <w:sz w:val="24"/>
          <w:szCs w:val="24"/>
        </w:rPr>
        <w:t>Federal investment</w:t>
      </w:r>
      <w:r w:rsidRPr="00A70DE1">
        <w:rPr>
          <w:rFonts w:ascii="Times New Roman" w:hAnsi="Times New Roman" w:cs="Times New Roman"/>
          <w:color w:val="000000" w:themeColor="text1"/>
          <w:sz w:val="24"/>
          <w:szCs w:val="24"/>
        </w:rPr>
        <w:t xml:space="preserve"> in crop insurance policies is investing in a more equitable food system that balances new and emerging markets</w:t>
      </w:r>
      <w:r w:rsidR="00CE6445" w:rsidRPr="00A70DE1">
        <w:rPr>
          <w:rFonts w:ascii="Times New Roman" w:hAnsi="Times New Roman" w:cs="Times New Roman"/>
          <w:color w:val="000000" w:themeColor="text1"/>
          <w:sz w:val="24"/>
          <w:szCs w:val="24"/>
        </w:rPr>
        <w:t>.</w:t>
      </w:r>
    </w:p>
    <w:p w14:paraId="2DDA9BD8" w14:textId="346FB56D" w:rsidR="00D85CE2" w:rsidRPr="00A70DE1" w:rsidRDefault="00D85CE2" w:rsidP="00630064">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Therefore, the goals of this </w:t>
      </w:r>
      <w:r w:rsidR="007E128B" w:rsidRPr="00A70DE1">
        <w:rPr>
          <w:rFonts w:ascii="Times New Roman" w:hAnsi="Times New Roman" w:cs="Times New Roman"/>
          <w:sz w:val="24"/>
          <w:szCs w:val="24"/>
        </w:rPr>
        <w:t>proposal</w:t>
      </w:r>
      <w:r w:rsidRPr="00A70DE1">
        <w:rPr>
          <w:rFonts w:ascii="Times New Roman" w:hAnsi="Times New Roman" w:cs="Times New Roman"/>
          <w:sz w:val="24"/>
          <w:szCs w:val="24"/>
        </w:rPr>
        <w:t xml:space="preserve"> are as follows.</w:t>
      </w:r>
    </w:p>
    <w:p w14:paraId="36996AC3" w14:textId="77777777" w:rsidR="00D85CE2" w:rsidRPr="00A70DE1" w:rsidRDefault="00D85CE2" w:rsidP="00630064">
      <w:pPr>
        <w:pStyle w:val="ListParagraph"/>
        <w:numPr>
          <w:ilvl w:val="0"/>
          <w:numId w:val="3"/>
        </w:num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Quantify the impact of participation in federal risk management programs on the revenue volatility of specialty crop producers.</w:t>
      </w:r>
    </w:p>
    <w:p w14:paraId="36A184A5" w14:textId="77777777" w:rsidR="00D85CE2" w:rsidRPr="00A70DE1" w:rsidRDefault="00D85CE2" w:rsidP="00630064">
      <w:pPr>
        <w:pStyle w:val="ListParagraph"/>
        <w:numPr>
          <w:ilvl w:val="0"/>
          <w:numId w:val="3"/>
        </w:num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Identify critical drivers and barriers to specialty crop producers' participation in different federal risk management programs.</w:t>
      </w:r>
    </w:p>
    <w:p w14:paraId="4417B16B" w14:textId="44939469" w:rsidR="00035FAF" w:rsidRPr="00A70DE1" w:rsidRDefault="007438EE" w:rsidP="00630064">
      <w:pPr>
        <w:pStyle w:val="ListParagraph"/>
        <w:numPr>
          <w:ilvl w:val="0"/>
          <w:numId w:val="3"/>
        </w:numPr>
        <w:spacing w:before="240" w:after="0" w:line="360" w:lineRule="auto"/>
        <w:rPr>
          <w:rFonts w:ascii="Times New Roman" w:hAnsi="Times New Roman" w:cs="Times New Roman"/>
          <w:sz w:val="24"/>
          <w:szCs w:val="24"/>
        </w:rPr>
      </w:pPr>
      <w:r>
        <w:rPr>
          <w:rFonts w:ascii="Times New Roman" w:hAnsi="Times New Roman" w:cs="Times New Roman"/>
          <w:sz w:val="24"/>
          <w:szCs w:val="24"/>
        </w:rPr>
        <w:t>Develop and provide</w:t>
      </w:r>
      <w:r w:rsidR="00CE08FB">
        <w:rPr>
          <w:rFonts w:ascii="Times New Roman" w:hAnsi="Times New Roman" w:cs="Times New Roman"/>
          <w:sz w:val="24"/>
          <w:szCs w:val="24"/>
        </w:rPr>
        <w:t xml:space="preserve"> risk management</w:t>
      </w:r>
      <w:r>
        <w:rPr>
          <w:rFonts w:ascii="Times New Roman" w:hAnsi="Times New Roman" w:cs="Times New Roman"/>
          <w:sz w:val="24"/>
          <w:szCs w:val="24"/>
        </w:rPr>
        <w:t xml:space="preserve"> decision making tools for </w:t>
      </w:r>
      <w:r w:rsidR="00CE08FB">
        <w:rPr>
          <w:rFonts w:ascii="Times New Roman" w:hAnsi="Times New Roman" w:cs="Times New Roman"/>
          <w:sz w:val="24"/>
          <w:szCs w:val="24"/>
        </w:rPr>
        <w:t>specialty crop producers.</w:t>
      </w:r>
    </w:p>
    <w:p w14:paraId="6D6A848E" w14:textId="5E3A4BEE" w:rsidR="00D85CE2" w:rsidRPr="00A70DE1" w:rsidRDefault="00D85CE2" w:rsidP="00630064">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These goals will be achieved through a </w:t>
      </w:r>
      <w:r w:rsidR="008B4E17">
        <w:rPr>
          <w:rFonts w:ascii="Times New Roman" w:hAnsi="Times New Roman" w:cs="Times New Roman"/>
          <w:sz w:val="24"/>
          <w:szCs w:val="24"/>
        </w:rPr>
        <w:t>three</w:t>
      </w:r>
      <w:r w:rsidRPr="00A70DE1">
        <w:rPr>
          <w:rFonts w:ascii="Times New Roman" w:hAnsi="Times New Roman" w:cs="Times New Roman"/>
          <w:sz w:val="24"/>
          <w:szCs w:val="24"/>
        </w:rPr>
        <w:t>-phase process-</w:t>
      </w:r>
    </w:p>
    <w:p w14:paraId="2A6C3AE4" w14:textId="2158D993" w:rsidR="00D85CE2" w:rsidRPr="00A70DE1" w:rsidRDefault="00D85CE2" w:rsidP="00630064">
      <w:pPr>
        <w:pStyle w:val="ListParagraph"/>
        <w:numPr>
          <w:ilvl w:val="0"/>
          <w:numId w:val="4"/>
        </w:num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Data Analysis- Analyzing the participation and payment data on </w:t>
      </w:r>
      <w:r w:rsidR="00CE08FB">
        <w:rPr>
          <w:rFonts w:ascii="Times New Roman" w:hAnsi="Times New Roman" w:cs="Times New Roman"/>
          <w:sz w:val="24"/>
          <w:szCs w:val="24"/>
        </w:rPr>
        <w:t>the two major</w:t>
      </w:r>
      <w:r w:rsidRPr="00A70DE1">
        <w:rPr>
          <w:rFonts w:ascii="Times New Roman" w:hAnsi="Times New Roman" w:cs="Times New Roman"/>
          <w:sz w:val="24"/>
          <w:szCs w:val="24"/>
        </w:rPr>
        <w:t xml:space="preserve"> federal specialty crop insurance programs</w:t>
      </w:r>
      <w:r w:rsidR="00CE08FB">
        <w:rPr>
          <w:rFonts w:ascii="Times New Roman" w:hAnsi="Times New Roman" w:cs="Times New Roman"/>
          <w:sz w:val="24"/>
          <w:szCs w:val="24"/>
        </w:rPr>
        <w:t xml:space="preserve">, Whole Farm Revenue Protection (WFRP) and Non-insured Crop </w:t>
      </w:r>
      <w:r w:rsidR="00CE08FB">
        <w:rPr>
          <w:rFonts w:ascii="Times New Roman" w:hAnsi="Times New Roman" w:cs="Times New Roman"/>
          <w:sz w:val="24"/>
          <w:szCs w:val="24"/>
        </w:rPr>
        <w:lastRenderedPageBreak/>
        <w:t>Assistance Program (NAP)</w:t>
      </w:r>
      <w:r w:rsidRPr="00A70DE1">
        <w:rPr>
          <w:rFonts w:ascii="Times New Roman" w:hAnsi="Times New Roman" w:cs="Times New Roman"/>
          <w:sz w:val="24"/>
          <w:szCs w:val="24"/>
        </w:rPr>
        <w:t xml:space="preserve"> and the relationship between participation and payment with revenue volatility, as well as trends in participation characteristics.</w:t>
      </w:r>
    </w:p>
    <w:p w14:paraId="6ED4EC28" w14:textId="4B2596BF" w:rsidR="008B4E17" w:rsidRDefault="00D85CE2" w:rsidP="008B4E17">
      <w:pPr>
        <w:pStyle w:val="ListParagraph"/>
        <w:numPr>
          <w:ilvl w:val="0"/>
          <w:numId w:val="4"/>
        </w:num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Extension—Following the data from the analysis stage, </w:t>
      </w:r>
      <w:r w:rsidR="00D20C6C">
        <w:rPr>
          <w:rFonts w:ascii="Times New Roman" w:hAnsi="Times New Roman" w:cs="Times New Roman"/>
          <w:sz w:val="24"/>
          <w:szCs w:val="24"/>
        </w:rPr>
        <w:t>attend annual</w:t>
      </w:r>
      <w:r w:rsidRPr="00A70DE1">
        <w:rPr>
          <w:rFonts w:ascii="Times New Roman" w:hAnsi="Times New Roman" w:cs="Times New Roman"/>
          <w:sz w:val="24"/>
          <w:szCs w:val="24"/>
        </w:rPr>
        <w:t xml:space="preserve"> check-off board</w:t>
      </w:r>
      <w:r w:rsidR="00D20C6C">
        <w:rPr>
          <w:rFonts w:ascii="Times New Roman" w:hAnsi="Times New Roman" w:cs="Times New Roman"/>
          <w:sz w:val="24"/>
          <w:szCs w:val="24"/>
        </w:rPr>
        <w:t xml:space="preserve"> meetings</w:t>
      </w:r>
      <w:r w:rsidRPr="00A70DE1">
        <w:rPr>
          <w:rFonts w:ascii="Times New Roman" w:hAnsi="Times New Roman" w:cs="Times New Roman"/>
          <w:sz w:val="24"/>
          <w:szCs w:val="24"/>
        </w:rPr>
        <w:t xml:space="preserve"> to interview producers to </w:t>
      </w:r>
      <w:r w:rsidR="00D20C6C">
        <w:rPr>
          <w:rFonts w:ascii="Times New Roman" w:hAnsi="Times New Roman" w:cs="Times New Roman"/>
          <w:sz w:val="24"/>
          <w:szCs w:val="24"/>
        </w:rPr>
        <w:t xml:space="preserve">understand how </w:t>
      </w:r>
      <w:r w:rsidR="0072635B">
        <w:rPr>
          <w:rFonts w:ascii="Times New Roman" w:hAnsi="Times New Roman" w:cs="Times New Roman"/>
          <w:sz w:val="24"/>
          <w:szCs w:val="24"/>
        </w:rPr>
        <w:t>the revenue impact results</w:t>
      </w:r>
      <w:r w:rsidR="00D87093">
        <w:rPr>
          <w:rFonts w:ascii="Times New Roman" w:hAnsi="Times New Roman" w:cs="Times New Roman"/>
          <w:sz w:val="24"/>
          <w:szCs w:val="24"/>
        </w:rPr>
        <w:t xml:space="preserve"> are perceived by producers,</w:t>
      </w:r>
      <w:r w:rsidR="0072635B">
        <w:rPr>
          <w:rFonts w:ascii="Times New Roman" w:hAnsi="Times New Roman" w:cs="Times New Roman"/>
          <w:sz w:val="24"/>
          <w:szCs w:val="24"/>
        </w:rPr>
        <w:t xml:space="preserve"> and </w:t>
      </w:r>
      <w:r w:rsidR="00D87093">
        <w:rPr>
          <w:rFonts w:ascii="Times New Roman" w:hAnsi="Times New Roman" w:cs="Times New Roman"/>
          <w:sz w:val="24"/>
          <w:szCs w:val="24"/>
        </w:rPr>
        <w:t>better understand the drivers of</w:t>
      </w:r>
      <w:r w:rsidRPr="00A70DE1">
        <w:rPr>
          <w:rFonts w:ascii="Times New Roman" w:hAnsi="Times New Roman" w:cs="Times New Roman"/>
          <w:sz w:val="24"/>
          <w:szCs w:val="24"/>
        </w:rPr>
        <w:t xml:space="preserve"> participation. </w:t>
      </w:r>
    </w:p>
    <w:p w14:paraId="77D47296" w14:textId="2B6B9F7C" w:rsidR="00962131" w:rsidRPr="00165753" w:rsidRDefault="00A34846" w:rsidP="00630064">
      <w:pPr>
        <w:pStyle w:val="ListParagraph"/>
        <w:numPr>
          <w:ilvl w:val="0"/>
          <w:numId w:val="4"/>
        </w:num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Decision Tool- Based on the </w:t>
      </w:r>
      <w:r w:rsidR="00ED7EA0">
        <w:rPr>
          <w:rFonts w:ascii="Times New Roman" w:hAnsi="Times New Roman" w:cs="Times New Roman"/>
          <w:sz w:val="24"/>
          <w:szCs w:val="24"/>
        </w:rPr>
        <w:t xml:space="preserve">results from both the analysis and producer interviews, create a decision tool </w:t>
      </w:r>
      <w:r w:rsidR="002B1A85">
        <w:rPr>
          <w:rFonts w:ascii="Times New Roman" w:hAnsi="Times New Roman" w:cs="Times New Roman"/>
          <w:sz w:val="24"/>
          <w:szCs w:val="24"/>
        </w:rPr>
        <w:t xml:space="preserve">to help </w:t>
      </w:r>
      <w:r w:rsidR="00ED7EA0">
        <w:rPr>
          <w:rFonts w:ascii="Times New Roman" w:hAnsi="Times New Roman" w:cs="Times New Roman"/>
          <w:sz w:val="24"/>
          <w:szCs w:val="24"/>
        </w:rPr>
        <w:t xml:space="preserve">producers </w:t>
      </w:r>
      <w:r w:rsidR="002B1A85">
        <w:rPr>
          <w:rFonts w:ascii="Times New Roman" w:hAnsi="Times New Roman" w:cs="Times New Roman"/>
          <w:sz w:val="24"/>
          <w:szCs w:val="24"/>
        </w:rPr>
        <w:t xml:space="preserve">choose </w:t>
      </w:r>
      <w:r w:rsidR="00D700F9">
        <w:rPr>
          <w:rFonts w:ascii="Times New Roman" w:hAnsi="Times New Roman" w:cs="Times New Roman"/>
          <w:sz w:val="24"/>
          <w:szCs w:val="24"/>
        </w:rPr>
        <w:t>between different risk management programs</w:t>
      </w:r>
      <w:r w:rsidR="004138EA">
        <w:rPr>
          <w:rFonts w:ascii="Times New Roman" w:hAnsi="Times New Roman" w:cs="Times New Roman"/>
          <w:sz w:val="24"/>
          <w:szCs w:val="24"/>
        </w:rPr>
        <w:t>.</w:t>
      </w:r>
    </w:p>
    <w:p w14:paraId="7CD192EA" w14:textId="1728DC29" w:rsidR="00676101" w:rsidRPr="00A70DE1" w:rsidRDefault="00962131" w:rsidP="00630064">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Understanding the impact of federal crop insurance on specialty crop producers is complex due to the variety of risk management programs available to these producers. Understanding impacts is not as simple as looking at a single program, but the impacts of each and the tradeoffs between them. To accomplish the study goal of understanding participation characteristics and benefits, we will analyze the relationship of </w:t>
      </w:r>
      <w:r w:rsidR="00DD77A7" w:rsidRPr="00A70DE1">
        <w:rPr>
          <w:rFonts w:ascii="Times New Roman" w:hAnsi="Times New Roman" w:cs="Times New Roman"/>
          <w:sz w:val="24"/>
          <w:szCs w:val="24"/>
        </w:rPr>
        <w:t>1) d</w:t>
      </w:r>
      <w:r w:rsidRPr="00A70DE1">
        <w:rPr>
          <w:rFonts w:ascii="Times New Roman" w:hAnsi="Times New Roman" w:cs="Times New Roman"/>
          <w:sz w:val="24"/>
          <w:szCs w:val="24"/>
        </w:rPr>
        <w:t>rivers in participation and program requirements</w:t>
      </w:r>
      <w:r w:rsidR="00DD77A7" w:rsidRPr="00A70DE1">
        <w:rPr>
          <w:rFonts w:ascii="Times New Roman" w:hAnsi="Times New Roman" w:cs="Times New Roman"/>
          <w:sz w:val="24"/>
          <w:szCs w:val="24"/>
        </w:rPr>
        <w:t xml:space="preserve"> and 2) p</w:t>
      </w:r>
      <w:r w:rsidRPr="00A70DE1">
        <w:rPr>
          <w:rFonts w:ascii="Times New Roman" w:hAnsi="Times New Roman" w:cs="Times New Roman"/>
          <w:sz w:val="24"/>
          <w:szCs w:val="24"/>
        </w:rPr>
        <w:t>rogram payments and revenue volatility</w:t>
      </w:r>
      <w:r w:rsidR="00DD77A7" w:rsidRPr="00A70DE1">
        <w:rPr>
          <w:rFonts w:ascii="Times New Roman" w:hAnsi="Times New Roman" w:cs="Times New Roman"/>
          <w:sz w:val="24"/>
          <w:szCs w:val="24"/>
        </w:rPr>
        <w:t xml:space="preserve"> f</w:t>
      </w:r>
      <w:r w:rsidR="00676101" w:rsidRPr="00A70DE1">
        <w:rPr>
          <w:rFonts w:ascii="Times New Roman" w:hAnsi="Times New Roman" w:cs="Times New Roman"/>
          <w:sz w:val="24"/>
          <w:szCs w:val="24"/>
        </w:rPr>
        <w:t xml:space="preserve">or each </w:t>
      </w:r>
      <w:r w:rsidR="00927961" w:rsidRPr="00A70DE1">
        <w:rPr>
          <w:rFonts w:ascii="Times New Roman" w:hAnsi="Times New Roman" w:cs="Times New Roman"/>
          <w:sz w:val="24"/>
          <w:szCs w:val="24"/>
        </w:rPr>
        <w:t xml:space="preserve">form of </w:t>
      </w:r>
      <w:r w:rsidR="00DF055B" w:rsidRPr="00A70DE1">
        <w:rPr>
          <w:rFonts w:ascii="Times New Roman" w:hAnsi="Times New Roman" w:cs="Times New Roman"/>
          <w:sz w:val="24"/>
          <w:szCs w:val="24"/>
        </w:rPr>
        <w:t xml:space="preserve">specialty crop </w:t>
      </w:r>
      <w:r w:rsidR="00B72EBA" w:rsidRPr="00A70DE1">
        <w:rPr>
          <w:rFonts w:ascii="Times New Roman" w:hAnsi="Times New Roman" w:cs="Times New Roman"/>
          <w:sz w:val="24"/>
          <w:szCs w:val="24"/>
        </w:rPr>
        <w:t>federal crop insurance</w:t>
      </w:r>
      <w:r w:rsidR="00DF055B" w:rsidRPr="00A70DE1">
        <w:rPr>
          <w:rFonts w:ascii="Times New Roman" w:hAnsi="Times New Roman" w:cs="Times New Roman"/>
          <w:sz w:val="24"/>
          <w:szCs w:val="24"/>
        </w:rPr>
        <w:t>.</w:t>
      </w:r>
    </w:p>
    <w:p w14:paraId="40990BBF" w14:textId="65976E7C" w:rsidR="00962131" w:rsidRDefault="00962131" w:rsidP="00630064">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The second step of the study will be to expand on the participation drivers through outreach and extension</w:t>
      </w:r>
      <w:r w:rsidR="00DB763B" w:rsidRPr="00A70DE1">
        <w:rPr>
          <w:rFonts w:ascii="Times New Roman" w:hAnsi="Times New Roman" w:cs="Times New Roman"/>
          <w:sz w:val="24"/>
          <w:szCs w:val="24"/>
        </w:rPr>
        <w:t>, working with check</w:t>
      </w:r>
      <w:r w:rsidR="00594347">
        <w:rPr>
          <w:rFonts w:ascii="Times New Roman" w:hAnsi="Times New Roman" w:cs="Times New Roman"/>
          <w:sz w:val="24"/>
          <w:szCs w:val="24"/>
        </w:rPr>
        <w:t>-</w:t>
      </w:r>
      <w:r w:rsidR="00DB763B" w:rsidRPr="00A70DE1">
        <w:rPr>
          <w:rFonts w:ascii="Times New Roman" w:hAnsi="Times New Roman" w:cs="Times New Roman"/>
          <w:sz w:val="24"/>
          <w:szCs w:val="24"/>
        </w:rPr>
        <w:t xml:space="preserve">off groups and extension agents to </w:t>
      </w:r>
      <w:r w:rsidR="00255B1D">
        <w:rPr>
          <w:rFonts w:ascii="Times New Roman" w:hAnsi="Times New Roman" w:cs="Times New Roman"/>
          <w:sz w:val="24"/>
          <w:szCs w:val="24"/>
        </w:rPr>
        <w:t xml:space="preserve">apply the initial results from the revenue analysis to </w:t>
      </w:r>
      <w:r w:rsidR="0046569D">
        <w:rPr>
          <w:rFonts w:ascii="Times New Roman" w:hAnsi="Times New Roman" w:cs="Times New Roman"/>
          <w:sz w:val="24"/>
          <w:szCs w:val="24"/>
        </w:rPr>
        <w:t>actual producer decision</w:t>
      </w:r>
      <w:r w:rsidR="00594347">
        <w:rPr>
          <w:rFonts w:ascii="Times New Roman" w:hAnsi="Times New Roman" w:cs="Times New Roman"/>
          <w:sz w:val="24"/>
          <w:szCs w:val="24"/>
        </w:rPr>
        <w:t>-</w:t>
      </w:r>
      <w:r w:rsidR="0046569D">
        <w:rPr>
          <w:rFonts w:ascii="Times New Roman" w:hAnsi="Times New Roman" w:cs="Times New Roman"/>
          <w:sz w:val="24"/>
          <w:szCs w:val="24"/>
        </w:rPr>
        <w:t xml:space="preserve">making. By </w:t>
      </w:r>
      <w:r w:rsidR="00776A5D">
        <w:rPr>
          <w:rFonts w:ascii="Times New Roman" w:hAnsi="Times New Roman" w:cs="Times New Roman"/>
          <w:sz w:val="24"/>
          <w:szCs w:val="24"/>
        </w:rPr>
        <w:t xml:space="preserve">discussing with </w:t>
      </w:r>
      <w:proofErr w:type="gramStart"/>
      <w:r w:rsidR="00776A5D">
        <w:rPr>
          <w:rFonts w:ascii="Times New Roman" w:hAnsi="Times New Roman" w:cs="Times New Roman"/>
          <w:sz w:val="24"/>
          <w:szCs w:val="24"/>
        </w:rPr>
        <w:t>producers</w:t>
      </w:r>
      <w:proofErr w:type="gramEnd"/>
      <w:r w:rsidR="00776A5D">
        <w:rPr>
          <w:rFonts w:ascii="Times New Roman" w:hAnsi="Times New Roman" w:cs="Times New Roman"/>
          <w:sz w:val="24"/>
          <w:szCs w:val="24"/>
        </w:rPr>
        <w:t xml:space="preserve"> </w:t>
      </w:r>
      <w:r w:rsidR="00AC7BAA">
        <w:rPr>
          <w:rFonts w:ascii="Times New Roman" w:hAnsi="Times New Roman" w:cs="Times New Roman"/>
          <w:sz w:val="24"/>
          <w:szCs w:val="24"/>
        </w:rPr>
        <w:t>the motivation</w:t>
      </w:r>
      <w:r w:rsidR="002B1A85">
        <w:rPr>
          <w:rFonts w:ascii="Times New Roman" w:hAnsi="Times New Roman" w:cs="Times New Roman"/>
          <w:sz w:val="24"/>
          <w:szCs w:val="24"/>
        </w:rPr>
        <w:t xml:space="preserve"> </w:t>
      </w:r>
      <w:r w:rsidR="00AC7BAA">
        <w:rPr>
          <w:rFonts w:ascii="Times New Roman" w:hAnsi="Times New Roman" w:cs="Times New Roman"/>
          <w:sz w:val="24"/>
          <w:szCs w:val="24"/>
        </w:rPr>
        <w:t xml:space="preserve">behind their </w:t>
      </w:r>
      <w:r w:rsidR="002B1A85">
        <w:rPr>
          <w:rFonts w:ascii="Times New Roman" w:hAnsi="Times New Roman" w:cs="Times New Roman"/>
          <w:sz w:val="24"/>
          <w:szCs w:val="24"/>
        </w:rPr>
        <w:t xml:space="preserve">decisions in choosing a specific program or to go without </w:t>
      </w:r>
      <w:r w:rsidR="00165753">
        <w:rPr>
          <w:rFonts w:ascii="Times New Roman" w:hAnsi="Times New Roman" w:cs="Times New Roman"/>
          <w:sz w:val="24"/>
          <w:szCs w:val="24"/>
        </w:rPr>
        <w:t>coverage, we</w:t>
      </w:r>
      <w:r w:rsidR="00AC594D">
        <w:rPr>
          <w:rFonts w:ascii="Times New Roman" w:hAnsi="Times New Roman" w:cs="Times New Roman"/>
          <w:sz w:val="24"/>
          <w:szCs w:val="24"/>
        </w:rPr>
        <w:t xml:space="preserve"> can understand the drivers behind participation beyond the </w:t>
      </w:r>
      <w:r w:rsidR="00406622">
        <w:rPr>
          <w:rFonts w:ascii="Times New Roman" w:hAnsi="Times New Roman" w:cs="Times New Roman"/>
          <w:sz w:val="24"/>
          <w:szCs w:val="24"/>
        </w:rPr>
        <w:t>trends in the data.</w:t>
      </w:r>
    </w:p>
    <w:p w14:paraId="1BCCDE5B" w14:textId="597C6DF7" w:rsidR="00165753" w:rsidRPr="00165753" w:rsidRDefault="002429A2" w:rsidP="00D328E1">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Finally, we will take the results from both the </w:t>
      </w:r>
      <w:r w:rsidR="001E5725">
        <w:rPr>
          <w:rFonts w:ascii="Times New Roman" w:hAnsi="Times New Roman" w:cs="Times New Roman"/>
          <w:sz w:val="24"/>
          <w:szCs w:val="24"/>
        </w:rPr>
        <w:t xml:space="preserve">data analysis and the </w:t>
      </w:r>
      <w:r w:rsidR="00175F0A">
        <w:rPr>
          <w:rFonts w:ascii="Times New Roman" w:hAnsi="Times New Roman" w:cs="Times New Roman"/>
          <w:sz w:val="24"/>
          <w:szCs w:val="24"/>
        </w:rPr>
        <w:t xml:space="preserve">producer interviews to build a decision tool. The decision tool </w:t>
      </w:r>
      <w:r w:rsidR="00B1147D">
        <w:rPr>
          <w:rFonts w:ascii="Times New Roman" w:hAnsi="Times New Roman" w:cs="Times New Roman"/>
          <w:sz w:val="24"/>
          <w:szCs w:val="24"/>
        </w:rPr>
        <w:t xml:space="preserve">will allow producers to input </w:t>
      </w:r>
      <w:r w:rsidR="004E70C6">
        <w:rPr>
          <w:rFonts w:ascii="Times New Roman" w:hAnsi="Times New Roman" w:cs="Times New Roman"/>
          <w:sz w:val="24"/>
          <w:szCs w:val="24"/>
        </w:rPr>
        <w:t xml:space="preserve">information about their </w:t>
      </w:r>
      <w:r w:rsidR="00E66072">
        <w:rPr>
          <w:rFonts w:ascii="Times New Roman" w:hAnsi="Times New Roman" w:cs="Times New Roman"/>
          <w:sz w:val="24"/>
          <w:szCs w:val="24"/>
        </w:rPr>
        <w:t>farm</w:t>
      </w:r>
      <w:r w:rsidR="00594347" w:rsidRPr="00594347">
        <w:rPr>
          <w:rFonts w:ascii="Times New Roman" w:hAnsi="Times New Roman" w:cs="Times New Roman"/>
          <w:sz w:val="24"/>
          <w:szCs w:val="24"/>
        </w:rPr>
        <w:t>,</w:t>
      </w:r>
      <w:r w:rsidR="009F402A">
        <w:rPr>
          <w:rFonts w:ascii="Times New Roman" w:hAnsi="Times New Roman" w:cs="Times New Roman"/>
          <w:sz w:val="24"/>
          <w:szCs w:val="24"/>
        </w:rPr>
        <w:t xml:space="preserve"> such as crop type</w:t>
      </w:r>
      <w:r w:rsidR="0094065B">
        <w:rPr>
          <w:rFonts w:ascii="Times New Roman" w:hAnsi="Times New Roman" w:cs="Times New Roman"/>
          <w:sz w:val="24"/>
          <w:szCs w:val="24"/>
        </w:rPr>
        <w:t xml:space="preserve"> an</w:t>
      </w:r>
      <w:r w:rsidR="007159FB">
        <w:rPr>
          <w:rFonts w:ascii="Times New Roman" w:hAnsi="Times New Roman" w:cs="Times New Roman"/>
          <w:sz w:val="24"/>
          <w:szCs w:val="24"/>
        </w:rPr>
        <w:t xml:space="preserve">d </w:t>
      </w:r>
      <w:r w:rsidR="00092C72">
        <w:rPr>
          <w:rFonts w:ascii="Times New Roman" w:hAnsi="Times New Roman" w:cs="Times New Roman"/>
          <w:sz w:val="24"/>
          <w:szCs w:val="24"/>
        </w:rPr>
        <w:t>number of acres, and then c</w:t>
      </w:r>
      <w:r w:rsidR="00092C72" w:rsidRPr="00165753">
        <w:rPr>
          <w:rFonts w:ascii="Times New Roman" w:hAnsi="Times New Roman" w:cs="Times New Roman"/>
          <w:sz w:val="24"/>
          <w:szCs w:val="24"/>
        </w:rPr>
        <w:t>alculates premiums</w:t>
      </w:r>
      <w:r w:rsidR="00D3611E" w:rsidRPr="00165753">
        <w:rPr>
          <w:rFonts w:ascii="Times New Roman" w:hAnsi="Times New Roman" w:cs="Times New Roman"/>
          <w:sz w:val="24"/>
          <w:szCs w:val="24"/>
        </w:rPr>
        <w:t xml:space="preserve"> and</w:t>
      </w:r>
      <w:r w:rsidR="00092C72" w:rsidRPr="00165753">
        <w:rPr>
          <w:rFonts w:ascii="Times New Roman" w:hAnsi="Times New Roman" w:cs="Times New Roman"/>
          <w:sz w:val="24"/>
          <w:szCs w:val="24"/>
        </w:rPr>
        <w:t xml:space="preserve"> evaluates insurance payments</w:t>
      </w:r>
      <w:r w:rsidR="00D3611E" w:rsidRPr="00165753">
        <w:rPr>
          <w:rFonts w:ascii="Times New Roman" w:hAnsi="Times New Roman" w:cs="Times New Roman"/>
          <w:sz w:val="24"/>
          <w:szCs w:val="24"/>
        </w:rPr>
        <w:t xml:space="preserve">. </w:t>
      </w:r>
    </w:p>
    <w:p w14:paraId="54FC336D" w14:textId="604FB91A" w:rsidR="00165753" w:rsidRPr="001E727A" w:rsidRDefault="007300EA" w:rsidP="00165753">
      <w:pPr>
        <w:spacing w:before="240" w:after="0" w:line="360" w:lineRule="auto"/>
        <w:rPr>
          <w:rFonts w:ascii="Times New Roman" w:hAnsi="Times New Roman" w:cs="Times New Roman"/>
          <w:sz w:val="24"/>
          <w:szCs w:val="24"/>
        </w:rPr>
      </w:pPr>
      <w:r w:rsidRPr="00A70DE1">
        <w:rPr>
          <w:rFonts w:ascii="Times New Roman" w:hAnsi="Times New Roman" w:cs="Times New Roman"/>
          <w:sz w:val="24"/>
          <w:szCs w:val="24"/>
        </w:rPr>
        <w:t xml:space="preserve">Supporting research into current federal specialty crop insurance options </w:t>
      </w:r>
      <w:r w:rsidR="00D3611E">
        <w:rPr>
          <w:rFonts w:ascii="Times New Roman" w:hAnsi="Times New Roman" w:cs="Times New Roman"/>
          <w:sz w:val="24"/>
          <w:szCs w:val="24"/>
        </w:rPr>
        <w:t>is</w:t>
      </w:r>
      <w:r w:rsidRPr="00A70DE1">
        <w:rPr>
          <w:rFonts w:ascii="Times New Roman" w:hAnsi="Times New Roman" w:cs="Times New Roman"/>
          <w:sz w:val="24"/>
          <w:szCs w:val="24"/>
        </w:rPr>
        <w:t xml:space="preserve"> crucial in addressing several </w:t>
      </w:r>
      <w:r w:rsidR="00D3611E">
        <w:rPr>
          <w:rFonts w:ascii="Times New Roman" w:hAnsi="Times New Roman" w:cs="Times New Roman"/>
          <w:sz w:val="24"/>
          <w:szCs w:val="24"/>
        </w:rPr>
        <w:t>critical</w:t>
      </w:r>
      <w:r w:rsidRPr="00A70DE1">
        <w:rPr>
          <w:rFonts w:ascii="Times New Roman" w:hAnsi="Times New Roman" w:cs="Times New Roman"/>
          <w:sz w:val="24"/>
          <w:szCs w:val="24"/>
        </w:rPr>
        <w:t xml:space="preserve"> agricultural challenges. </w:t>
      </w:r>
      <w:r w:rsidR="002B1A85">
        <w:rPr>
          <w:rFonts w:ascii="Times New Roman" w:hAnsi="Times New Roman" w:cs="Times New Roman"/>
          <w:sz w:val="24"/>
          <w:szCs w:val="24"/>
        </w:rPr>
        <w:t>En</w:t>
      </w:r>
      <w:r w:rsidRPr="00A70DE1">
        <w:rPr>
          <w:rFonts w:ascii="Times New Roman" w:hAnsi="Times New Roman" w:cs="Times New Roman"/>
          <w:sz w:val="24"/>
          <w:szCs w:val="24"/>
        </w:rPr>
        <w:t>hancing the effectiveness and accessibility of crop insurance</w:t>
      </w:r>
      <w:r w:rsidR="002B1A85">
        <w:rPr>
          <w:rFonts w:ascii="Times New Roman" w:hAnsi="Times New Roman" w:cs="Times New Roman"/>
          <w:sz w:val="24"/>
          <w:szCs w:val="24"/>
        </w:rPr>
        <w:t xml:space="preserve"> will enable f</w:t>
      </w:r>
      <w:r w:rsidRPr="00A70DE1">
        <w:rPr>
          <w:rFonts w:ascii="Times New Roman" w:hAnsi="Times New Roman" w:cs="Times New Roman"/>
          <w:sz w:val="24"/>
          <w:szCs w:val="24"/>
        </w:rPr>
        <w:t xml:space="preserve">armers </w:t>
      </w:r>
      <w:r w:rsidR="002B1A85">
        <w:rPr>
          <w:rFonts w:ascii="Times New Roman" w:hAnsi="Times New Roman" w:cs="Times New Roman"/>
          <w:sz w:val="24"/>
          <w:szCs w:val="24"/>
        </w:rPr>
        <w:t>to</w:t>
      </w:r>
      <w:r w:rsidR="002B1A85" w:rsidRPr="00A70DE1">
        <w:rPr>
          <w:rFonts w:ascii="Times New Roman" w:hAnsi="Times New Roman" w:cs="Times New Roman"/>
          <w:sz w:val="24"/>
          <w:szCs w:val="24"/>
        </w:rPr>
        <w:t xml:space="preserve"> </w:t>
      </w:r>
      <w:r w:rsidRPr="00A70DE1">
        <w:rPr>
          <w:rFonts w:ascii="Times New Roman" w:hAnsi="Times New Roman" w:cs="Times New Roman"/>
          <w:sz w:val="24"/>
          <w:szCs w:val="24"/>
        </w:rPr>
        <w:t xml:space="preserve">better manage climate-related risks, thereby protecting both the environment and their livelihoods. Improved insurance options also ensure that all farmers, including those growing specialty crops, have access to essential risk management tools, promoting a fairer and more resilient agricultural system. This research contributes to a more competitive and equitable insurance marketplace, benefiting all producers. Additionally, by stabilizing and sustaining food production, it helps ensure that everyone has access to safe and nutritious food. Finally, by mitigating financial risks for farmers, particularly in </w:t>
      </w:r>
      <w:r w:rsidRPr="00A70DE1">
        <w:rPr>
          <w:rFonts w:ascii="Times New Roman" w:hAnsi="Times New Roman" w:cs="Times New Roman"/>
          <w:sz w:val="24"/>
          <w:szCs w:val="24"/>
        </w:rPr>
        <w:lastRenderedPageBreak/>
        <w:t>rural and tribal areas, this research supports economic development and improves quality of life in these communities.</w:t>
      </w:r>
    </w:p>
    <w:p w14:paraId="6DCBAA41" w14:textId="26F6225C" w:rsidR="00BB1601" w:rsidRPr="00165753" w:rsidRDefault="0003382F" w:rsidP="00165753">
      <w:pPr>
        <w:spacing w:before="240" w:after="0" w:line="360" w:lineRule="auto"/>
        <w:ind w:firstLine="720"/>
        <w:rPr>
          <w:rFonts w:ascii="Times New Roman" w:hAnsi="Times New Roman" w:cs="Times New Roman"/>
          <w:sz w:val="24"/>
          <w:szCs w:val="24"/>
        </w:rPr>
      </w:pPr>
      <w:r w:rsidRPr="00165753">
        <w:rPr>
          <w:rFonts w:ascii="Times New Roman" w:hAnsi="Times New Roman" w:cs="Times New Roman"/>
          <w:sz w:val="24"/>
          <w:szCs w:val="24"/>
        </w:rPr>
        <w:t xml:space="preserve">The expected outcomes of this project are </w:t>
      </w:r>
      <w:r w:rsidR="00BB1601" w:rsidRPr="00165753">
        <w:rPr>
          <w:rFonts w:ascii="Times New Roman" w:hAnsi="Times New Roman" w:cs="Times New Roman"/>
          <w:sz w:val="24"/>
          <w:szCs w:val="24"/>
        </w:rPr>
        <w:t>a combination of both academic journal</w:t>
      </w:r>
      <w:r w:rsidR="00582CCD" w:rsidRPr="00165753">
        <w:rPr>
          <w:rFonts w:ascii="Times New Roman" w:hAnsi="Times New Roman" w:cs="Times New Roman"/>
          <w:sz w:val="24"/>
          <w:szCs w:val="24"/>
        </w:rPr>
        <w:t xml:space="preserve"> publications and extension publications to ensure that the research and application of policy analysis </w:t>
      </w:r>
      <w:r w:rsidR="00EF2B2F" w:rsidRPr="00165753">
        <w:rPr>
          <w:rFonts w:ascii="Times New Roman" w:hAnsi="Times New Roman" w:cs="Times New Roman"/>
          <w:sz w:val="24"/>
          <w:szCs w:val="24"/>
        </w:rPr>
        <w:t>are reaching both policy</w:t>
      </w:r>
      <w:r w:rsidR="00582CCD" w:rsidRPr="00165753">
        <w:rPr>
          <w:rFonts w:ascii="Times New Roman" w:hAnsi="Times New Roman" w:cs="Times New Roman"/>
          <w:sz w:val="24"/>
          <w:szCs w:val="24"/>
        </w:rPr>
        <w:t xml:space="preserve">makers and producers. We expect </w:t>
      </w:r>
      <w:r w:rsidR="00074FFE" w:rsidRPr="00165753">
        <w:rPr>
          <w:rFonts w:ascii="Times New Roman" w:hAnsi="Times New Roman" w:cs="Times New Roman"/>
          <w:sz w:val="24"/>
          <w:szCs w:val="24"/>
        </w:rPr>
        <w:t xml:space="preserve">at least one </w:t>
      </w:r>
      <w:r w:rsidR="00D3611E" w:rsidRPr="00165753">
        <w:rPr>
          <w:rFonts w:ascii="Times New Roman" w:hAnsi="Times New Roman" w:cs="Times New Roman"/>
          <w:sz w:val="24"/>
          <w:szCs w:val="24"/>
        </w:rPr>
        <w:t>scholarly</w:t>
      </w:r>
      <w:r w:rsidR="00074FFE" w:rsidRPr="00165753">
        <w:rPr>
          <w:rFonts w:ascii="Times New Roman" w:hAnsi="Times New Roman" w:cs="Times New Roman"/>
          <w:sz w:val="24"/>
          <w:szCs w:val="24"/>
        </w:rPr>
        <w:t xml:space="preserve"> journal publication for each insurance program (NAP, WFRP)</w:t>
      </w:r>
      <w:r w:rsidR="00D3611E" w:rsidRPr="00165753">
        <w:rPr>
          <w:rFonts w:ascii="Times New Roman" w:hAnsi="Times New Roman" w:cs="Times New Roman"/>
          <w:sz w:val="24"/>
          <w:szCs w:val="24"/>
        </w:rPr>
        <w:t>,</w:t>
      </w:r>
      <w:r w:rsidR="00E606B3" w:rsidRPr="00165753">
        <w:rPr>
          <w:rFonts w:ascii="Times New Roman" w:hAnsi="Times New Roman" w:cs="Times New Roman"/>
          <w:sz w:val="24"/>
          <w:szCs w:val="24"/>
        </w:rPr>
        <w:t xml:space="preserve"> then at least one extension publication for each, as well as an extension publication contrasting the insurance options. We </w:t>
      </w:r>
      <w:r w:rsidR="00D3611E" w:rsidRPr="00165753">
        <w:rPr>
          <w:rFonts w:ascii="Times New Roman" w:hAnsi="Times New Roman" w:cs="Times New Roman"/>
          <w:sz w:val="24"/>
          <w:szCs w:val="24"/>
        </w:rPr>
        <w:t>will</w:t>
      </w:r>
      <w:r w:rsidR="004705F6" w:rsidRPr="00165753">
        <w:rPr>
          <w:rFonts w:ascii="Times New Roman" w:hAnsi="Times New Roman" w:cs="Times New Roman"/>
          <w:sz w:val="24"/>
          <w:szCs w:val="24"/>
        </w:rPr>
        <w:t xml:space="preserve"> take these results and build on previous flowcharts to create </w:t>
      </w:r>
      <w:r w:rsidR="00D3611E" w:rsidRPr="00165753">
        <w:rPr>
          <w:rFonts w:ascii="Times New Roman" w:hAnsi="Times New Roman" w:cs="Times New Roman"/>
          <w:sz w:val="24"/>
          <w:szCs w:val="24"/>
        </w:rPr>
        <w:t>the producer</w:t>
      </w:r>
      <w:r w:rsidR="004705F6" w:rsidRPr="00165753">
        <w:rPr>
          <w:rFonts w:ascii="Times New Roman" w:hAnsi="Times New Roman" w:cs="Times New Roman"/>
          <w:sz w:val="24"/>
          <w:szCs w:val="24"/>
        </w:rPr>
        <w:t xml:space="preserve"> decision </w:t>
      </w:r>
      <w:r w:rsidR="00D3611E" w:rsidRPr="00165753">
        <w:rPr>
          <w:rFonts w:ascii="Times New Roman" w:hAnsi="Times New Roman" w:cs="Times New Roman"/>
          <w:sz w:val="24"/>
          <w:szCs w:val="24"/>
        </w:rPr>
        <w:t>tool that will be available publicly through extension platforms</w:t>
      </w:r>
      <w:r w:rsidR="0060306A" w:rsidRPr="00165753">
        <w:rPr>
          <w:rFonts w:ascii="Times New Roman" w:hAnsi="Times New Roman" w:cs="Times New Roman"/>
          <w:sz w:val="24"/>
          <w:szCs w:val="24"/>
        </w:rPr>
        <w:t xml:space="preserve">. </w:t>
      </w:r>
      <w:r w:rsidR="00D82587" w:rsidRPr="00165753">
        <w:rPr>
          <w:rFonts w:ascii="Times New Roman" w:hAnsi="Times New Roman" w:cs="Times New Roman"/>
          <w:sz w:val="24"/>
          <w:szCs w:val="24"/>
        </w:rPr>
        <w:t xml:space="preserve">Producer decision tools currently exist for </w:t>
      </w:r>
      <w:r w:rsidR="00510385" w:rsidRPr="00165753">
        <w:rPr>
          <w:rFonts w:ascii="Times New Roman" w:hAnsi="Times New Roman" w:cs="Times New Roman"/>
          <w:sz w:val="24"/>
          <w:szCs w:val="24"/>
        </w:rPr>
        <w:t>crop</w:t>
      </w:r>
      <w:r w:rsidR="00D82587" w:rsidRPr="00165753">
        <w:rPr>
          <w:rFonts w:ascii="Times New Roman" w:hAnsi="Times New Roman" w:cs="Times New Roman"/>
          <w:sz w:val="24"/>
          <w:szCs w:val="24"/>
        </w:rPr>
        <w:t xml:space="preserve"> insurance options, but none include or are focused </w:t>
      </w:r>
      <w:r w:rsidR="00525C6A" w:rsidRPr="00165753">
        <w:rPr>
          <w:rFonts w:ascii="Times New Roman" w:hAnsi="Times New Roman" w:cs="Times New Roman"/>
          <w:sz w:val="24"/>
          <w:szCs w:val="24"/>
        </w:rPr>
        <w:t xml:space="preserve">on specialty crop producers due to the multiple options and various growing factors for </w:t>
      </w:r>
      <w:r w:rsidR="00014817" w:rsidRPr="00165753">
        <w:rPr>
          <w:rFonts w:ascii="Times New Roman" w:hAnsi="Times New Roman" w:cs="Times New Roman"/>
          <w:sz w:val="24"/>
          <w:szCs w:val="24"/>
        </w:rPr>
        <w:t>the differing crops.</w:t>
      </w:r>
    </w:p>
    <w:p w14:paraId="26870AB1" w14:textId="512A3F95" w:rsidR="0003382F" w:rsidRPr="00A70DE1" w:rsidRDefault="0003382F" w:rsidP="00630064">
      <w:pPr>
        <w:spacing w:line="360" w:lineRule="auto"/>
        <w:rPr>
          <w:rFonts w:ascii="Times New Roman" w:hAnsi="Times New Roman" w:cs="Times New Roman"/>
          <w:sz w:val="24"/>
          <w:szCs w:val="24"/>
        </w:rPr>
      </w:pPr>
    </w:p>
    <w:p w14:paraId="1E132C36" w14:textId="35ABDFE4" w:rsidR="00DB763B" w:rsidRPr="00A70DE1" w:rsidRDefault="00D77DF2" w:rsidP="00630064">
      <w:pPr>
        <w:spacing w:line="360" w:lineRule="auto"/>
        <w:rPr>
          <w:rStyle w:val="SubtleEmphasis"/>
          <w:rFonts w:ascii="Times New Roman" w:hAnsi="Times New Roman" w:cs="Times New Roman"/>
          <w:sz w:val="24"/>
          <w:szCs w:val="24"/>
        </w:rPr>
      </w:pPr>
      <w:r w:rsidRPr="00A70DE1">
        <w:rPr>
          <w:rStyle w:val="SubtleEmphasis"/>
          <w:rFonts w:ascii="Times New Roman" w:hAnsi="Times New Roman" w:cs="Times New Roman"/>
          <w:sz w:val="24"/>
          <w:szCs w:val="24"/>
        </w:rPr>
        <w:t>Methods of Analysis</w:t>
      </w:r>
    </w:p>
    <w:p w14:paraId="325671FF" w14:textId="047B622C" w:rsidR="008775E3" w:rsidRPr="00A70DE1" w:rsidRDefault="008775E3" w:rsidP="00630064">
      <w:pPr>
        <w:spacing w:line="360" w:lineRule="auto"/>
        <w:rPr>
          <w:rFonts w:ascii="Times New Roman" w:hAnsi="Times New Roman" w:cs="Times New Roman"/>
          <w:sz w:val="24"/>
          <w:szCs w:val="24"/>
        </w:rPr>
      </w:pPr>
      <w:r w:rsidRPr="00A70DE1">
        <w:rPr>
          <w:rFonts w:ascii="Times New Roman" w:hAnsi="Times New Roman" w:cs="Times New Roman"/>
          <w:sz w:val="24"/>
          <w:szCs w:val="24"/>
        </w:rPr>
        <w:t>The structure and methods of each study of insurance option</w:t>
      </w:r>
      <w:r w:rsidR="000761BE" w:rsidRPr="00A70DE1">
        <w:rPr>
          <w:rFonts w:ascii="Times New Roman" w:hAnsi="Times New Roman" w:cs="Times New Roman"/>
          <w:sz w:val="24"/>
          <w:szCs w:val="24"/>
        </w:rPr>
        <w:t xml:space="preserve">s are similar, but </w:t>
      </w:r>
      <w:r w:rsidR="00041B57">
        <w:rPr>
          <w:rFonts w:ascii="Times New Roman" w:hAnsi="Times New Roman" w:cs="Times New Roman"/>
          <w:sz w:val="24"/>
          <w:szCs w:val="24"/>
        </w:rPr>
        <w:t xml:space="preserve">the methods will vary slightly </w:t>
      </w:r>
      <w:r w:rsidR="000761BE" w:rsidRPr="00A70DE1">
        <w:rPr>
          <w:rFonts w:ascii="Times New Roman" w:hAnsi="Times New Roman" w:cs="Times New Roman"/>
          <w:sz w:val="24"/>
          <w:szCs w:val="24"/>
        </w:rPr>
        <w:t>due to differences in the data</w:t>
      </w:r>
      <w:r w:rsidRPr="00A70DE1">
        <w:rPr>
          <w:rFonts w:ascii="Times New Roman" w:hAnsi="Times New Roman" w:cs="Times New Roman"/>
          <w:sz w:val="24"/>
          <w:szCs w:val="24"/>
        </w:rPr>
        <w:t>.</w:t>
      </w:r>
    </w:p>
    <w:p w14:paraId="46FD957E" w14:textId="51E88512" w:rsidR="00C81067" w:rsidRPr="00A70DE1" w:rsidRDefault="008775E3" w:rsidP="00165753">
      <w:pPr>
        <w:spacing w:line="360" w:lineRule="auto"/>
        <w:ind w:firstLine="720"/>
        <w:rPr>
          <w:rFonts w:ascii="Times New Roman" w:hAnsi="Times New Roman" w:cs="Times New Roman"/>
          <w:sz w:val="24"/>
          <w:szCs w:val="24"/>
        </w:rPr>
      </w:pPr>
      <w:r w:rsidRPr="00A70DE1">
        <w:rPr>
          <w:rFonts w:ascii="Times New Roman" w:hAnsi="Times New Roman" w:cs="Times New Roman"/>
          <w:sz w:val="24"/>
          <w:szCs w:val="24"/>
        </w:rPr>
        <w:t xml:space="preserve">For the publication on NAP </w:t>
      </w:r>
      <w:r w:rsidR="00881AFC" w:rsidRPr="00A70DE1">
        <w:rPr>
          <w:rFonts w:ascii="Times New Roman" w:hAnsi="Times New Roman" w:cs="Times New Roman"/>
          <w:sz w:val="24"/>
          <w:szCs w:val="24"/>
        </w:rPr>
        <w:t>participation and impacts,</w:t>
      </w:r>
      <w:r w:rsidR="000761BE" w:rsidRPr="00A70DE1">
        <w:rPr>
          <w:rFonts w:ascii="Times New Roman" w:hAnsi="Times New Roman" w:cs="Times New Roman"/>
          <w:sz w:val="24"/>
          <w:szCs w:val="24"/>
        </w:rPr>
        <w:t xml:space="preserve"> we will</w:t>
      </w:r>
      <w:r w:rsidR="00E11E49" w:rsidRPr="00A70DE1">
        <w:rPr>
          <w:rFonts w:ascii="Times New Roman" w:hAnsi="Times New Roman" w:cs="Times New Roman"/>
          <w:sz w:val="24"/>
          <w:szCs w:val="24"/>
        </w:rPr>
        <w:t xml:space="preserve"> </w:t>
      </w:r>
      <w:r w:rsidR="000761BE" w:rsidRPr="00A70DE1">
        <w:rPr>
          <w:rFonts w:ascii="Times New Roman" w:hAnsi="Times New Roman" w:cs="Times New Roman"/>
          <w:sz w:val="24"/>
          <w:szCs w:val="24"/>
        </w:rPr>
        <w:t>estimate a model linking NAP payments to revenue volatility by leveraging farm</w:t>
      </w:r>
      <w:r w:rsidR="00E40FBC" w:rsidRPr="00A70DE1">
        <w:rPr>
          <w:rFonts w:ascii="Times New Roman" w:hAnsi="Times New Roman" w:cs="Times New Roman"/>
          <w:sz w:val="24"/>
          <w:szCs w:val="24"/>
        </w:rPr>
        <w:t xml:space="preserve"> and county</w:t>
      </w:r>
      <w:r w:rsidR="000761BE" w:rsidRPr="00A70DE1">
        <w:rPr>
          <w:rFonts w:ascii="Times New Roman" w:hAnsi="Times New Roman" w:cs="Times New Roman"/>
          <w:sz w:val="24"/>
          <w:szCs w:val="24"/>
        </w:rPr>
        <w:t>-</w:t>
      </w:r>
      <w:r w:rsidR="00E40FBC" w:rsidRPr="00A70DE1">
        <w:rPr>
          <w:rFonts w:ascii="Times New Roman" w:hAnsi="Times New Roman" w:cs="Times New Roman"/>
          <w:sz w:val="24"/>
          <w:szCs w:val="24"/>
        </w:rPr>
        <w:t>level revenue data.</w:t>
      </w:r>
      <w:r w:rsidR="00881AFC" w:rsidRPr="00A70DE1">
        <w:rPr>
          <w:rFonts w:ascii="Times New Roman" w:hAnsi="Times New Roman" w:cs="Times New Roman"/>
          <w:sz w:val="24"/>
          <w:szCs w:val="24"/>
        </w:rPr>
        <w:t xml:space="preserve"> </w:t>
      </w:r>
      <w:r w:rsidR="00E40FBC" w:rsidRPr="00A70DE1">
        <w:rPr>
          <w:rFonts w:ascii="Times New Roman" w:hAnsi="Times New Roman" w:cs="Times New Roman"/>
          <w:sz w:val="24"/>
          <w:szCs w:val="24"/>
        </w:rPr>
        <w:t>W</w:t>
      </w:r>
      <w:r w:rsidR="00EF2B2F" w:rsidRPr="00A70DE1">
        <w:rPr>
          <w:rFonts w:ascii="Times New Roman" w:hAnsi="Times New Roman" w:cs="Times New Roman"/>
          <w:sz w:val="24"/>
          <w:szCs w:val="24"/>
        </w:rPr>
        <w:t xml:space="preserve">e will </w:t>
      </w:r>
      <w:r w:rsidR="00C7236B" w:rsidRPr="00A70DE1">
        <w:rPr>
          <w:rFonts w:ascii="Times New Roman" w:hAnsi="Times New Roman" w:cs="Times New Roman"/>
          <w:sz w:val="24"/>
          <w:szCs w:val="24"/>
        </w:rPr>
        <w:t>utilize</w:t>
      </w:r>
      <w:r w:rsidR="00EF2B2F" w:rsidRPr="00A70DE1">
        <w:rPr>
          <w:rFonts w:ascii="Times New Roman" w:hAnsi="Times New Roman" w:cs="Times New Roman"/>
          <w:sz w:val="24"/>
          <w:szCs w:val="24"/>
        </w:rPr>
        <w:t xml:space="preserve"> a large </w:t>
      </w:r>
      <w:r w:rsidR="00C71BD6" w:rsidRPr="00A70DE1">
        <w:rPr>
          <w:rFonts w:ascii="Times New Roman" w:hAnsi="Times New Roman" w:cs="Times New Roman"/>
          <w:sz w:val="24"/>
          <w:szCs w:val="24"/>
        </w:rPr>
        <w:t xml:space="preserve">FSA dataset containing </w:t>
      </w:r>
      <w:r w:rsidR="00205452" w:rsidRPr="00A70DE1">
        <w:rPr>
          <w:rFonts w:ascii="Times New Roman" w:hAnsi="Times New Roman" w:cs="Times New Roman"/>
          <w:sz w:val="24"/>
          <w:szCs w:val="24"/>
        </w:rPr>
        <w:t xml:space="preserve">farm-level </w:t>
      </w:r>
      <w:r w:rsidR="00C71BD6" w:rsidRPr="00A70DE1">
        <w:rPr>
          <w:rFonts w:ascii="Times New Roman" w:hAnsi="Times New Roman" w:cs="Times New Roman"/>
          <w:sz w:val="24"/>
          <w:szCs w:val="24"/>
        </w:rPr>
        <w:t>payment records from various</w:t>
      </w:r>
      <w:r w:rsidR="00DC37C8" w:rsidRPr="00A70DE1">
        <w:rPr>
          <w:rFonts w:ascii="Times New Roman" w:hAnsi="Times New Roman" w:cs="Times New Roman"/>
          <w:sz w:val="24"/>
          <w:szCs w:val="24"/>
        </w:rPr>
        <w:t xml:space="preserve"> insurance program</w:t>
      </w:r>
      <w:r w:rsidR="00C71BD6" w:rsidRPr="00A70DE1">
        <w:rPr>
          <w:rFonts w:ascii="Times New Roman" w:hAnsi="Times New Roman" w:cs="Times New Roman"/>
          <w:sz w:val="24"/>
          <w:szCs w:val="24"/>
        </w:rPr>
        <w:t>s</w:t>
      </w:r>
      <w:r w:rsidR="008709E6">
        <w:rPr>
          <w:rFonts w:ascii="Times New Roman" w:hAnsi="Times New Roman" w:cs="Times New Roman"/>
          <w:sz w:val="24"/>
          <w:szCs w:val="24"/>
        </w:rPr>
        <w:t>, including NAP</w:t>
      </w:r>
      <w:r w:rsidR="00C71BD6" w:rsidRPr="00A70DE1">
        <w:rPr>
          <w:rFonts w:ascii="Times New Roman" w:hAnsi="Times New Roman" w:cs="Times New Roman"/>
          <w:sz w:val="24"/>
          <w:szCs w:val="24"/>
        </w:rPr>
        <w:t xml:space="preserve">. The NAP observations are from 2008 to 2023 and </w:t>
      </w:r>
      <w:r w:rsidR="00C22797" w:rsidRPr="00A70DE1">
        <w:rPr>
          <w:rFonts w:ascii="Times New Roman" w:hAnsi="Times New Roman" w:cs="Times New Roman"/>
          <w:sz w:val="24"/>
          <w:szCs w:val="24"/>
        </w:rPr>
        <w:t>include</w:t>
      </w:r>
      <w:r w:rsidR="00205452" w:rsidRPr="00A70DE1">
        <w:rPr>
          <w:rFonts w:ascii="Times New Roman" w:hAnsi="Times New Roman" w:cs="Times New Roman"/>
          <w:sz w:val="24"/>
          <w:szCs w:val="24"/>
        </w:rPr>
        <w:t xml:space="preserve"> the FSA county/state office that issued the payment, payee name and address, payment amount, program year, payment date, and the program </w:t>
      </w:r>
      <w:r w:rsidR="00C22797" w:rsidRPr="00A70DE1">
        <w:rPr>
          <w:rFonts w:ascii="Times New Roman" w:hAnsi="Times New Roman" w:cs="Times New Roman"/>
          <w:sz w:val="24"/>
          <w:szCs w:val="24"/>
        </w:rPr>
        <w:t>the payment was for.</w:t>
      </w:r>
      <w:r w:rsidR="006F5602" w:rsidRPr="00A70DE1">
        <w:rPr>
          <w:rFonts w:ascii="Times New Roman" w:hAnsi="Times New Roman" w:cs="Times New Roman"/>
          <w:sz w:val="24"/>
          <w:szCs w:val="24"/>
        </w:rPr>
        <w:t xml:space="preserve"> </w:t>
      </w:r>
      <w:r w:rsidR="00767D28" w:rsidRPr="00A70DE1">
        <w:rPr>
          <w:rFonts w:ascii="Times New Roman" w:hAnsi="Times New Roman" w:cs="Times New Roman"/>
          <w:sz w:val="24"/>
          <w:szCs w:val="24"/>
        </w:rPr>
        <w:t xml:space="preserve">While we do not have information on the crop being grown by each payee, we will also utilize </w:t>
      </w:r>
      <w:r w:rsidR="00264850" w:rsidRPr="00A70DE1">
        <w:rPr>
          <w:rFonts w:ascii="Times New Roman" w:hAnsi="Times New Roman" w:cs="Times New Roman"/>
          <w:sz w:val="24"/>
          <w:szCs w:val="24"/>
        </w:rPr>
        <w:t xml:space="preserve">FSA acreage records for each year/county combination to </w:t>
      </w:r>
      <w:r w:rsidR="003E65FC" w:rsidRPr="00A70DE1">
        <w:rPr>
          <w:rFonts w:ascii="Times New Roman" w:hAnsi="Times New Roman" w:cs="Times New Roman"/>
          <w:sz w:val="24"/>
          <w:szCs w:val="24"/>
        </w:rPr>
        <w:t xml:space="preserve">estimate the ratio of specialty crops to non-specialty crops in each county </w:t>
      </w:r>
      <w:r w:rsidR="00E33BE5" w:rsidRPr="00A70DE1">
        <w:rPr>
          <w:rFonts w:ascii="Times New Roman" w:hAnsi="Times New Roman" w:cs="Times New Roman"/>
          <w:sz w:val="24"/>
          <w:szCs w:val="24"/>
        </w:rPr>
        <w:t>for which producers may receive payments</w:t>
      </w:r>
      <w:r w:rsidR="0062436A">
        <w:rPr>
          <w:rFonts w:ascii="Times New Roman" w:hAnsi="Times New Roman" w:cs="Times New Roman"/>
          <w:sz w:val="24"/>
          <w:szCs w:val="24"/>
        </w:rPr>
        <w:t xml:space="preserve"> through NAP</w:t>
      </w:r>
      <w:r w:rsidR="00A9177A" w:rsidRPr="00A70DE1">
        <w:rPr>
          <w:rFonts w:ascii="Times New Roman" w:hAnsi="Times New Roman" w:cs="Times New Roman"/>
          <w:sz w:val="24"/>
          <w:szCs w:val="24"/>
        </w:rPr>
        <w:t>.</w:t>
      </w:r>
      <w:r w:rsidR="00E33BE5" w:rsidRPr="00A70DE1">
        <w:rPr>
          <w:rFonts w:ascii="Times New Roman" w:hAnsi="Times New Roman" w:cs="Times New Roman"/>
          <w:sz w:val="24"/>
          <w:szCs w:val="24"/>
        </w:rPr>
        <w:t xml:space="preserve"> These acreage records are available </w:t>
      </w:r>
      <w:r w:rsidR="0062436A">
        <w:rPr>
          <w:rFonts w:ascii="Times New Roman" w:hAnsi="Times New Roman" w:cs="Times New Roman"/>
          <w:sz w:val="24"/>
          <w:szCs w:val="24"/>
        </w:rPr>
        <w:t xml:space="preserve">for all </w:t>
      </w:r>
      <w:r w:rsidR="00C45A7B">
        <w:rPr>
          <w:rFonts w:ascii="Times New Roman" w:hAnsi="Times New Roman" w:cs="Times New Roman"/>
          <w:sz w:val="24"/>
          <w:szCs w:val="24"/>
        </w:rPr>
        <w:t>years in the NAP dataset</w:t>
      </w:r>
      <w:r w:rsidR="00E33BE5" w:rsidRPr="00A70DE1">
        <w:rPr>
          <w:rFonts w:ascii="Times New Roman" w:hAnsi="Times New Roman" w:cs="Times New Roman"/>
          <w:sz w:val="24"/>
          <w:szCs w:val="24"/>
        </w:rPr>
        <w:t xml:space="preserve"> and are then linked with FSA-NAP records that </w:t>
      </w:r>
      <w:r w:rsidR="00527EDF" w:rsidRPr="00A70DE1">
        <w:rPr>
          <w:rFonts w:ascii="Times New Roman" w:hAnsi="Times New Roman" w:cs="Times New Roman"/>
          <w:sz w:val="24"/>
          <w:szCs w:val="24"/>
        </w:rPr>
        <w:t>list the crops being covered with NAP in each county for a given year</w:t>
      </w:r>
      <w:r w:rsidR="000761BE" w:rsidRPr="00A70DE1">
        <w:rPr>
          <w:rFonts w:ascii="Times New Roman" w:hAnsi="Times New Roman" w:cs="Times New Roman"/>
          <w:sz w:val="24"/>
          <w:szCs w:val="24"/>
        </w:rPr>
        <w:t>, or the “National Crop Table.”</w:t>
      </w:r>
      <w:r w:rsidR="00527EDF" w:rsidRPr="00A70DE1">
        <w:rPr>
          <w:rFonts w:ascii="Times New Roman" w:hAnsi="Times New Roman" w:cs="Times New Roman"/>
          <w:sz w:val="24"/>
          <w:szCs w:val="24"/>
        </w:rPr>
        <w:t xml:space="preserve"> The FSA website </w:t>
      </w:r>
      <w:r w:rsidR="00AC4C7B" w:rsidRPr="00A70DE1">
        <w:rPr>
          <w:rFonts w:ascii="Times New Roman" w:hAnsi="Times New Roman" w:cs="Times New Roman"/>
          <w:sz w:val="24"/>
          <w:szCs w:val="24"/>
        </w:rPr>
        <w:t>p</w:t>
      </w:r>
      <w:r w:rsidR="00C45A7B">
        <w:rPr>
          <w:rFonts w:ascii="Times New Roman" w:hAnsi="Times New Roman" w:cs="Times New Roman"/>
          <w:sz w:val="24"/>
          <w:szCs w:val="24"/>
        </w:rPr>
        <w:t xml:space="preserve">ublicly </w:t>
      </w:r>
      <w:r w:rsidR="00AC4C7B" w:rsidRPr="00A70DE1">
        <w:rPr>
          <w:rFonts w:ascii="Times New Roman" w:hAnsi="Times New Roman" w:cs="Times New Roman"/>
          <w:sz w:val="24"/>
          <w:szCs w:val="24"/>
        </w:rPr>
        <w:t>provides an annual National Crop Table for 2024, 2023, and 2022</w:t>
      </w:r>
      <w:r w:rsidR="00C45A7B">
        <w:rPr>
          <w:rFonts w:ascii="Times New Roman" w:hAnsi="Times New Roman" w:cs="Times New Roman"/>
          <w:sz w:val="24"/>
          <w:szCs w:val="24"/>
        </w:rPr>
        <w:t>;</w:t>
      </w:r>
      <w:r w:rsidR="00AC4C7B" w:rsidRPr="00A70DE1">
        <w:rPr>
          <w:rFonts w:ascii="Times New Roman" w:hAnsi="Times New Roman" w:cs="Times New Roman"/>
          <w:sz w:val="24"/>
          <w:szCs w:val="24"/>
        </w:rPr>
        <w:t xml:space="preserve"> additional years will be recovered via a FOIA request.  </w:t>
      </w:r>
      <w:r w:rsidR="00284D4F" w:rsidRPr="00A70DE1">
        <w:rPr>
          <w:rFonts w:ascii="Times New Roman" w:hAnsi="Times New Roman" w:cs="Times New Roman"/>
          <w:sz w:val="24"/>
          <w:szCs w:val="24"/>
        </w:rPr>
        <w:t>To determine the impact on revenue, we will create a county</w:t>
      </w:r>
      <w:r w:rsidR="008B7754" w:rsidRPr="00A70DE1">
        <w:rPr>
          <w:rFonts w:ascii="Times New Roman" w:hAnsi="Times New Roman" w:cs="Times New Roman"/>
          <w:sz w:val="24"/>
          <w:szCs w:val="24"/>
        </w:rPr>
        <w:t xml:space="preserve">-level coefficient of variation for revenue to measure revenue </w:t>
      </w:r>
      <w:r w:rsidR="004E63C3">
        <w:rPr>
          <w:rFonts w:ascii="Times New Roman" w:hAnsi="Times New Roman" w:cs="Times New Roman"/>
          <w:sz w:val="24"/>
          <w:szCs w:val="24"/>
        </w:rPr>
        <w:t>volatility</w:t>
      </w:r>
      <w:r w:rsidR="008B7754" w:rsidRPr="00A70DE1">
        <w:rPr>
          <w:rFonts w:ascii="Times New Roman" w:hAnsi="Times New Roman" w:cs="Times New Roman"/>
          <w:sz w:val="24"/>
          <w:szCs w:val="24"/>
        </w:rPr>
        <w:t xml:space="preserve">, using </w:t>
      </w:r>
      <w:r w:rsidR="008B7754" w:rsidRPr="00052823">
        <w:rPr>
          <w:rFonts w:ascii="Times New Roman" w:hAnsi="Times New Roman" w:cs="Times New Roman"/>
          <w:sz w:val="24"/>
          <w:szCs w:val="24"/>
        </w:rPr>
        <w:t xml:space="preserve">NASS records on </w:t>
      </w:r>
      <w:r w:rsidR="00F6287A" w:rsidRPr="00052823">
        <w:rPr>
          <w:rFonts w:ascii="Times New Roman" w:hAnsi="Times New Roman" w:cs="Times New Roman"/>
          <w:sz w:val="24"/>
          <w:szCs w:val="24"/>
        </w:rPr>
        <w:t>county</w:t>
      </w:r>
      <w:r w:rsidR="008B7754" w:rsidRPr="00052823">
        <w:rPr>
          <w:rFonts w:ascii="Times New Roman" w:hAnsi="Times New Roman" w:cs="Times New Roman"/>
          <w:sz w:val="24"/>
          <w:szCs w:val="24"/>
        </w:rPr>
        <w:t>-level revenue.</w:t>
      </w:r>
      <w:r w:rsidR="00F6287A" w:rsidRPr="00052823">
        <w:rPr>
          <w:rFonts w:ascii="Times New Roman" w:hAnsi="Times New Roman" w:cs="Times New Roman"/>
          <w:sz w:val="24"/>
          <w:szCs w:val="24"/>
        </w:rPr>
        <w:t xml:space="preserve"> </w:t>
      </w:r>
      <w:r w:rsidR="001F1288" w:rsidRPr="00052823">
        <w:rPr>
          <w:rFonts w:ascii="Times New Roman" w:hAnsi="Times New Roman" w:cs="Times New Roman"/>
          <w:sz w:val="24"/>
          <w:szCs w:val="24"/>
        </w:rPr>
        <w:t xml:space="preserve">We </w:t>
      </w:r>
      <w:r w:rsidR="00060F3B" w:rsidRPr="00052823">
        <w:rPr>
          <w:rFonts w:ascii="Times New Roman" w:hAnsi="Times New Roman" w:cs="Times New Roman"/>
          <w:sz w:val="24"/>
          <w:szCs w:val="24"/>
        </w:rPr>
        <w:t>plan</w:t>
      </w:r>
      <w:r w:rsidR="001F1288" w:rsidRPr="00052823">
        <w:rPr>
          <w:rFonts w:ascii="Times New Roman" w:hAnsi="Times New Roman" w:cs="Times New Roman"/>
          <w:sz w:val="24"/>
          <w:szCs w:val="24"/>
        </w:rPr>
        <w:t xml:space="preserve"> to further this analysis wi</w:t>
      </w:r>
      <w:r w:rsidR="00DA129A" w:rsidRPr="00052823">
        <w:rPr>
          <w:rFonts w:ascii="Times New Roman" w:hAnsi="Times New Roman" w:cs="Times New Roman"/>
          <w:sz w:val="24"/>
          <w:szCs w:val="24"/>
        </w:rPr>
        <w:t xml:space="preserve">th </w:t>
      </w:r>
      <w:r w:rsidR="005E7DAF" w:rsidRPr="00052823">
        <w:rPr>
          <w:rFonts w:ascii="Times New Roman" w:hAnsi="Times New Roman" w:cs="Times New Roman"/>
          <w:sz w:val="24"/>
          <w:szCs w:val="24"/>
        </w:rPr>
        <w:t xml:space="preserve">a dataset </w:t>
      </w:r>
      <w:r w:rsidR="005E7DAF" w:rsidRPr="00052823">
        <w:rPr>
          <w:rFonts w:ascii="Times New Roman" w:hAnsi="Times New Roman" w:cs="Times New Roman"/>
          <w:sz w:val="24"/>
          <w:szCs w:val="24"/>
        </w:rPr>
        <w:lastRenderedPageBreak/>
        <w:t>on parti</w:t>
      </w:r>
      <w:r w:rsidR="009239B8" w:rsidRPr="00052823">
        <w:rPr>
          <w:rFonts w:ascii="Times New Roman" w:hAnsi="Times New Roman" w:cs="Times New Roman"/>
          <w:sz w:val="24"/>
          <w:szCs w:val="24"/>
        </w:rPr>
        <w:t>ci</w:t>
      </w:r>
      <w:r w:rsidR="005E7DAF" w:rsidRPr="00052823">
        <w:rPr>
          <w:rFonts w:ascii="Times New Roman" w:hAnsi="Times New Roman" w:cs="Times New Roman"/>
          <w:sz w:val="24"/>
          <w:szCs w:val="24"/>
        </w:rPr>
        <w:t>pation character</w:t>
      </w:r>
      <w:r w:rsidR="00AA53E1" w:rsidRPr="00052823">
        <w:rPr>
          <w:rFonts w:ascii="Times New Roman" w:hAnsi="Times New Roman" w:cs="Times New Roman"/>
          <w:sz w:val="24"/>
          <w:szCs w:val="24"/>
        </w:rPr>
        <w:t xml:space="preserve">istics </w:t>
      </w:r>
      <w:r w:rsidR="00F6287A" w:rsidRPr="00052823">
        <w:rPr>
          <w:rFonts w:ascii="Times New Roman" w:hAnsi="Times New Roman" w:cs="Times New Roman"/>
          <w:sz w:val="24"/>
          <w:szCs w:val="24"/>
        </w:rPr>
        <w:t>such as crops covered</w:t>
      </w:r>
      <w:r w:rsidR="00BB635E" w:rsidRPr="00052823">
        <w:rPr>
          <w:rFonts w:ascii="Times New Roman" w:hAnsi="Times New Roman" w:cs="Times New Roman"/>
          <w:sz w:val="24"/>
          <w:szCs w:val="24"/>
        </w:rPr>
        <w:t xml:space="preserve"> and</w:t>
      </w:r>
      <w:r w:rsidR="00F6287A" w:rsidRPr="00052823">
        <w:rPr>
          <w:rFonts w:ascii="Times New Roman" w:hAnsi="Times New Roman" w:cs="Times New Roman"/>
          <w:sz w:val="24"/>
          <w:szCs w:val="24"/>
        </w:rPr>
        <w:t xml:space="preserve"> size of farm operation</w:t>
      </w:r>
      <w:r w:rsidR="00AA53E1" w:rsidRPr="00052823">
        <w:rPr>
          <w:rFonts w:ascii="Times New Roman" w:hAnsi="Times New Roman" w:cs="Times New Roman"/>
          <w:sz w:val="24"/>
          <w:szCs w:val="24"/>
        </w:rPr>
        <w:t xml:space="preserve"> from the FSA</w:t>
      </w:r>
      <w:r w:rsidR="00C95E08" w:rsidRPr="00052823">
        <w:rPr>
          <w:rFonts w:ascii="Times New Roman" w:hAnsi="Times New Roman" w:cs="Times New Roman"/>
          <w:sz w:val="24"/>
          <w:szCs w:val="24"/>
        </w:rPr>
        <w:t>, available via a FOIA request.</w:t>
      </w:r>
      <w:r w:rsidR="00165753">
        <w:rPr>
          <w:rFonts w:ascii="Times New Roman" w:hAnsi="Times New Roman" w:cs="Times New Roman"/>
          <w:sz w:val="24"/>
          <w:szCs w:val="24"/>
        </w:rPr>
        <w:t xml:space="preserve"> </w:t>
      </w:r>
      <w:r w:rsidR="00C81067" w:rsidRPr="00A70DE1">
        <w:rPr>
          <w:rFonts w:ascii="Times New Roman" w:hAnsi="Times New Roman" w:cs="Times New Roman"/>
          <w:sz w:val="24"/>
          <w:szCs w:val="24"/>
        </w:rPr>
        <w:t xml:space="preserve">As stated above, this </w:t>
      </w:r>
      <w:r w:rsidR="00C0691B" w:rsidRPr="00A70DE1">
        <w:rPr>
          <w:rFonts w:ascii="Times New Roman" w:hAnsi="Times New Roman" w:cs="Times New Roman"/>
          <w:sz w:val="24"/>
          <w:szCs w:val="24"/>
        </w:rPr>
        <w:t>study</w:t>
      </w:r>
      <w:r w:rsidR="00C81067" w:rsidRPr="00A70DE1">
        <w:rPr>
          <w:rFonts w:ascii="Times New Roman" w:hAnsi="Times New Roman" w:cs="Times New Roman"/>
          <w:sz w:val="24"/>
          <w:szCs w:val="24"/>
        </w:rPr>
        <w:t xml:space="preserve"> will </w:t>
      </w:r>
      <w:r w:rsidR="00C0691B" w:rsidRPr="00A70DE1">
        <w:rPr>
          <w:rFonts w:ascii="Times New Roman" w:hAnsi="Times New Roman" w:cs="Times New Roman"/>
          <w:sz w:val="24"/>
          <w:szCs w:val="24"/>
        </w:rPr>
        <w:t>result in a submission to an academic journal</w:t>
      </w:r>
      <w:r w:rsidR="00ED6905">
        <w:rPr>
          <w:rFonts w:ascii="Times New Roman" w:hAnsi="Times New Roman" w:cs="Times New Roman"/>
          <w:sz w:val="24"/>
          <w:szCs w:val="24"/>
        </w:rPr>
        <w:t xml:space="preserve"> and </w:t>
      </w:r>
      <w:r w:rsidR="000A0C3A" w:rsidRPr="00A70DE1">
        <w:rPr>
          <w:rFonts w:ascii="Times New Roman" w:hAnsi="Times New Roman" w:cs="Times New Roman"/>
          <w:sz w:val="24"/>
          <w:szCs w:val="24"/>
        </w:rPr>
        <w:t>extension publications on what NAP is and how enrolling in NAP</w:t>
      </w:r>
      <w:r w:rsidR="00ED6905">
        <w:rPr>
          <w:rFonts w:ascii="Times New Roman" w:hAnsi="Times New Roman" w:cs="Times New Roman"/>
          <w:sz w:val="24"/>
          <w:szCs w:val="24"/>
        </w:rPr>
        <w:t xml:space="preserve"> impacts producer income. This study will fill</w:t>
      </w:r>
      <w:r w:rsidR="000A0C3A" w:rsidRPr="00A70DE1">
        <w:rPr>
          <w:rFonts w:ascii="Times New Roman" w:hAnsi="Times New Roman" w:cs="Times New Roman"/>
          <w:sz w:val="24"/>
          <w:szCs w:val="24"/>
        </w:rPr>
        <w:t xml:space="preserve"> a significant gap in the extension </w:t>
      </w:r>
      <w:r w:rsidR="00BB635E">
        <w:rPr>
          <w:rFonts w:ascii="Times New Roman" w:hAnsi="Times New Roman" w:cs="Times New Roman"/>
          <w:sz w:val="24"/>
          <w:szCs w:val="24"/>
        </w:rPr>
        <w:t>and</w:t>
      </w:r>
      <w:r w:rsidR="000A0C3A" w:rsidRPr="00A70DE1">
        <w:rPr>
          <w:rFonts w:ascii="Times New Roman" w:hAnsi="Times New Roman" w:cs="Times New Roman"/>
          <w:sz w:val="24"/>
          <w:szCs w:val="24"/>
        </w:rPr>
        <w:t xml:space="preserve"> academic literature on NAP and the revenue impacts of participation.</w:t>
      </w:r>
    </w:p>
    <w:p w14:paraId="108B0D3C" w14:textId="3A2B9780" w:rsidR="00904737" w:rsidRPr="00A70DE1" w:rsidRDefault="00041E57" w:rsidP="00165753">
      <w:pPr>
        <w:spacing w:line="360" w:lineRule="auto"/>
        <w:ind w:firstLine="720"/>
        <w:rPr>
          <w:rFonts w:ascii="Times New Roman" w:hAnsi="Times New Roman" w:cs="Times New Roman"/>
          <w:sz w:val="24"/>
          <w:szCs w:val="24"/>
        </w:rPr>
      </w:pPr>
      <w:r w:rsidRPr="00A70DE1">
        <w:rPr>
          <w:rFonts w:ascii="Times New Roman" w:hAnsi="Times New Roman" w:cs="Times New Roman"/>
          <w:sz w:val="24"/>
          <w:szCs w:val="24"/>
        </w:rPr>
        <w:t>For the publication on WFRP parti</w:t>
      </w:r>
      <w:r w:rsidR="00E62658" w:rsidRPr="00A70DE1">
        <w:rPr>
          <w:rFonts w:ascii="Times New Roman" w:hAnsi="Times New Roman" w:cs="Times New Roman"/>
          <w:sz w:val="24"/>
          <w:szCs w:val="24"/>
        </w:rPr>
        <w:t>ci</w:t>
      </w:r>
      <w:r w:rsidRPr="00A70DE1">
        <w:rPr>
          <w:rFonts w:ascii="Times New Roman" w:hAnsi="Times New Roman" w:cs="Times New Roman"/>
          <w:sz w:val="24"/>
          <w:szCs w:val="24"/>
        </w:rPr>
        <w:t xml:space="preserve">pation and impacts, we will </w:t>
      </w:r>
      <w:r w:rsidR="00AA4895" w:rsidRPr="00A70DE1">
        <w:rPr>
          <w:rFonts w:ascii="Times New Roman" w:hAnsi="Times New Roman" w:cs="Times New Roman"/>
          <w:sz w:val="24"/>
          <w:szCs w:val="24"/>
        </w:rPr>
        <w:t xml:space="preserve">estimate a similar model by looking at </w:t>
      </w:r>
      <w:r w:rsidR="000B2285" w:rsidRPr="00A70DE1">
        <w:rPr>
          <w:rFonts w:ascii="Times New Roman" w:hAnsi="Times New Roman" w:cs="Times New Roman"/>
          <w:sz w:val="24"/>
          <w:szCs w:val="24"/>
        </w:rPr>
        <w:t>participation in WFRP vs</w:t>
      </w:r>
      <w:r w:rsidR="003715C6" w:rsidRPr="00A70DE1">
        <w:rPr>
          <w:rFonts w:ascii="Times New Roman" w:hAnsi="Times New Roman" w:cs="Times New Roman"/>
          <w:sz w:val="24"/>
          <w:szCs w:val="24"/>
        </w:rPr>
        <w:t>. other RMA specialty crop programs at a county level and the revenue volatility between counties with higher participation in WFRP vs. NAP vs.</w:t>
      </w:r>
      <w:r w:rsidR="000B2285" w:rsidRPr="00A70DE1">
        <w:rPr>
          <w:rFonts w:ascii="Times New Roman" w:hAnsi="Times New Roman" w:cs="Times New Roman"/>
          <w:sz w:val="24"/>
          <w:szCs w:val="24"/>
        </w:rPr>
        <w:t xml:space="preserve"> other RMA products. </w:t>
      </w:r>
      <w:r w:rsidR="00DC12D7" w:rsidRPr="00A70DE1">
        <w:rPr>
          <w:rFonts w:ascii="Times New Roman" w:hAnsi="Times New Roman" w:cs="Times New Roman"/>
          <w:sz w:val="24"/>
          <w:szCs w:val="24"/>
        </w:rPr>
        <w:t>This will utilize the NAP participation data as referred to above</w:t>
      </w:r>
      <w:r w:rsidR="00EA604B" w:rsidRPr="00A70DE1">
        <w:rPr>
          <w:rFonts w:ascii="Times New Roman" w:hAnsi="Times New Roman" w:cs="Times New Roman"/>
          <w:sz w:val="24"/>
          <w:szCs w:val="24"/>
        </w:rPr>
        <w:t xml:space="preserve"> and</w:t>
      </w:r>
      <w:r w:rsidR="00DC12D7" w:rsidRPr="00A70DE1">
        <w:rPr>
          <w:rFonts w:ascii="Times New Roman" w:hAnsi="Times New Roman" w:cs="Times New Roman"/>
          <w:sz w:val="24"/>
          <w:szCs w:val="24"/>
        </w:rPr>
        <w:t xml:space="preserve"> data from the RMA annual </w:t>
      </w:r>
      <w:r w:rsidR="009F797A">
        <w:rPr>
          <w:rFonts w:ascii="Times New Roman" w:hAnsi="Times New Roman" w:cs="Times New Roman"/>
          <w:sz w:val="24"/>
          <w:szCs w:val="24"/>
        </w:rPr>
        <w:t>S</w:t>
      </w:r>
      <w:r w:rsidR="00DC12D7" w:rsidRPr="00A70DE1">
        <w:rPr>
          <w:rFonts w:ascii="Times New Roman" w:hAnsi="Times New Roman" w:cs="Times New Roman"/>
          <w:sz w:val="24"/>
          <w:szCs w:val="24"/>
        </w:rPr>
        <w:t xml:space="preserve">ummary of </w:t>
      </w:r>
      <w:r w:rsidR="009F797A">
        <w:rPr>
          <w:rFonts w:ascii="Times New Roman" w:hAnsi="Times New Roman" w:cs="Times New Roman"/>
          <w:sz w:val="24"/>
          <w:szCs w:val="24"/>
        </w:rPr>
        <w:t>B</w:t>
      </w:r>
      <w:r w:rsidR="00DC12D7" w:rsidRPr="00A70DE1">
        <w:rPr>
          <w:rFonts w:ascii="Times New Roman" w:hAnsi="Times New Roman" w:cs="Times New Roman"/>
          <w:sz w:val="24"/>
          <w:szCs w:val="24"/>
        </w:rPr>
        <w:t>usiness</w:t>
      </w:r>
      <w:r w:rsidR="009F797A">
        <w:rPr>
          <w:rFonts w:ascii="Times New Roman" w:hAnsi="Times New Roman" w:cs="Times New Roman"/>
          <w:sz w:val="24"/>
          <w:szCs w:val="24"/>
        </w:rPr>
        <w:t xml:space="preserve"> (SOB)</w:t>
      </w:r>
      <w:r w:rsidR="00DC12D7" w:rsidRPr="00A70DE1">
        <w:rPr>
          <w:rFonts w:ascii="Times New Roman" w:hAnsi="Times New Roman" w:cs="Times New Roman"/>
          <w:sz w:val="24"/>
          <w:szCs w:val="24"/>
        </w:rPr>
        <w:t xml:space="preserve">, which is available from </w:t>
      </w:r>
      <w:r w:rsidR="00F713A8" w:rsidRPr="00A70DE1">
        <w:rPr>
          <w:rFonts w:ascii="Times New Roman" w:hAnsi="Times New Roman" w:cs="Times New Roman"/>
          <w:sz w:val="24"/>
          <w:szCs w:val="24"/>
        </w:rPr>
        <w:t>202</w:t>
      </w:r>
      <w:r w:rsidR="00C63B14" w:rsidRPr="00A70DE1">
        <w:rPr>
          <w:rFonts w:ascii="Times New Roman" w:hAnsi="Times New Roman" w:cs="Times New Roman"/>
          <w:sz w:val="24"/>
          <w:szCs w:val="24"/>
        </w:rPr>
        <w:t>4</w:t>
      </w:r>
      <w:r w:rsidR="00F713A8" w:rsidRPr="00A70DE1">
        <w:rPr>
          <w:rFonts w:ascii="Times New Roman" w:hAnsi="Times New Roman" w:cs="Times New Roman"/>
          <w:sz w:val="24"/>
          <w:szCs w:val="24"/>
        </w:rPr>
        <w:t xml:space="preserve"> to 2016.</w:t>
      </w:r>
      <w:r w:rsidR="00EA604B" w:rsidRPr="00A70DE1">
        <w:rPr>
          <w:rFonts w:ascii="Times New Roman" w:hAnsi="Times New Roman" w:cs="Times New Roman"/>
          <w:sz w:val="24"/>
          <w:szCs w:val="24"/>
        </w:rPr>
        <w:t xml:space="preserve"> This SO</w:t>
      </w:r>
      <w:r w:rsidR="009F797A">
        <w:rPr>
          <w:rFonts w:ascii="Times New Roman" w:hAnsi="Times New Roman" w:cs="Times New Roman"/>
          <w:sz w:val="24"/>
          <w:szCs w:val="24"/>
        </w:rPr>
        <w:t>B</w:t>
      </w:r>
      <w:r w:rsidR="00EA604B" w:rsidRPr="00A70DE1">
        <w:rPr>
          <w:rFonts w:ascii="Times New Roman" w:hAnsi="Times New Roman" w:cs="Times New Roman"/>
          <w:sz w:val="24"/>
          <w:szCs w:val="24"/>
        </w:rPr>
        <w:t xml:space="preserve"> dataset includes observations by </w:t>
      </w:r>
      <w:r w:rsidR="00E25732" w:rsidRPr="00A70DE1">
        <w:rPr>
          <w:rFonts w:ascii="Times New Roman" w:hAnsi="Times New Roman" w:cs="Times New Roman"/>
          <w:sz w:val="24"/>
          <w:szCs w:val="24"/>
        </w:rPr>
        <w:t>county</w:t>
      </w:r>
      <w:r w:rsidR="00494AEA" w:rsidRPr="00A70DE1">
        <w:rPr>
          <w:rFonts w:ascii="Times New Roman" w:hAnsi="Times New Roman" w:cs="Times New Roman"/>
          <w:sz w:val="24"/>
          <w:szCs w:val="24"/>
        </w:rPr>
        <w:t xml:space="preserve"> </w:t>
      </w:r>
      <w:r w:rsidR="00E25732" w:rsidRPr="00A70DE1">
        <w:rPr>
          <w:rFonts w:ascii="Times New Roman" w:hAnsi="Times New Roman" w:cs="Times New Roman"/>
          <w:sz w:val="24"/>
          <w:szCs w:val="24"/>
        </w:rPr>
        <w:t>-</w:t>
      </w:r>
      <w:r w:rsidR="009F797A">
        <w:rPr>
          <w:rFonts w:ascii="Times New Roman" w:hAnsi="Times New Roman" w:cs="Times New Roman"/>
          <w:sz w:val="24"/>
          <w:szCs w:val="24"/>
        </w:rPr>
        <w:t xml:space="preserve"> </w:t>
      </w:r>
      <w:r w:rsidR="00E25732" w:rsidRPr="00A70DE1">
        <w:rPr>
          <w:rFonts w:ascii="Times New Roman" w:hAnsi="Times New Roman" w:cs="Times New Roman"/>
          <w:sz w:val="24"/>
          <w:szCs w:val="24"/>
        </w:rPr>
        <w:t>insurance product for each year</w:t>
      </w:r>
      <w:r w:rsidR="00077F34" w:rsidRPr="00A70DE1">
        <w:rPr>
          <w:rFonts w:ascii="Times New Roman" w:hAnsi="Times New Roman" w:cs="Times New Roman"/>
          <w:sz w:val="24"/>
          <w:szCs w:val="24"/>
        </w:rPr>
        <w:t>, the number of acres for each observation, and</w:t>
      </w:r>
      <w:r w:rsidR="00C81067" w:rsidRPr="00A70DE1">
        <w:rPr>
          <w:rFonts w:ascii="Times New Roman" w:hAnsi="Times New Roman" w:cs="Times New Roman"/>
          <w:sz w:val="24"/>
          <w:szCs w:val="24"/>
        </w:rPr>
        <w:t xml:space="preserve"> </w:t>
      </w:r>
      <w:r w:rsidR="00494AEA" w:rsidRPr="00A70DE1">
        <w:rPr>
          <w:rFonts w:ascii="Times New Roman" w:hAnsi="Times New Roman" w:cs="Times New Roman"/>
          <w:sz w:val="24"/>
          <w:szCs w:val="24"/>
        </w:rPr>
        <w:t xml:space="preserve">premium, </w:t>
      </w:r>
      <w:r w:rsidR="00D90EEA" w:rsidRPr="00A70DE1">
        <w:rPr>
          <w:rFonts w:ascii="Times New Roman" w:hAnsi="Times New Roman" w:cs="Times New Roman"/>
          <w:sz w:val="24"/>
          <w:szCs w:val="24"/>
        </w:rPr>
        <w:t>liability</w:t>
      </w:r>
      <w:r w:rsidR="00494AEA" w:rsidRPr="00A70DE1">
        <w:rPr>
          <w:rFonts w:ascii="Times New Roman" w:hAnsi="Times New Roman" w:cs="Times New Roman"/>
          <w:sz w:val="24"/>
          <w:szCs w:val="24"/>
        </w:rPr>
        <w:t>, and subsidy</w:t>
      </w:r>
      <w:r w:rsidR="00D90EEA" w:rsidRPr="00A70DE1">
        <w:rPr>
          <w:rFonts w:ascii="Times New Roman" w:hAnsi="Times New Roman" w:cs="Times New Roman"/>
          <w:sz w:val="24"/>
          <w:szCs w:val="24"/>
        </w:rPr>
        <w:t xml:space="preserve"> information</w:t>
      </w:r>
      <w:r w:rsidR="00494AEA" w:rsidRPr="00A70DE1">
        <w:rPr>
          <w:rFonts w:ascii="Times New Roman" w:hAnsi="Times New Roman" w:cs="Times New Roman"/>
          <w:sz w:val="24"/>
          <w:szCs w:val="24"/>
        </w:rPr>
        <w:t>.</w:t>
      </w:r>
      <w:r w:rsidR="00F4626F" w:rsidRPr="00A70DE1">
        <w:rPr>
          <w:rFonts w:ascii="Times New Roman" w:hAnsi="Times New Roman" w:cs="Times New Roman"/>
          <w:sz w:val="24"/>
          <w:szCs w:val="24"/>
        </w:rPr>
        <w:t xml:space="preserve"> </w:t>
      </w:r>
      <w:r w:rsidR="00DE6721" w:rsidRPr="00A70DE1">
        <w:rPr>
          <w:rFonts w:ascii="Times New Roman" w:hAnsi="Times New Roman" w:cs="Times New Roman"/>
          <w:sz w:val="24"/>
          <w:szCs w:val="24"/>
        </w:rPr>
        <w:t xml:space="preserve">For all </w:t>
      </w:r>
      <w:r w:rsidR="00F96B62" w:rsidRPr="00A70DE1">
        <w:rPr>
          <w:rFonts w:ascii="Times New Roman" w:hAnsi="Times New Roman" w:cs="Times New Roman"/>
          <w:sz w:val="24"/>
          <w:szCs w:val="24"/>
        </w:rPr>
        <w:t xml:space="preserve">state-county-insurance product combinations, </w:t>
      </w:r>
      <w:r w:rsidR="00BC2669" w:rsidRPr="00A70DE1">
        <w:rPr>
          <w:rFonts w:ascii="Times New Roman" w:hAnsi="Times New Roman" w:cs="Times New Roman"/>
          <w:sz w:val="24"/>
          <w:szCs w:val="24"/>
        </w:rPr>
        <w:t xml:space="preserve">there </w:t>
      </w:r>
      <w:r w:rsidR="00510385">
        <w:rPr>
          <w:rFonts w:ascii="Times New Roman" w:hAnsi="Times New Roman" w:cs="Times New Roman"/>
          <w:sz w:val="24"/>
          <w:szCs w:val="24"/>
        </w:rPr>
        <w:t>are</w:t>
      </w:r>
      <w:r w:rsidR="00510385" w:rsidRPr="00A70DE1">
        <w:rPr>
          <w:rFonts w:ascii="Times New Roman" w:hAnsi="Times New Roman" w:cs="Times New Roman"/>
          <w:sz w:val="24"/>
          <w:szCs w:val="24"/>
        </w:rPr>
        <w:t xml:space="preserve"> </w:t>
      </w:r>
      <w:r w:rsidR="00BC2669" w:rsidRPr="00A70DE1">
        <w:rPr>
          <w:rFonts w:ascii="Times New Roman" w:hAnsi="Times New Roman" w:cs="Times New Roman"/>
          <w:sz w:val="24"/>
          <w:szCs w:val="24"/>
        </w:rPr>
        <w:t xml:space="preserve">a total of 1,288,486 observations over </w:t>
      </w:r>
      <w:r w:rsidR="00A2213E" w:rsidRPr="00A70DE1">
        <w:rPr>
          <w:rFonts w:ascii="Times New Roman" w:hAnsi="Times New Roman" w:cs="Times New Roman"/>
          <w:sz w:val="24"/>
          <w:szCs w:val="24"/>
        </w:rPr>
        <w:t>34 insurance products</w:t>
      </w:r>
      <w:r w:rsidR="00402C9E" w:rsidRPr="00A70DE1">
        <w:rPr>
          <w:rFonts w:ascii="Times New Roman" w:hAnsi="Times New Roman" w:cs="Times New Roman"/>
          <w:sz w:val="24"/>
          <w:szCs w:val="24"/>
        </w:rPr>
        <w:t xml:space="preserve"> in the dataset. </w:t>
      </w:r>
      <w:r w:rsidR="00A81823" w:rsidRPr="00A70DE1">
        <w:rPr>
          <w:rFonts w:ascii="Times New Roman" w:hAnsi="Times New Roman" w:cs="Times New Roman"/>
          <w:sz w:val="24"/>
          <w:szCs w:val="24"/>
        </w:rPr>
        <w:t xml:space="preserve">The WFRP data contains observations for all states and </w:t>
      </w:r>
      <w:r w:rsidR="009D2CAA">
        <w:rPr>
          <w:rFonts w:ascii="Times New Roman" w:hAnsi="Times New Roman" w:cs="Times New Roman"/>
          <w:sz w:val="24"/>
          <w:szCs w:val="24"/>
        </w:rPr>
        <w:t>includes</w:t>
      </w:r>
      <w:r w:rsidR="00A81823" w:rsidRPr="00A70DE1">
        <w:rPr>
          <w:rFonts w:ascii="Times New Roman" w:hAnsi="Times New Roman" w:cs="Times New Roman"/>
          <w:sz w:val="24"/>
          <w:szCs w:val="24"/>
        </w:rPr>
        <w:t xml:space="preserve"> 19,640 </w:t>
      </w:r>
      <w:r w:rsidR="00077F34" w:rsidRPr="00A70DE1">
        <w:rPr>
          <w:rFonts w:ascii="Times New Roman" w:hAnsi="Times New Roman" w:cs="Times New Roman"/>
          <w:sz w:val="24"/>
          <w:szCs w:val="24"/>
        </w:rPr>
        <w:t>policies.</w:t>
      </w:r>
      <w:r w:rsidR="007665FA" w:rsidRPr="00A70DE1">
        <w:rPr>
          <w:rFonts w:ascii="Times New Roman" w:hAnsi="Times New Roman" w:cs="Times New Roman"/>
          <w:sz w:val="24"/>
          <w:szCs w:val="24"/>
        </w:rPr>
        <w:t xml:space="preserve"> </w:t>
      </w:r>
      <w:r w:rsidR="004F2C9B" w:rsidRPr="00A70DE1">
        <w:rPr>
          <w:rFonts w:ascii="Times New Roman" w:hAnsi="Times New Roman" w:cs="Times New Roman"/>
          <w:sz w:val="24"/>
          <w:szCs w:val="24"/>
        </w:rPr>
        <w:t xml:space="preserve">Some of these observations, such as the enrollment for non-WFRP </w:t>
      </w:r>
      <w:r w:rsidR="007042D1" w:rsidRPr="00A70DE1">
        <w:rPr>
          <w:rFonts w:ascii="Times New Roman" w:hAnsi="Times New Roman" w:cs="Times New Roman"/>
          <w:sz w:val="24"/>
          <w:szCs w:val="24"/>
        </w:rPr>
        <w:t xml:space="preserve">insurance programs, contain details on the specific crop being covered, which we hope to contrast with </w:t>
      </w:r>
      <w:r w:rsidR="00F53B47" w:rsidRPr="00A70DE1">
        <w:rPr>
          <w:rFonts w:ascii="Times New Roman" w:hAnsi="Times New Roman" w:cs="Times New Roman"/>
          <w:sz w:val="24"/>
          <w:szCs w:val="24"/>
        </w:rPr>
        <w:t xml:space="preserve">additional participation data from NAP that will be acquired via FOIA request. </w:t>
      </w:r>
      <w:r w:rsidR="009D2CAA">
        <w:rPr>
          <w:rFonts w:ascii="Times New Roman" w:hAnsi="Times New Roman" w:cs="Times New Roman"/>
          <w:sz w:val="24"/>
          <w:szCs w:val="24"/>
        </w:rPr>
        <w:t xml:space="preserve">Revenue volatility will also be analyzed in the WFRP dataset by </w:t>
      </w:r>
      <w:r w:rsidR="00B71ECE">
        <w:rPr>
          <w:rFonts w:ascii="Times New Roman" w:hAnsi="Times New Roman" w:cs="Times New Roman"/>
          <w:sz w:val="24"/>
          <w:szCs w:val="24"/>
        </w:rPr>
        <w:t xml:space="preserve">looking at the relationship between county revenue and </w:t>
      </w:r>
      <w:r w:rsidR="00755060">
        <w:rPr>
          <w:rFonts w:ascii="Times New Roman" w:hAnsi="Times New Roman" w:cs="Times New Roman"/>
          <w:sz w:val="24"/>
          <w:szCs w:val="24"/>
        </w:rPr>
        <w:t>purchased liability.</w:t>
      </w:r>
      <w:r w:rsidR="00165753">
        <w:rPr>
          <w:rFonts w:ascii="Times New Roman" w:hAnsi="Times New Roman" w:cs="Times New Roman"/>
          <w:sz w:val="24"/>
          <w:szCs w:val="24"/>
        </w:rPr>
        <w:t xml:space="preserve"> </w:t>
      </w:r>
      <w:r w:rsidR="00904737" w:rsidRPr="00A70DE1">
        <w:rPr>
          <w:rFonts w:ascii="Times New Roman" w:hAnsi="Times New Roman" w:cs="Times New Roman"/>
          <w:sz w:val="24"/>
          <w:szCs w:val="24"/>
        </w:rPr>
        <w:t xml:space="preserve">As with the </w:t>
      </w:r>
      <w:r w:rsidR="008E5926" w:rsidRPr="00A70DE1">
        <w:rPr>
          <w:rFonts w:ascii="Times New Roman" w:hAnsi="Times New Roman" w:cs="Times New Roman"/>
          <w:sz w:val="24"/>
          <w:szCs w:val="24"/>
        </w:rPr>
        <w:t xml:space="preserve">NAP publication, this study will result in a submission to an academic journal, as well as extension publications on what WFRP is and how producer income is impacted by enrolling in WFRP. This study will fill a significant gap in the extension literature and academic literature on WFRP and the revenue impacts of participation and </w:t>
      </w:r>
      <w:r w:rsidR="00952E10" w:rsidRPr="00A70DE1">
        <w:rPr>
          <w:rFonts w:ascii="Times New Roman" w:hAnsi="Times New Roman" w:cs="Times New Roman"/>
          <w:sz w:val="24"/>
          <w:szCs w:val="24"/>
        </w:rPr>
        <w:t>will be especially crucial in regions with extremely low WFRP enrollment.</w:t>
      </w:r>
    </w:p>
    <w:p w14:paraId="7F549EE3" w14:textId="704D5E7A" w:rsidR="00C81067" w:rsidRPr="00A70DE1" w:rsidRDefault="00415D89" w:rsidP="00165753">
      <w:pPr>
        <w:spacing w:line="360" w:lineRule="auto"/>
        <w:ind w:firstLine="720"/>
        <w:rPr>
          <w:rFonts w:ascii="Times New Roman" w:hAnsi="Times New Roman" w:cs="Times New Roman"/>
          <w:sz w:val="24"/>
          <w:szCs w:val="24"/>
        </w:rPr>
      </w:pPr>
      <w:r w:rsidRPr="00A70DE1">
        <w:rPr>
          <w:rFonts w:ascii="Times New Roman" w:hAnsi="Times New Roman" w:cs="Times New Roman"/>
          <w:sz w:val="24"/>
          <w:szCs w:val="24"/>
        </w:rPr>
        <w:t xml:space="preserve">With the combination of NAP, WFRP, and other RMA specialty crop insurance participation data, we </w:t>
      </w:r>
      <w:r w:rsidR="00FC0F9C" w:rsidRPr="00A70DE1">
        <w:rPr>
          <w:rFonts w:ascii="Times New Roman" w:hAnsi="Times New Roman" w:cs="Times New Roman"/>
          <w:sz w:val="24"/>
          <w:szCs w:val="24"/>
        </w:rPr>
        <w:t>hope to</w:t>
      </w:r>
      <w:r w:rsidRPr="00A70DE1">
        <w:rPr>
          <w:rFonts w:ascii="Times New Roman" w:hAnsi="Times New Roman" w:cs="Times New Roman"/>
          <w:sz w:val="24"/>
          <w:szCs w:val="24"/>
        </w:rPr>
        <w:t xml:space="preserve"> get a clear view of </w:t>
      </w:r>
      <w:r w:rsidR="00904737" w:rsidRPr="00A70DE1">
        <w:rPr>
          <w:rFonts w:ascii="Times New Roman" w:hAnsi="Times New Roman" w:cs="Times New Roman"/>
          <w:sz w:val="24"/>
          <w:szCs w:val="24"/>
        </w:rPr>
        <w:t>overall program participation trends and their</w:t>
      </w:r>
      <w:r w:rsidRPr="00A70DE1">
        <w:rPr>
          <w:rFonts w:ascii="Times New Roman" w:hAnsi="Times New Roman" w:cs="Times New Roman"/>
          <w:sz w:val="24"/>
          <w:szCs w:val="24"/>
        </w:rPr>
        <w:t xml:space="preserve"> impacts </w:t>
      </w:r>
      <w:r w:rsidR="003859AD" w:rsidRPr="00A70DE1">
        <w:rPr>
          <w:rFonts w:ascii="Times New Roman" w:hAnsi="Times New Roman" w:cs="Times New Roman"/>
          <w:sz w:val="24"/>
          <w:szCs w:val="24"/>
        </w:rPr>
        <w:t xml:space="preserve">on </w:t>
      </w:r>
      <w:r w:rsidR="001213F7" w:rsidRPr="00A70DE1">
        <w:rPr>
          <w:rFonts w:ascii="Times New Roman" w:hAnsi="Times New Roman" w:cs="Times New Roman"/>
          <w:sz w:val="24"/>
          <w:szCs w:val="24"/>
        </w:rPr>
        <w:t>revenue</w:t>
      </w:r>
      <w:r w:rsidR="003859AD" w:rsidRPr="00A70DE1">
        <w:rPr>
          <w:rFonts w:ascii="Times New Roman" w:hAnsi="Times New Roman" w:cs="Times New Roman"/>
          <w:sz w:val="24"/>
          <w:szCs w:val="24"/>
        </w:rPr>
        <w:t>, regardless of crop or region</w:t>
      </w:r>
      <w:r w:rsidR="002F3726">
        <w:rPr>
          <w:rFonts w:ascii="Times New Roman" w:hAnsi="Times New Roman" w:cs="Times New Roman"/>
          <w:sz w:val="24"/>
          <w:szCs w:val="24"/>
        </w:rPr>
        <w:t>, to then apply to our decision tool and in outreach and extension to producers.</w:t>
      </w:r>
    </w:p>
    <w:p w14:paraId="0D1519AD" w14:textId="5847920F" w:rsidR="000536D4" w:rsidRPr="00CB29F5" w:rsidRDefault="000536D4" w:rsidP="00CB29F5">
      <w:pPr>
        <w:pStyle w:val="Heading1"/>
        <w:spacing w:line="360" w:lineRule="auto"/>
        <w:rPr>
          <w:rFonts w:ascii="Times New Roman" w:hAnsi="Times New Roman" w:cs="Times New Roman"/>
          <w:b/>
          <w:bCs/>
          <w:sz w:val="24"/>
          <w:szCs w:val="24"/>
        </w:rPr>
      </w:pPr>
      <w:bookmarkStart w:id="8" w:name="_Toc172283622"/>
      <w:r w:rsidRPr="00CB29F5">
        <w:rPr>
          <w:rFonts w:ascii="Times New Roman" w:hAnsi="Times New Roman" w:cs="Times New Roman"/>
          <w:b/>
          <w:bCs/>
          <w:sz w:val="24"/>
          <w:szCs w:val="24"/>
        </w:rPr>
        <w:lastRenderedPageBreak/>
        <w:t>Outreach plan</w:t>
      </w:r>
      <w:bookmarkEnd w:id="8"/>
    </w:p>
    <w:p w14:paraId="052AF543" w14:textId="639B3A14" w:rsidR="002F3726" w:rsidRDefault="00995DB5" w:rsidP="002F3726">
      <w:pPr>
        <w:spacing w:line="360" w:lineRule="auto"/>
        <w:rPr>
          <w:rFonts w:ascii="Times New Roman" w:hAnsi="Times New Roman" w:cs="Times New Roman"/>
          <w:sz w:val="24"/>
          <w:szCs w:val="24"/>
        </w:rPr>
      </w:pPr>
      <w:r w:rsidRPr="00995DB5">
        <w:rPr>
          <w:rFonts w:ascii="Times New Roman" w:hAnsi="Times New Roman" w:cs="Times New Roman"/>
          <w:sz w:val="24"/>
          <w:szCs w:val="24"/>
        </w:rPr>
        <w:t>Part</w:t>
      </w:r>
      <w:r>
        <w:rPr>
          <w:rFonts w:ascii="Times New Roman" w:hAnsi="Times New Roman" w:cs="Times New Roman"/>
          <w:sz w:val="24"/>
          <w:szCs w:val="24"/>
        </w:rPr>
        <w:t>s two and three of this project's three-step process fall under outreach and extension. They are concerned with</w:t>
      </w:r>
      <w:r w:rsidRPr="00995DB5">
        <w:rPr>
          <w:rFonts w:ascii="Times New Roman" w:hAnsi="Times New Roman" w:cs="Times New Roman"/>
          <w:sz w:val="24"/>
          <w:szCs w:val="24"/>
        </w:rPr>
        <w:t xml:space="preserve"> taking the analysis and understanding how it differs from and is impacted by producer experience.</w:t>
      </w:r>
      <w:r w:rsidR="00FD585A">
        <w:rPr>
          <w:rFonts w:ascii="Times New Roman" w:hAnsi="Times New Roman" w:cs="Times New Roman"/>
          <w:sz w:val="24"/>
          <w:szCs w:val="24"/>
        </w:rPr>
        <w:t xml:space="preserve"> The interview portion </w:t>
      </w:r>
      <w:r w:rsidR="008B6DB6">
        <w:rPr>
          <w:rFonts w:ascii="Times New Roman" w:hAnsi="Times New Roman" w:cs="Times New Roman"/>
          <w:sz w:val="24"/>
          <w:szCs w:val="24"/>
        </w:rPr>
        <w:t xml:space="preserve">will consist of attending check-off board meetings of different producer groups, and </w:t>
      </w:r>
      <w:r w:rsidR="00BA39CE">
        <w:rPr>
          <w:rFonts w:ascii="Times New Roman" w:hAnsi="Times New Roman" w:cs="Times New Roman"/>
          <w:sz w:val="24"/>
          <w:szCs w:val="24"/>
        </w:rPr>
        <w:t xml:space="preserve">disseminating surveys to understand drivers in participation, as well as the trade-off logics behind different </w:t>
      </w:r>
      <w:r w:rsidR="00457C49">
        <w:rPr>
          <w:rFonts w:ascii="Times New Roman" w:hAnsi="Times New Roman" w:cs="Times New Roman"/>
          <w:sz w:val="24"/>
          <w:szCs w:val="24"/>
        </w:rPr>
        <w:t xml:space="preserve">risk management strategies. This will both give insight into what is preventing producers from participating in the available programs, but also serve as an educational </w:t>
      </w:r>
      <w:r w:rsidR="00CB531A">
        <w:rPr>
          <w:rFonts w:ascii="Times New Roman" w:hAnsi="Times New Roman" w:cs="Times New Roman"/>
          <w:sz w:val="24"/>
          <w:szCs w:val="24"/>
        </w:rPr>
        <w:t>tool</w:t>
      </w:r>
      <w:r w:rsidR="00457C49">
        <w:rPr>
          <w:rFonts w:ascii="Times New Roman" w:hAnsi="Times New Roman" w:cs="Times New Roman"/>
          <w:sz w:val="24"/>
          <w:szCs w:val="24"/>
        </w:rPr>
        <w:t xml:space="preserve"> for </w:t>
      </w:r>
      <w:r w:rsidR="00CB531A">
        <w:rPr>
          <w:rFonts w:ascii="Times New Roman" w:hAnsi="Times New Roman" w:cs="Times New Roman"/>
          <w:sz w:val="24"/>
          <w:szCs w:val="24"/>
        </w:rPr>
        <w:t xml:space="preserve">producers that may be confused about how to enroll in the programs. </w:t>
      </w:r>
    </w:p>
    <w:p w14:paraId="5488D442" w14:textId="72B0E523" w:rsidR="00FD585A" w:rsidRDefault="00CB531A" w:rsidP="002F3726">
      <w:pPr>
        <w:spacing w:line="360" w:lineRule="auto"/>
        <w:rPr>
          <w:rFonts w:ascii="Times New Roman" w:hAnsi="Times New Roman" w:cs="Times New Roman"/>
          <w:sz w:val="24"/>
          <w:szCs w:val="24"/>
        </w:rPr>
      </w:pPr>
      <w:r>
        <w:rPr>
          <w:rFonts w:ascii="Times New Roman" w:hAnsi="Times New Roman" w:cs="Times New Roman"/>
          <w:sz w:val="24"/>
          <w:szCs w:val="24"/>
        </w:rPr>
        <w:t>The final step, t</w:t>
      </w:r>
      <w:r w:rsidR="00FD585A">
        <w:rPr>
          <w:rFonts w:ascii="Times New Roman" w:hAnsi="Times New Roman" w:cs="Times New Roman"/>
          <w:sz w:val="24"/>
          <w:szCs w:val="24"/>
        </w:rPr>
        <w:t>he decision tool</w:t>
      </w:r>
      <w:r>
        <w:rPr>
          <w:rFonts w:ascii="Times New Roman" w:hAnsi="Times New Roman" w:cs="Times New Roman"/>
          <w:sz w:val="24"/>
          <w:szCs w:val="24"/>
        </w:rPr>
        <w:t>,</w:t>
      </w:r>
      <w:r w:rsidR="00FD585A">
        <w:rPr>
          <w:rFonts w:ascii="Times New Roman" w:hAnsi="Times New Roman" w:cs="Times New Roman"/>
          <w:sz w:val="24"/>
          <w:szCs w:val="24"/>
        </w:rPr>
        <w:t xml:space="preserve"> is key</w:t>
      </w:r>
      <w:r w:rsidR="00510385">
        <w:rPr>
          <w:rFonts w:ascii="Times New Roman" w:hAnsi="Times New Roman" w:cs="Times New Roman"/>
          <w:sz w:val="24"/>
          <w:szCs w:val="24"/>
        </w:rPr>
        <w:t xml:space="preserve"> to </w:t>
      </w:r>
      <w:r w:rsidR="00C4127D">
        <w:rPr>
          <w:rFonts w:ascii="Times New Roman" w:hAnsi="Times New Roman" w:cs="Times New Roman"/>
          <w:sz w:val="24"/>
          <w:szCs w:val="24"/>
        </w:rPr>
        <w:t>ensu</w:t>
      </w:r>
      <w:r w:rsidR="002E73A5">
        <w:rPr>
          <w:rFonts w:ascii="Times New Roman" w:hAnsi="Times New Roman" w:cs="Times New Roman"/>
          <w:sz w:val="24"/>
          <w:szCs w:val="24"/>
        </w:rPr>
        <w:t xml:space="preserve">ring </w:t>
      </w:r>
      <w:r w:rsidR="004A6717">
        <w:rPr>
          <w:rFonts w:ascii="Times New Roman" w:hAnsi="Times New Roman" w:cs="Times New Roman"/>
          <w:sz w:val="24"/>
          <w:szCs w:val="24"/>
        </w:rPr>
        <w:t xml:space="preserve">producers are aware of the </w:t>
      </w:r>
      <w:r w:rsidR="004D2B06">
        <w:rPr>
          <w:rFonts w:ascii="Times New Roman" w:hAnsi="Times New Roman" w:cs="Times New Roman"/>
          <w:sz w:val="24"/>
          <w:szCs w:val="24"/>
        </w:rPr>
        <w:t xml:space="preserve">differences between different </w:t>
      </w:r>
      <w:r w:rsidR="00273CE2">
        <w:rPr>
          <w:rFonts w:ascii="Times New Roman" w:hAnsi="Times New Roman" w:cs="Times New Roman"/>
          <w:sz w:val="24"/>
          <w:szCs w:val="24"/>
        </w:rPr>
        <w:t xml:space="preserve">risk management programs and how </w:t>
      </w:r>
      <w:r w:rsidR="004E359A">
        <w:rPr>
          <w:rFonts w:ascii="Times New Roman" w:hAnsi="Times New Roman" w:cs="Times New Roman"/>
          <w:sz w:val="24"/>
          <w:szCs w:val="24"/>
        </w:rPr>
        <w:t>each program could impact their specific situation</w:t>
      </w:r>
      <w:r w:rsidR="005A6F6E">
        <w:rPr>
          <w:rFonts w:ascii="Times New Roman" w:hAnsi="Times New Roman" w:cs="Times New Roman"/>
          <w:sz w:val="24"/>
          <w:szCs w:val="24"/>
        </w:rPr>
        <w:t xml:space="preserve">. This would be beneficial to both </w:t>
      </w:r>
      <w:r w:rsidR="002E7BA0">
        <w:rPr>
          <w:rFonts w:ascii="Times New Roman" w:hAnsi="Times New Roman" w:cs="Times New Roman"/>
          <w:sz w:val="24"/>
          <w:szCs w:val="24"/>
        </w:rPr>
        <w:t>existing</w:t>
      </w:r>
      <w:r w:rsidR="005A6F6E">
        <w:rPr>
          <w:rFonts w:ascii="Times New Roman" w:hAnsi="Times New Roman" w:cs="Times New Roman"/>
          <w:sz w:val="24"/>
          <w:szCs w:val="24"/>
        </w:rPr>
        <w:t xml:space="preserve"> producers, to </w:t>
      </w:r>
      <w:r w:rsidR="006A4498">
        <w:rPr>
          <w:rFonts w:ascii="Times New Roman" w:hAnsi="Times New Roman" w:cs="Times New Roman"/>
          <w:sz w:val="24"/>
          <w:szCs w:val="24"/>
        </w:rPr>
        <w:t xml:space="preserve">help them </w:t>
      </w:r>
      <w:r w:rsidR="007D69A7">
        <w:rPr>
          <w:rFonts w:ascii="Times New Roman" w:hAnsi="Times New Roman" w:cs="Times New Roman"/>
          <w:sz w:val="24"/>
          <w:szCs w:val="24"/>
        </w:rPr>
        <w:t xml:space="preserve">decide between </w:t>
      </w:r>
      <w:r w:rsidR="003E3310">
        <w:rPr>
          <w:rFonts w:ascii="Times New Roman" w:hAnsi="Times New Roman" w:cs="Times New Roman"/>
          <w:sz w:val="24"/>
          <w:szCs w:val="24"/>
        </w:rPr>
        <w:t>risk management options</w:t>
      </w:r>
      <w:r w:rsidR="00152ACC">
        <w:rPr>
          <w:rFonts w:ascii="Times New Roman" w:hAnsi="Times New Roman" w:cs="Times New Roman"/>
          <w:sz w:val="24"/>
          <w:szCs w:val="24"/>
        </w:rPr>
        <w:t xml:space="preserve">, and also potential producers considering entering the market. Potential producers </w:t>
      </w:r>
      <w:r w:rsidR="0039129C">
        <w:rPr>
          <w:rFonts w:ascii="Times New Roman" w:hAnsi="Times New Roman" w:cs="Times New Roman"/>
          <w:sz w:val="24"/>
          <w:szCs w:val="24"/>
        </w:rPr>
        <w:t xml:space="preserve">will be able to understand their risks more accurately, </w:t>
      </w:r>
      <w:r w:rsidR="00B32226">
        <w:rPr>
          <w:rFonts w:ascii="Times New Roman" w:hAnsi="Times New Roman" w:cs="Times New Roman"/>
          <w:sz w:val="24"/>
          <w:szCs w:val="24"/>
        </w:rPr>
        <w:t xml:space="preserve">and what tools are available, and decide if the risks are </w:t>
      </w:r>
      <w:r w:rsidR="00CD0895">
        <w:rPr>
          <w:rFonts w:ascii="Times New Roman" w:hAnsi="Times New Roman" w:cs="Times New Roman"/>
          <w:sz w:val="24"/>
          <w:szCs w:val="24"/>
        </w:rPr>
        <w:t xml:space="preserve">at a tolerable level </w:t>
      </w:r>
      <w:r w:rsidR="00713734">
        <w:rPr>
          <w:rFonts w:ascii="Times New Roman" w:hAnsi="Times New Roman" w:cs="Times New Roman"/>
          <w:sz w:val="24"/>
          <w:szCs w:val="24"/>
        </w:rPr>
        <w:t xml:space="preserve">to enter the market or if the risks are too high and they should not enter the market. This </w:t>
      </w:r>
      <w:r w:rsidR="009F149D">
        <w:rPr>
          <w:rFonts w:ascii="Times New Roman" w:hAnsi="Times New Roman" w:cs="Times New Roman"/>
          <w:sz w:val="24"/>
          <w:szCs w:val="24"/>
        </w:rPr>
        <w:t xml:space="preserve">would prevent </w:t>
      </w:r>
      <w:r w:rsidR="009C25E6">
        <w:rPr>
          <w:rFonts w:ascii="Times New Roman" w:hAnsi="Times New Roman" w:cs="Times New Roman"/>
          <w:sz w:val="24"/>
          <w:szCs w:val="24"/>
        </w:rPr>
        <w:t>potential producers from wasting money on an uns</w:t>
      </w:r>
      <w:r w:rsidR="00BF59BE">
        <w:rPr>
          <w:rFonts w:ascii="Times New Roman" w:hAnsi="Times New Roman" w:cs="Times New Roman"/>
          <w:sz w:val="24"/>
          <w:szCs w:val="24"/>
        </w:rPr>
        <w:t>ustainable business model</w:t>
      </w:r>
      <w:r w:rsidR="00DE6E10">
        <w:rPr>
          <w:rFonts w:ascii="Times New Roman" w:hAnsi="Times New Roman" w:cs="Times New Roman"/>
          <w:sz w:val="24"/>
          <w:szCs w:val="24"/>
        </w:rPr>
        <w:t xml:space="preserve"> and result in fewer firms </w:t>
      </w:r>
      <w:r w:rsidR="00B3047E">
        <w:rPr>
          <w:rFonts w:ascii="Times New Roman" w:hAnsi="Times New Roman" w:cs="Times New Roman"/>
          <w:sz w:val="24"/>
          <w:szCs w:val="24"/>
        </w:rPr>
        <w:t xml:space="preserve">entering and leaving the </w:t>
      </w:r>
      <w:r w:rsidR="00427A7A">
        <w:rPr>
          <w:rFonts w:ascii="Times New Roman" w:hAnsi="Times New Roman" w:cs="Times New Roman"/>
          <w:sz w:val="24"/>
          <w:szCs w:val="24"/>
        </w:rPr>
        <w:t>market</w:t>
      </w:r>
      <w:r w:rsidR="00B3047E">
        <w:rPr>
          <w:rFonts w:ascii="Times New Roman" w:hAnsi="Times New Roman" w:cs="Times New Roman"/>
          <w:sz w:val="24"/>
          <w:szCs w:val="24"/>
        </w:rPr>
        <w:t>.</w:t>
      </w:r>
    </w:p>
    <w:p w14:paraId="7E742BC3" w14:textId="77777777" w:rsidR="00FD585A" w:rsidRPr="00995DB5" w:rsidRDefault="00FD585A" w:rsidP="002F3726">
      <w:pPr>
        <w:spacing w:line="360" w:lineRule="auto"/>
        <w:rPr>
          <w:rFonts w:ascii="Times New Roman" w:hAnsi="Times New Roman" w:cs="Times New Roman"/>
          <w:sz w:val="24"/>
          <w:szCs w:val="24"/>
        </w:rPr>
      </w:pPr>
    </w:p>
    <w:p w14:paraId="61EA572D" w14:textId="77777777" w:rsidR="002F3726" w:rsidRPr="00A70DE1" w:rsidRDefault="002F3726" w:rsidP="002F3726">
      <w:pPr>
        <w:pStyle w:val="ListParagraph"/>
        <w:spacing w:line="360" w:lineRule="auto"/>
        <w:rPr>
          <w:rFonts w:ascii="Times New Roman" w:hAnsi="Times New Roman" w:cs="Times New Roman"/>
          <w:b/>
          <w:bCs/>
          <w:sz w:val="24"/>
          <w:szCs w:val="24"/>
        </w:rPr>
      </w:pPr>
    </w:p>
    <w:p w14:paraId="41D86478" w14:textId="2CC8A79E" w:rsidR="000536D4" w:rsidRDefault="000536D4" w:rsidP="00CB29F5">
      <w:pPr>
        <w:pStyle w:val="Heading1"/>
        <w:spacing w:line="360" w:lineRule="auto"/>
        <w:rPr>
          <w:rFonts w:ascii="Times New Roman" w:hAnsi="Times New Roman" w:cs="Times New Roman"/>
          <w:b/>
          <w:bCs/>
          <w:sz w:val="24"/>
          <w:szCs w:val="24"/>
        </w:rPr>
      </w:pPr>
      <w:bookmarkStart w:id="9" w:name="_Toc172283623"/>
      <w:r w:rsidRPr="00A70DE1">
        <w:rPr>
          <w:rFonts w:ascii="Times New Roman" w:hAnsi="Times New Roman" w:cs="Times New Roman"/>
          <w:b/>
          <w:bCs/>
          <w:sz w:val="24"/>
          <w:szCs w:val="24"/>
        </w:rPr>
        <w:t>Pitfalls</w:t>
      </w:r>
      <w:bookmarkEnd w:id="9"/>
      <w:r w:rsidR="00BF1B74">
        <w:rPr>
          <w:rFonts w:ascii="Times New Roman" w:hAnsi="Times New Roman" w:cs="Times New Roman"/>
          <w:b/>
          <w:bCs/>
          <w:sz w:val="24"/>
          <w:szCs w:val="24"/>
        </w:rPr>
        <w:t>/</w:t>
      </w:r>
      <w:bookmarkStart w:id="10" w:name="_Toc172283624"/>
      <w:r w:rsidR="00BF1B74" w:rsidRPr="00BF1B74">
        <w:rPr>
          <w:rFonts w:ascii="Times New Roman" w:hAnsi="Times New Roman" w:cs="Times New Roman"/>
          <w:b/>
          <w:bCs/>
          <w:sz w:val="24"/>
          <w:szCs w:val="24"/>
        </w:rPr>
        <w:t xml:space="preserve"> </w:t>
      </w:r>
      <w:r w:rsidR="00BF1B74" w:rsidRPr="00A70DE1">
        <w:rPr>
          <w:rFonts w:ascii="Times New Roman" w:hAnsi="Times New Roman" w:cs="Times New Roman"/>
          <w:b/>
          <w:bCs/>
          <w:sz w:val="24"/>
          <w:szCs w:val="24"/>
        </w:rPr>
        <w:t>Limitations</w:t>
      </w:r>
      <w:bookmarkEnd w:id="10"/>
    </w:p>
    <w:p w14:paraId="6C544365" w14:textId="4738E96B" w:rsidR="00C74403" w:rsidRDefault="0007143F" w:rsidP="0007143F">
      <w:pPr>
        <w:spacing w:line="360" w:lineRule="auto"/>
        <w:rPr>
          <w:rFonts w:ascii="Times New Roman" w:hAnsi="Times New Roman" w:cs="Times New Roman"/>
          <w:sz w:val="24"/>
          <w:szCs w:val="24"/>
        </w:rPr>
      </w:pPr>
      <w:r w:rsidRPr="0007143F">
        <w:rPr>
          <w:rFonts w:ascii="Times New Roman" w:hAnsi="Times New Roman" w:cs="Times New Roman"/>
          <w:sz w:val="24"/>
          <w:szCs w:val="24"/>
        </w:rPr>
        <w:t>The data</w:t>
      </w:r>
      <w:r>
        <w:rPr>
          <w:rFonts w:ascii="Times New Roman" w:hAnsi="Times New Roman" w:cs="Times New Roman"/>
          <w:sz w:val="24"/>
          <w:szCs w:val="24"/>
        </w:rPr>
        <w:t xml:space="preserve"> available for specialty crop insurance is very limited, especially in respect to </w:t>
      </w:r>
      <w:r w:rsidR="00DE74B6">
        <w:rPr>
          <w:rFonts w:ascii="Times New Roman" w:hAnsi="Times New Roman" w:cs="Times New Roman"/>
          <w:sz w:val="24"/>
          <w:szCs w:val="24"/>
        </w:rPr>
        <w:t xml:space="preserve">what insurance or payments </w:t>
      </w:r>
      <w:r w:rsidR="00FB7B90">
        <w:rPr>
          <w:rFonts w:ascii="Times New Roman" w:hAnsi="Times New Roman" w:cs="Times New Roman"/>
          <w:sz w:val="24"/>
          <w:szCs w:val="24"/>
        </w:rPr>
        <w:t>are</w:t>
      </w:r>
      <w:r w:rsidR="00DE74B6">
        <w:rPr>
          <w:rFonts w:ascii="Times New Roman" w:hAnsi="Times New Roman" w:cs="Times New Roman"/>
          <w:sz w:val="24"/>
          <w:szCs w:val="24"/>
        </w:rPr>
        <w:t xml:space="preserve"> for what </w:t>
      </w:r>
      <w:r w:rsidR="00002CCD">
        <w:rPr>
          <w:rFonts w:ascii="Times New Roman" w:hAnsi="Times New Roman" w:cs="Times New Roman"/>
          <w:sz w:val="24"/>
          <w:szCs w:val="24"/>
        </w:rPr>
        <w:t xml:space="preserve">specific </w:t>
      </w:r>
      <w:r w:rsidR="00DE74B6">
        <w:rPr>
          <w:rFonts w:ascii="Times New Roman" w:hAnsi="Times New Roman" w:cs="Times New Roman"/>
          <w:sz w:val="24"/>
          <w:szCs w:val="24"/>
        </w:rPr>
        <w:t>crops</w:t>
      </w:r>
      <w:r w:rsidR="00FB7B90">
        <w:rPr>
          <w:rFonts w:ascii="Times New Roman" w:hAnsi="Times New Roman" w:cs="Times New Roman"/>
          <w:sz w:val="24"/>
          <w:szCs w:val="24"/>
        </w:rPr>
        <w:t>.</w:t>
      </w:r>
      <w:r w:rsidR="00D66619">
        <w:rPr>
          <w:rFonts w:ascii="Times New Roman" w:hAnsi="Times New Roman" w:cs="Times New Roman"/>
          <w:sz w:val="24"/>
          <w:szCs w:val="24"/>
        </w:rPr>
        <w:t xml:space="preserve"> In the case of the NAP data,</w:t>
      </w:r>
      <w:r w:rsidR="00160B63">
        <w:rPr>
          <w:rFonts w:ascii="Times New Roman" w:hAnsi="Times New Roman" w:cs="Times New Roman"/>
          <w:sz w:val="24"/>
          <w:szCs w:val="24"/>
        </w:rPr>
        <w:t xml:space="preserve"> </w:t>
      </w:r>
      <w:r w:rsidR="00D66619">
        <w:rPr>
          <w:rFonts w:ascii="Times New Roman" w:hAnsi="Times New Roman" w:cs="Times New Roman"/>
          <w:sz w:val="24"/>
          <w:szCs w:val="24"/>
        </w:rPr>
        <w:t>t</w:t>
      </w:r>
      <w:r w:rsidR="00F152CB">
        <w:rPr>
          <w:rFonts w:ascii="Times New Roman" w:hAnsi="Times New Roman" w:cs="Times New Roman"/>
          <w:sz w:val="24"/>
          <w:szCs w:val="24"/>
        </w:rPr>
        <w:t xml:space="preserve">his results in </w:t>
      </w:r>
      <w:r w:rsidR="00D66619">
        <w:rPr>
          <w:rFonts w:ascii="Times New Roman" w:hAnsi="Times New Roman" w:cs="Times New Roman"/>
          <w:sz w:val="24"/>
          <w:szCs w:val="24"/>
        </w:rPr>
        <w:t xml:space="preserve">needing to </w:t>
      </w:r>
      <w:r w:rsidR="00F152CB">
        <w:rPr>
          <w:rFonts w:ascii="Times New Roman" w:hAnsi="Times New Roman" w:cs="Times New Roman"/>
          <w:sz w:val="24"/>
          <w:szCs w:val="24"/>
        </w:rPr>
        <w:t>estimat</w:t>
      </w:r>
      <w:r w:rsidR="00D66619">
        <w:rPr>
          <w:rFonts w:ascii="Times New Roman" w:hAnsi="Times New Roman" w:cs="Times New Roman"/>
          <w:sz w:val="24"/>
          <w:szCs w:val="24"/>
        </w:rPr>
        <w:t>e</w:t>
      </w:r>
      <w:r w:rsidR="00F152CB">
        <w:rPr>
          <w:rFonts w:ascii="Times New Roman" w:hAnsi="Times New Roman" w:cs="Times New Roman"/>
          <w:sz w:val="24"/>
          <w:szCs w:val="24"/>
        </w:rPr>
        <w:t xml:space="preserve"> on </w:t>
      </w:r>
      <w:r w:rsidR="00D66619">
        <w:rPr>
          <w:rFonts w:ascii="Times New Roman" w:hAnsi="Times New Roman" w:cs="Times New Roman"/>
          <w:sz w:val="24"/>
          <w:szCs w:val="24"/>
        </w:rPr>
        <w:t>how many payments are for</w:t>
      </w:r>
      <w:r w:rsidR="00F152CB">
        <w:rPr>
          <w:rFonts w:ascii="Times New Roman" w:hAnsi="Times New Roman" w:cs="Times New Roman"/>
          <w:sz w:val="24"/>
          <w:szCs w:val="24"/>
        </w:rPr>
        <w:t xml:space="preserve"> </w:t>
      </w:r>
      <w:r w:rsidR="00AE5512">
        <w:rPr>
          <w:rFonts w:ascii="Times New Roman" w:hAnsi="Times New Roman" w:cs="Times New Roman"/>
          <w:sz w:val="24"/>
          <w:szCs w:val="24"/>
        </w:rPr>
        <w:t xml:space="preserve">specialty </w:t>
      </w:r>
      <w:r w:rsidR="00D66619">
        <w:rPr>
          <w:rFonts w:ascii="Times New Roman" w:hAnsi="Times New Roman" w:cs="Times New Roman"/>
          <w:sz w:val="24"/>
          <w:szCs w:val="24"/>
        </w:rPr>
        <w:t xml:space="preserve">crops </w:t>
      </w:r>
      <w:r w:rsidR="002068B6">
        <w:rPr>
          <w:rFonts w:ascii="Times New Roman" w:hAnsi="Times New Roman" w:cs="Times New Roman"/>
          <w:sz w:val="24"/>
          <w:szCs w:val="24"/>
        </w:rPr>
        <w:t>vs other crops under NAP</w:t>
      </w:r>
      <w:r w:rsidR="00002CCD">
        <w:rPr>
          <w:rFonts w:ascii="Times New Roman" w:hAnsi="Times New Roman" w:cs="Times New Roman"/>
          <w:sz w:val="24"/>
          <w:szCs w:val="24"/>
        </w:rPr>
        <w:t xml:space="preserve">, rather than having the payments directly tied to specific </w:t>
      </w:r>
      <w:r w:rsidR="00236901">
        <w:rPr>
          <w:rFonts w:ascii="Times New Roman" w:hAnsi="Times New Roman" w:cs="Times New Roman"/>
          <w:sz w:val="24"/>
          <w:szCs w:val="24"/>
        </w:rPr>
        <w:t xml:space="preserve">crops. </w:t>
      </w:r>
      <w:r w:rsidR="00C74403">
        <w:rPr>
          <w:rFonts w:ascii="Times New Roman" w:hAnsi="Times New Roman" w:cs="Times New Roman"/>
          <w:sz w:val="24"/>
          <w:szCs w:val="24"/>
        </w:rPr>
        <w:t xml:space="preserve">Additional limitations include </w:t>
      </w:r>
      <w:r w:rsidR="00F0647C">
        <w:rPr>
          <w:rFonts w:ascii="Times New Roman" w:hAnsi="Times New Roman" w:cs="Times New Roman"/>
          <w:sz w:val="24"/>
          <w:szCs w:val="24"/>
        </w:rPr>
        <w:t xml:space="preserve">the difficulty </w:t>
      </w:r>
      <w:r w:rsidR="00447C90">
        <w:rPr>
          <w:rFonts w:ascii="Times New Roman" w:hAnsi="Times New Roman" w:cs="Times New Roman"/>
          <w:sz w:val="24"/>
          <w:szCs w:val="24"/>
        </w:rPr>
        <w:t xml:space="preserve">of comparing specialty crops with differing needs, pests, </w:t>
      </w:r>
      <w:r w:rsidR="00CC0F36">
        <w:rPr>
          <w:rFonts w:ascii="Times New Roman" w:hAnsi="Times New Roman" w:cs="Times New Roman"/>
          <w:sz w:val="24"/>
          <w:szCs w:val="24"/>
        </w:rPr>
        <w:t>seasons, etc</w:t>
      </w:r>
      <w:r w:rsidR="002F272D">
        <w:rPr>
          <w:rFonts w:ascii="Times New Roman" w:hAnsi="Times New Roman" w:cs="Times New Roman"/>
          <w:sz w:val="24"/>
          <w:szCs w:val="24"/>
        </w:rPr>
        <w:t xml:space="preserve">. </w:t>
      </w:r>
      <w:r w:rsidR="00E332F3">
        <w:rPr>
          <w:rFonts w:ascii="Times New Roman" w:hAnsi="Times New Roman" w:cs="Times New Roman"/>
          <w:sz w:val="24"/>
          <w:szCs w:val="24"/>
        </w:rPr>
        <w:t xml:space="preserve">when understanding the best </w:t>
      </w:r>
      <w:r w:rsidR="00E122C8">
        <w:rPr>
          <w:rFonts w:ascii="Times New Roman" w:hAnsi="Times New Roman" w:cs="Times New Roman"/>
          <w:sz w:val="24"/>
          <w:szCs w:val="24"/>
        </w:rPr>
        <w:t>crop insurance plan. This will be especially difficult when creating the decision trees, and result in having specific trees for specific crops.</w:t>
      </w:r>
      <w:r w:rsidR="002F272D">
        <w:rPr>
          <w:rFonts w:ascii="Times New Roman" w:hAnsi="Times New Roman" w:cs="Times New Roman"/>
          <w:sz w:val="24"/>
          <w:szCs w:val="24"/>
        </w:rPr>
        <w:t xml:space="preserve"> </w:t>
      </w:r>
    </w:p>
    <w:p w14:paraId="04A94E0E" w14:textId="2A95DA68" w:rsidR="00F66A58" w:rsidRPr="00F66A58" w:rsidRDefault="00F66A58" w:rsidP="00F66A58">
      <w:pPr>
        <w:spacing w:line="360" w:lineRule="auto"/>
        <w:rPr>
          <w:rFonts w:ascii="Times New Roman" w:hAnsi="Times New Roman" w:cs="Times New Roman"/>
          <w:sz w:val="24"/>
          <w:szCs w:val="24"/>
        </w:rPr>
      </w:pPr>
      <w:r w:rsidRPr="0065151E">
        <w:rPr>
          <w:rFonts w:ascii="Times New Roman" w:hAnsi="Times New Roman" w:cs="Times New Roman"/>
          <w:sz w:val="24"/>
          <w:szCs w:val="24"/>
        </w:rPr>
        <w:t xml:space="preserve">Producers being more informed about their risk management program options is mutually beneficial to producers and </w:t>
      </w:r>
      <w:r w:rsidR="009F797A" w:rsidRPr="0065151E">
        <w:rPr>
          <w:rFonts w:ascii="Times New Roman" w:hAnsi="Times New Roman" w:cs="Times New Roman"/>
          <w:sz w:val="24"/>
          <w:szCs w:val="24"/>
        </w:rPr>
        <w:t>consumers</w:t>
      </w:r>
      <w:r w:rsidR="009F797A">
        <w:rPr>
          <w:rFonts w:ascii="Times New Roman" w:hAnsi="Times New Roman" w:cs="Times New Roman"/>
          <w:sz w:val="24"/>
          <w:szCs w:val="24"/>
        </w:rPr>
        <w:t xml:space="preserve"> and</w:t>
      </w:r>
      <w:r>
        <w:rPr>
          <w:rFonts w:ascii="Times New Roman" w:hAnsi="Times New Roman" w:cs="Times New Roman"/>
          <w:sz w:val="24"/>
          <w:szCs w:val="24"/>
        </w:rPr>
        <w:t xml:space="preserve"> results in both more sustainable business and a more sustainable food system. There are no immediate pitfalls to this work.</w:t>
      </w:r>
    </w:p>
    <w:p w14:paraId="0B103E1F" w14:textId="77777777" w:rsidR="00B60104" w:rsidRDefault="00B60104" w:rsidP="0007143F">
      <w:pPr>
        <w:spacing w:line="360" w:lineRule="auto"/>
        <w:rPr>
          <w:rFonts w:ascii="Times New Roman" w:hAnsi="Times New Roman" w:cs="Times New Roman"/>
          <w:sz w:val="24"/>
          <w:szCs w:val="24"/>
        </w:rPr>
      </w:pPr>
    </w:p>
    <w:p w14:paraId="72844079" w14:textId="77777777" w:rsidR="00B60104" w:rsidRPr="0007143F" w:rsidRDefault="00B60104" w:rsidP="0007143F">
      <w:pPr>
        <w:spacing w:line="360" w:lineRule="auto"/>
        <w:rPr>
          <w:rFonts w:ascii="Times New Roman" w:hAnsi="Times New Roman" w:cs="Times New Roman"/>
          <w:sz w:val="24"/>
          <w:szCs w:val="24"/>
        </w:rPr>
      </w:pPr>
    </w:p>
    <w:sectPr w:rsidR="00B60104" w:rsidRPr="0007143F" w:rsidSect="0063006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aren Cooper" w:date="2024-07-19T13:16:00Z" w:initials="KC">
    <w:p w14:paraId="6AB59982" w14:textId="77777777" w:rsidR="00C15357" w:rsidRDefault="00C15357" w:rsidP="00C15357">
      <w:r>
        <w:rPr>
          <w:rStyle w:val="CommentReference"/>
        </w:rPr>
        <w:annotationRef/>
      </w:r>
      <w:r>
        <w:rPr>
          <w:color w:val="000000"/>
          <w:sz w:val="20"/>
          <w:szCs w:val="20"/>
        </w:rPr>
        <w:t>Do you need to define specialty corp or is that understood?</w:t>
      </w:r>
    </w:p>
  </w:comment>
  <w:comment w:id="2" w:author="Karen Cooper" w:date="2024-07-19T13:23:00Z" w:initials="KC">
    <w:p w14:paraId="0AADCAB4" w14:textId="77777777" w:rsidR="003D5349" w:rsidRDefault="003D5349" w:rsidP="003D5349">
      <w:r>
        <w:rPr>
          <w:rStyle w:val="CommentReference"/>
        </w:rPr>
        <w:annotationRef/>
      </w:r>
      <w:r>
        <w:rPr>
          <w:sz w:val="20"/>
          <w:szCs w:val="20"/>
        </w:rPr>
        <w:t>should this be FOR or TO healthy and resilient communities?</w:t>
      </w:r>
    </w:p>
  </w:comment>
  <w:comment w:id="4" w:author="Courtney Cooper" w:date="2024-07-09T15:03:00Z" w:initials="CC">
    <w:p w14:paraId="0CFD8BBD" w14:textId="45923756" w:rsidR="00983860" w:rsidRDefault="00983860" w:rsidP="00983860">
      <w:r>
        <w:rPr>
          <w:rStyle w:val="CommentReference"/>
        </w:rPr>
        <w:annotationRef/>
      </w:r>
      <w:r>
        <w:rPr>
          <w:color w:val="000000"/>
          <w:sz w:val="20"/>
          <w:szCs w:val="20"/>
        </w:rPr>
        <w:t>placeholder- THIS MAP NEEDS RIVERS REMOVED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B59982" w15:done="0"/>
  <w15:commentEx w15:paraId="0AADCAB4" w15:done="0"/>
  <w15:commentEx w15:paraId="0CFD8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EEDD30" w16cex:dateUtc="2024-07-19T18:16:00Z"/>
  <w16cex:commentExtensible w16cex:durableId="7E0371E7" w16cex:dateUtc="2024-07-19T18:23:00Z"/>
  <w16cex:commentExtensible w16cex:durableId="70271F85" w16cex:dateUtc="2024-07-09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B59982" w16cid:durableId="4BEEDD30"/>
  <w16cid:commentId w16cid:paraId="0AADCAB4" w16cid:durableId="7E0371E7"/>
  <w16cid:commentId w16cid:paraId="0CFD8BBD" w16cid:durableId="70271F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05985"/>
    <w:multiLevelType w:val="hybridMultilevel"/>
    <w:tmpl w:val="F77A9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C1C72"/>
    <w:multiLevelType w:val="hybridMultilevel"/>
    <w:tmpl w:val="F484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A44D0"/>
    <w:multiLevelType w:val="hybridMultilevel"/>
    <w:tmpl w:val="406CD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80603"/>
    <w:multiLevelType w:val="hybridMultilevel"/>
    <w:tmpl w:val="C552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93D34"/>
    <w:multiLevelType w:val="hybridMultilevel"/>
    <w:tmpl w:val="7FC0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015D7"/>
    <w:multiLevelType w:val="hybridMultilevel"/>
    <w:tmpl w:val="DFA2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529350">
    <w:abstractNumId w:val="5"/>
  </w:num>
  <w:num w:numId="2" w16cid:durableId="1106848438">
    <w:abstractNumId w:val="2"/>
  </w:num>
  <w:num w:numId="3" w16cid:durableId="1468282610">
    <w:abstractNumId w:val="0"/>
  </w:num>
  <w:num w:numId="4" w16cid:durableId="162622110">
    <w:abstractNumId w:val="3"/>
  </w:num>
  <w:num w:numId="5" w16cid:durableId="921717459">
    <w:abstractNumId w:val="4"/>
  </w:num>
  <w:num w:numId="6" w16cid:durableId="1107579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en Cooper">
    <w15:presenceInfo w15:providerId="AD" w15:userId="S::karen@themodernquiltguild.com::22edbfc8-16af-4512-9f22-31d7569f306e"/>
  </w15:person>
  <w15:person w15:author="Courtney Cooper">
    <w15:presenceInfo w15:providerId="AD" w15:userId="S::cfcooper@uark.edu::218f4877-0d0b-4b64-9ae2-e7f1f36e2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D4"/>
    <w:rsid w:val="00002CCD"/>
    <w:rsid w:val="00006602"/>
    <w:rsid w:val="00014817"/>
    <w:rsid w:val="00024C80"/>
    <w:rsid w:val="00025473"/>
    <w:rsid w:val="00026AD0"/>
    <w:rsid w:val="00026C0E"/>
    <w:rsid w:val="0003382F"/>
    <w:rsid w:val="00033C4F"/>
    <w:rsid w:val="00035FAF"/>
    <w:rsid w:val="00037764"/>
    <w:rsid w:val="00041B57"/>
    <w:rsid w:val="00041E57"/>
    <w:rsid w:val="00044370"/>
    <w:rsid w:val="0005248B"/>
    <w:rsid w:val="00052823"/>
    <w:rsid w:val="000536D4"/>
    <w:rsid w:val="00060F3B"/>
    <w:rsid w:val="00067A1A"/>
    <w:rsid w:val="0007143F"/>
    <w:rsid w:val="00074FFE"/>
    <w:rsid w:val="000761BE"/>
    <w:rsid w:val="00077F34"/>
    <w:rsid w:val="00092C72"/>
    <w:rsid w:val="000A0C3A"/>
    <w:rsid w:val="000A1F54"/>
    <w:rsid w:val="000B2285"/>
    <w:rsid w:val="000B707D"/>
    <w:rsid w:val="000C413B"/>
    <w:rsid w:val="000C4481"/>
    <w:rsid w:val="000D6B2D"/>
    <w:rsid w:val="00120EE7"/>
    <w:rsid w:val="001213F7"/>
    <w:rsid w:val="00130FC4"/>
    <w:rsid w:val="00150DAB"/>
    <w:rsid w:val="00152ACC"/>
    <w:rsid w:val="00153627"/>
    <w:rsid w:val="00160B63"/>
    <w:rsid w:val="00161536"/>
    <w:rsid w:val="00165753"/>
    <w:rsid w:val="001742EF"/>
    <w:rsid w:val="00175F0A"/>
    <w:rsid w:val="0018041C"/>
    <w:rsid w:val="00186731"/>
    <w:rsid w:val="00197621"/>
    <w:rsid w:val="001C6D1C"/>
    <w:rsid w:val="001D79AE"/>
    <w:rsid w:val="001E5725"/>
    <w:rsid w:val="001E727A"/>
    <w:rsid w:val="001F1288"/>
    <w:rsid w:val="001F6038"/>
    <w:rsid w:val="001F784B"/>
    <w:rsid w:val="00205452"/>
    <w:rsid w:val="002059DA"/>
    <w:rsid w:val="002068B6"/>
    <w:rsid w:val="00222767"/>
    <w:rsid w:val="00236901"/>
    <w:rsid w:val="00237355"/>
    <w:rsid w:val="002429A2"/>
    <w:rsid w:val="00255B1D"/>
    <w:rsid w:val="00260CF9"/>
    <w:rsid w:val="00264850"/>
    <w:rsid w:val="002739A2"/>
    <w:rsid w:val="00273CE2"/>
    <w:rsid w:val="00277900"/>
    <w:rsid w:val="002827BB"/>
    <w:rsid w:val="00284D4F"/>
    <w:rsid w:val="002A5073"/>
    <w:rsid w:val="002A646B"/>
    <w:rsid w:val="002B1A85"/>
    <w:rsid w:val="002B2C5D"/>
    <w:rsid w:val="002B661B"/>
    <w:rsid w:val="002C5EB0"/>
    <w:rsid w:val="002D25A7"/>
    <w:rsid w:val="002D7421"/>
    <w:rsid w:val="002D7A79"/>
    <w:rsid w:val="002E35BF"/>
    <w:rsid w:val="002E4D70"/>
    <w:rsid w:val="002E582C"/>
    <w:rsid w:val="002E73A5"/>
    <w:rsid w:val="002E7BA0"/>
    <w:rsid w:val="002F272D"/>
    <w:rsid w:val="002F3726"/>
    <w:rsid w:val="002F5754"/>
    <w:rsid w:val="00334D0B"/>
    <w:rsid w:val="00356B74"/>
    <w:rsid w:val="00367E5A"/>
    <w:rsid w:val="003715C6"/>
    <w:rsid w:val="00374653"/>
    <w:rsid w:val="003859AD"/>
    <w:rsid w:val="0039129C"/>
    <w:rsid w:val="00397E38"/>
    <w:rsid w:val="003A149F"/>
    <w:rsid w:val="003B6056"/>
    <w:rsid w:val="003B61D0"/>
    <w:rsid w:val="003C51EF"/>
    <w:rsid w:val="003D0754"/>
    <w:rsid w:val="003D480C"/>
    <w:rsid w:val="003D5349"/>
    <w:rsid w:val="003D731B"/>
    <w:rsid w:val="003E1E3B"/>
    <w:rsid w:val="003E3310"/>
    <w:rsid w:val="003E65FC"/>
    <w:rsid w:val="003F48E0"/>
    <w:rsid w:val="00402C9E"/>
    <w:rsid w:val="004044BA"/>
    <w:rsid w:val="00405845"/>
    <w:rsid w:val="00406622"/>
    <w:rsid w:val="00412BD6"/>
    <w:rsid w:val="004138EA"/>
    <w:rsid w:val="00415D89"/>
    <w:rsid w:val="00427A7A"/>
    <w:rsid w:val="00432061"/>
    <w:rsid w:val="004406E4"/>
    <w:rsid w:val="00447C90"/>
    <w:rsid w:val="0045547F"/>
    <w:rsid w:val="00457C49"/>
    <w:rsid w:val="0046569D"/>
    <w:rsid w:val="004705F6"/>
    <w:rsid w:val="004805A1"/>
    <w:rsid w:val="0048650E"/>
    <w:rsid w:val="00494AEA"/>
    <w:rsid w:val="004A2503"/>
    <w:rsid w:val="004A6717"/>
    <w:rsid w:val="004C1803"/>
    <w:rsid w:val="004D2B06"/>
    <w:rsid w:val="004E359A"/>
    <w:rsid w:val="004E3748"/>
    <w:rsid w:val="004E4E5E"/>
    <w:rsid w:val="004E52AF"/>
    <w:rsid w:val="004E63C3"/>
    <w:rsid w:val="004E709C"/>
    <w:rsid w:val="004E70C6"/>
    <w:rsid w:val="004F2C9B"/>
    <w:rsid w:val="0050495B"/>
    <w:rsid w:val="00510385"/>
    <w:rsid w:val="00511886"/>
    <w:rsid w:val="0051468C"/>
    <w:rsid w:val="00514D9B"/>
    <w:rsid w:val="00516399"/>
    <w:rsid w:val="00525C6A"/>
    <w:rsid w:val="00527EDF"/>
    <w:rsid w:val="00543DA2"/>
    <w:rsid w:val="0056014D"/>
    <w:rsid w:val="0056550D"/>
    <w:rsid w:val="00565E4F"/>
    <w:rsid w:val="00567F34"/>
    <w:rsid w:val="00570AB3"/>
    <w:rsid w:val="00572676"/>
    <w:rsid w:val="0058063C"/>
    <w:rsid w:val="00582CCD"/>
    <w:rsid w:val="00594347"/>
    <w:rsid w:val="00595B15"/>
    <w:rsid w:val="005A6F6E"/>
    <w:rsid w:val="005B33A3"/>
    <w:rsid w:val="005C4BE2"/>
    <w:rsid w:val="005D3CBB"/>
    <w:rsid w:val="005D5424"/>
    <w:rsid w:val="005D5D58"/>
    <w:rsid w:val="005E13E6"/>
    <w:rsid w:val="005E27DB"/>
    <w:rsid w:val="005E7DAF"/>
    <w:rsid w:val="0060306A"/>
    <w:rsid w:val="00606F94"/>
    <w:rsid w:val="00607C26"/>
    <w:rsid w:val="00620448"/>
    <w:rsid w:val="0062436A"/>
    <w:rsid w:val="00630064"/>
    <w:rsid w:val="006321B1"/>
    <w:rsid w:val="00636DDF"/>
    <w:rsid w:val="00642E06"/>
    <w:rsid w:val="0065151E"/>
    <w:rsid w:val="0065612A"/>
    <w:rsid w:val="006568EF"/>
    <w:rsid w:val="00676101"/>
    <w:rsid w:val="00680C4E"/>
    <w:rsid w:val="006938AA"/>
    <w:rsid w:val="00693A0F"/>
    <w:rsid w:val="00694E22"/>
    <w:rsid w:val="00695B55"/>
    <w:rsid w:val="006A4498"/>
    <w:rsid w:val="006A7872"/>
    <w:rsid w:val="006B2542"/>
    <w:rsid w:val="006D6BEE"/>
    <w:rsid w:val="006F5602"/>
    <w:rsid w:val="007029CC"/>
    <w:rsid w:val="007042D1"/>
    <w:rsid w:val="00713734"/>
    <w:rsid w:val="007159FB"/>
    <w:rsid w:val="0071751C"/>
    <w:rsid w:val="00724E5A"/>
    <w:rsid w:val="0072635B"/>
    <w:rsid w:val="007300EA"/>
    <w:rsid w:val="007438EE"/>
    <w:rsid w:val="00745E68"/>
    <w:rsid w:val="00753400"/>
    <w:rsid w:val="00755060"/>
    <w:rsid w:val="00755D89"/>
    <w:rsid w:val="007665FA"/>
    <w:rsid w:val="00767D28"/>
    <w:rsid w:val="00776A5D"/>
    <w:rsid w:val="0077767E"/>
    <w:rsid w:val="00784535"/>
    <w:rsid w:val="007874A7"/>
    <w:rsid w:val="0079493F"/>
    <w:rsid w:val="00795418"/>
    <w:rsid w:val="007A113D"/>
    <w:rsid w:val="007A62E8"/>
    <w:rsid w:val="007B1A70"/>
    <w:rsid w:val="007C57F8"/>
    <w:rsid w:val="007D67B2"/>
    <w:rsid w:val="007D69A7"/>
    <w:rsid w:val="007E128B"/>
    <w:rsid w:val="007E1712"/>
    <w:rsid w:val="007F11A6"/>
    <w:rsid w:val="007F258B"/>
    <w:rsid w:val="008046D3"/>
    <w:rsid w:val="00804855"/>
    <w:rsid w:val="00812B67"/>
    <w:rsid w:val="00825066"/>
    <w:rsid w:val="008274E0"/>
    <w:rsid w:val="00834DCB"/>
    <w:rsid w:val="00851E90"/>
    <w:rsid w:val="00854586"/>
    <w:rsid w:val="00861875"/>
    <w:rsid w:val="008709E6"/>
    <w:rsid w:val="008775E3"/>
    <w:rsid w:val="008814C6"/>
    <w:rsid w:val="00881AFC"/>
    <w:rsid w:val="00894761"/>
    <w:rsid w:val="008A7AEA"/>
    <w:rsid w:val="008B0252"/>
    <w:rsid w:val="008B4E17"/>
    <w:rsid w:val="008B6DB6"/>
    <w:rsid w:val="008B7754"/>
    <w:rsid w:val="008C27D6"/>
    <w:rsid w:val="008E5926"/>
    <w:rsid w:val="008E5B70"/>
    <w:rsid w:val="008F581A"/>
    <w:rsid w:val="009046E6"/>
    <w:rsid w:val="00904737"/>
    <w:rsid w:val="00922262"/>
    <w:rsid w:val="009239B8"/>
    <w:rsid w:val="00927961"/>
    <w:rsid w:val="0093224C"/>
    <w:rsid w:val="00932CFF"/>
    <w:rsid w:val="009369BF"/>
    <w:rsid w:val="0094065B"/>
    <w:rsid w:val="00943457"/>
    <w:rsid w:val="00944FC9"/>
    <w:rsid w:val="00952E10"/>
    <w:rsid w:val="00954404"/>
    <w:rsid w:val="009617F3"/>
    <w:rsid w:val="00962131"/>
    <w:rsid w:val="009643A3"/>
    <w:rsid w:val="00970EB0"/>
    <w:rsid w:val="0097296E"/>
    <w:rsid w:val="00977D10"/>
    <w:rsid w:val="00983860"/>
    <w:rsid w:val="00992A7E"/>
    <w:rsid w:val="00995DB5"/>
    <w:rsid w:val="009A2D74"/>
    <w:rsid w:val="009B6FB4"/>
    <w:rsid w:val="009C0C31"/>
    <w:rsid w:val="009C25E6"/>
    <w:rsid w:val="009D2CAA"/>
    <w:rsid w:val="009D77DF"/>
    <w:rsid w:val="009E448A"/>
    <w:rsid w:val="009F149D"/>
    <w:rsid w:val="009F3CAD"/>
    <w:rsid w:val="009F402A"/>
    <w:rsid w:val="009F797A"/>
    <w:rsid w:val="00A2213E"/>
    <w:rsid w:val="00A22BEF"/>
    <w:rsid w:val="00A32657"/>
    <w:rsid w:val="00A34846"/>
    <w:rsid w:val="00A57317"/>
    <w:rsid w:val="00A63B6B"/>
    <w:rsid w:val="00A65A63"/>
    <w:rsid w:val="00A70DE1"/>
    <w:rsid w:val="00A81823"/>
    <w:rsid w:val="00A858F1"/>
    <w:rsid w:val="00A86487"/>
    <w:rsid w:val="00A90532"/>
    <w:rsid w:val="00A9177A"/>
    <w:rsid w:val="00A91A37"/>
    <w:rsid w:val="00A95F05"/>
    <w:rsid w:val="00A95F29"/>
    <w:rsid w:val="00AA4895"/>
    <w:rsid w:val="00AA53E1"/>
    <w:rsid w:val="00AB118E"/>
    <w:rsid w:val="00AB1FE3"/>
    <w:rsid w:val="00AB62C5"/>
    <w:rsid w:val="00AC4C7B"/>
    <w:rsid w:val="00AC594D"/>
    <w:rsid w:val="00AC7BAA"/>
    <w:rsid w:val="00AE214C"/>
    <w:rsid w:val="00AE5512"/>
    <w:rsid w:val="00AF1A15"/>
    <w:rsid w:val="00B071FE"/>
    <w:rsid w:val="00B1147D"/>
    <w:rsid w:val="00B11C40"/>
    <w:rsid w:val="00B12D4F"/>
    <w:rsid w:val="00B3047E"/>
    <w:rsid w:val="00B32226"/>
    <w:rsid w:val="00B33C24"/>
    <w:rsid w:val="00B36DB7"/>
    <w:rsid w:val="00B370E5"/>
    <w:rsid w:val="00B527EE"/>
    <w:rsid w:val="00B57990"/>
    <w:rsid w:val="00B60104"/>
    <w:rsid w:val="00B626E1"/>
    <w:rsid w:val="00B655E7"/>
    <w:rsid w:val="00B7045B"/>
    <w:rsid w:val="00B71ECE"/>
    <w:rsid w:val="00B72EBA"/>
    <w:rsid w:val="00B7465E"/>
    <w:rsid w:val="00B81000"/>
    <w:rsid w:val="00B85DEF"/>
    <w:rsid w:val="00B86977"/>
    <w:rsid w:val="00B95599"/>
    <w:rsid w:val="00BA39CE"/>
    <w:rsid w:val="00BB1601"/>
    <w:rsid w:val="00BB4CBF"/>
    <w:rsid w:val="00BB6121"/>
    <w:rsid w:val="00BB635E"/>
    <w:rsid w:val="00BB6DF0"/>
    <w:rsid w:val="00BB7A4D"/>
    <w:rsid w:val="00BC2669"/>
    <w:rsid w:val="00BC5DA0"/>
    <w:rsid w:val="00BC732F"/>
    <w:rsid w:val="00BE1EDB"/>
    <w:rsid w:val="00BF1B74"/>
    <w:rsid w:val="00BF59BE"/>
    <w:rsid w:val="00C00F31"/>
    <w:rsid w:val="00C0691B"/>
    <w:rsid w:val="00C15357"/>
    <w:rsid w:val="00C20B22"/>
    <w:rsid w:val="00C22797"/>
    <w:rsid w:val="00C22852"/>
    <w:rsid w:val="00C250C5"/>
    <w:rsid w:val="00C317C8"/>
    <w:rsid w:val="00C40F64"/>
    <w:rsid w:val="00C4127D"/>
    <w:rsid w:val="00C45A7B"/>
    <w:rsid w:val="00C5165F"/>
    <w:rsid w:val="00C571BF"/>
    <w:rsid w:val="00C60B4F"/>
    <w:rsid w:val="00C63B14"/>
    <w:rsid w:val="00C64F62"/>
    <w:rsid w:val="00C664F7"/>
    <w:rsid w:val="00C71054"/>
    <w:rsid w:val="00C71BD6"/>
    <w:rsid w:val="00C7236B"/>
    <w:rsid w:val="00C74403"/>
    <w:rsid w:val="00C7572E"/>
    <w:rsid w:val="00C80BAA"/>
    <w:rsid w:val="00C81067"/>
    <w:rsid w:val="00C81120"/>
    <w:rsid w:val="00C93183"/>
    <w:rsid w:val="00C95E08"/>
    <w:rsid w:val="00C95F60"/>
    <w:rsid w:val="00CA13FE"/>
    <w:rsid w:val="00CA6DBB"/>
    <w:rsid w:val="00CB29F5"/>
    <w:rsid w:val="00CB3391"/>
    <w:rsid w:val="00CB531A"/>
    <w:rsid w:val="00CB53A0"/>
    <w:rsid w:val="00CC0F36"/>
    <w:rsid w:val="00CC36EA"/>
    <w:rsid w:val="00CC4D7B"/>
    <w:rsid w:val="00CD0895"/>
    <w:rsid w:val="00CD7EF5"/>
    <w:rsid w:val="00CE08FB"/>
    <w:rsid w:val="00CE0DFB"/>
    <w:rsid w:val="00CE3D62"/>
    <w:rsid w:val="00CE47F1"/>
    <w:rsid w:val="00CE6445"/>
    <w:rsid w:val="00CF098A"/>
    <w:rsid w:val="00CF61E4"/>
    <w:rsid w:val="00D01BC3"/>
    <w:rsid w:val="00D02325"/>
    <w:rsid w:val="00D0495F"/>
    <w:rsid w:val="00D13043"/>
    <w:rsid w:val="00D17B34"/>
    <w:rsid w:val="00D20C6C"/>
    <w:rsid w:val="00D2626B"/>
    <w:rsid w:val="00D328E1"/>
    <w:rsid w:val="00D3611E"/>
    <w:rsid w:val="00D42CFF"/>
    <w:rsid w:val="00D5564A"/>
    <w:rsid w:val="00D579B5"/>
    <w:rsid w:val="00D66619"/>
    <w:rsid w:val="00D700F9"/>
    <w:rsid w:val="00D77D6E"/>
    <w:rsid w:val="00D77DF2"/>
    <w:rsid w:val="00D82587"/>
    <w:rsid w:val="00D85CE2"/>
    <w:rsid w:val="00D87093"/>
    <w:rsid w:val="00D90EEA"/>
    <w:rsid w:val="00DA09C6"/>
    <w:rsid w:val="00DA129A"/>
    <w:rsid w:val="00DA5362"/>
    <w:rsid w:val="00DB763B"/>
    <w:rsid w:val="00DC12D7"/>
    <w:rsid w:val="00DC37C8"/>
    <w:rsid w:val="00DD77A7"/>
    <w:rsid w:val="00DE1856"/>
    <w:rsid w:val="00DE6721"/>
    <w:rsid w:val="00DE6E10"/>
    <w:rsid w:val="00DE74B6"/>
    <w:rsid w:val="00DF055B"/>
    <w:rsid w:val="00DF417E"/>
    <w:rsid w:val="00E032AF"/>
    <w:rsid w:val="00E11E49"/>
    <w:rsid w:val="00E122C8"/>
    <w:rsid w:val="00E21757"/>
    <w:rsid w:val="00E25732"/>
    <w:rsid w:val="00E25A9B"/>
    <w:rsid w:val="00E332F3"/>
    <w:rsid w:val="00E33BE5"/>
    <w:rsid w:val="00E40FBC"/>
    <w:rsid w:val="00E53164"/>
    <w:rsid w:val="00E55281"/>
    <w:rsid w:val="00E606B3"/>
    <w:rsid w:val="00E62658"/>
    <w:rsid w:val="00E66072"/>
    <w:rsid w:val="00E91ABE"/>
    <w:rsid w:val="00EA48B9"/>
    <w:rsid w:val="00EA604B"/>
    <w:rsid w:val="00EA617C"/>
    <w:rsid w:val="00EB03D8"/>
    <w:rsid w:val="00EB6EB2"/>
    <w:rsid w:val="00EC2D8E"/>
    <w:rsid w:val="00EC71D6"/>
    <w:rsid w:val="00ED6905"/>
    <w:rsid w:val="00ED7EA0"/>
    <w:rsid w:val="00EE5BDC"/>
    <w:rsid w:val="00EE6DC9"/>
    <w:rsid w:val="00EF2B2F"/>
    <w:rsid w:val="00EF74CA"/>
    <w:rsid w:val="00F01991"/>
    <w:rsid w:val="00F0647C"/>
    <w:rsid w:val="00F12552"/>
    <w:rsid w:val="00F152CB"/>
    <w:rsid w:val="00F23593"/>
    <w:rsid w:val="00F25812"/>
    <w:rsid w:val="00F42D9B"/>
    <w:rsid w:val="00F4626F"/>
    <w:rsid w:val="00F53B47"/>
    <w:rsid w:val="00F6287A"/>
    <w:rsid w:val="00F66086"/>
    <w:rsid w:val="00F66A58"/>
    <w:rsid w:val="00F713A8"/>
    <w:rsid w:val="00F96B62"/>
    <w:rsid w:val="00F97989"/>
    <w:rsid w:val="00FA15E9"/>
    <w:rsid w:val="00FB7B90"/>
    <w:rsid w:val="00FC0F9C"/>
    <w:rsid w:val="00FC5EB4"/>
    <w:rsid w:val="00FD03C7"/>
    <w:rsid w:val="00FD585A"/>
    <w:rsid w:val="00FE6DF5"/>
    <w:rsid w:val="00FF1007"/>
    <w:rsid w:val="00FF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1E9B0"/>
  <w15:chartTrackingRefBased/>
  <w15:docId w15:val="{78DEB40C-9ECD-4AA9-ACF2-A3D4E5EE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6D4"/>
    <w:pPr>
      <w:spacing w:line="259" w:lineRule="auto"/>
    </w:pPr>
    <w:rPr>
      <w:sz w:val="22"/>
      <w:szCs w:val="22"/>
    </w:rPr>
  </w:style>
  <w:style w:type="paragraph" w:styleId="Heading1">
    <w:name w:val="heading 1"/>
    <w:basedOn w:val="Normal"/>
    <w:next w:val="Normal"/>
    <w:link w:val="Heading1Char"/>
    <w:uiPriority w:val="9"/>
    <w:qFormat/>
    <w:rsid w:val="0005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6D4"/>
    <w:rPr>
      <w:rFonts w:eastAsiaTheme="majorEastAsia" w:cstheme="majorBidi"/>
      <w:color w:val="272727" w:themeColor="text1" w:themeTint="D8"/>
    </w:rPr>
  </w:style>
  <w:style w:type="paragraph" w:styleId="Title">
    <w:name w:val="Title"/>
    <w:basedOn w:val="Normal"/>
    <w:next w:val="Normal"/>
    <w:link w:val="TitleChar"/>
    <w:uiPriority w:val="10"/>
    <w:qFormat/>
    <w:rsid w:val="0005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6D4"/>
    <w:pPr>
      <w:spacing w:before="160"/>
      <w:jc w:val="center"/>
    </w:pPr>
    <w:rPr>
      <w:i/>
      <w:iCs/>
      <w:color w:val="404040" w:themeColor="text1" w:themeTint="BF"/>
    </w:rPr>
  </w:style>
  <w:style w:type="character" w:customStyle="1" w:styleId="QuoteChar">
    <w:name w:val="Quote Char"/>
    <w:basedOn w:val="DefaultParagraphFont"/>
    <w:link w:val="Quote"/>
    <w:uiPriority w:val="29"/>
    <w:rsid w:val="000536D4"/>
    <w:rPr>
      <w:i/>
      <w:iCs/>
      <w:color w:val="404040" w:themeColor="text1" w:themeTint="BF"/>
    </w:rPr>
  </w:style>
  <w:style w:type="paragraph" w:styleId="ListParagraph">
    <w:name w:val="List Paragraph"/>
    <w:basedOn w:val="Normal"/>
    <w:uiPriority w:val="34"/>
    <w:qFormat/>
    <w:rsid w:val="000536D4"/>
    <w:pPr>
      <w:ind w:left="720"/>
      <w:contextualSpacing/>
    </w:pPr>
  </w:style>
  <w:style w:type="character" w:styleId="IntenseEmphasis">
    <w:name w:val="Intense Emphasis"/>
    <w:basedOn w:val="DefaultParagraphFont"/>
    <w:uiPriority w:val="21"/>
    <w:qFormat/>
    <w:rsid w:val="000536D4"/>
    <w:rPr>
      <w:i/>
      <w:iCs/>
      <w:color w:val="0F4761" w:themeColor="accent1" w:themeShade="BF"/>
    </w:rPr>
  </w:style>
  <w:style w:type="paragraph" w:styleId="IntenseQuote">
    <w:name w:val="Intense Quote"/>
    <w:basedOn w:val="Normal"/>
    <w:next w:val="Normal"/>
    <w:link w:val="IntenseQuoteChar"/>
    <w:uiPriority w:val="30"/>
    <w:qFormat/>
    <w:rsid w:val="0005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6D4"/>
    <w:rPr>
      <w:i/>
      <w:iCs/>
      <w:color w:val="0F4761" w:themeColor="accent1" w:themeShade="BF"/>
    </w:rPr>
  </w:style>
  <w:style w:type="character" w:styleId="IntenseReference">
    <w:name w:val="Intense Reference"/>
    <w:basedOn w:val="DefaultParagraphFont"/>
    <w:uiPriority w:val="32"/>
    <w:qFormat/>
    <w:rsid w:val="000536D4"/>
    <w:rPr>
      <w:b/>
      <w:bCs/>
      <w:smallCaps/>
      <w:color w:val="0F4761" w:themeColor="accent1" w:themeShade="BF"/>
      <w:spacing w:val="5"/>
    </w:rPr>
  </w:style>
  <w:style w:type="character" w:customStyle="1" w:styleId="normaltextrun">
    <w:name w:val="normaltextrun"/>
    <w:basedOn w:val="DefaultParagraphFont"/>
    <w:rsid w:val="000536D4"/>
  </w:style>
  <w:style w:type="character" w:customStyle="1" w:styleId="eop">
    <w:name w:val="eop"/>
    <w:basedOn w:val="DefaultParagraphFont"/>
    <w:rsid w:val="000536D4"/>
  </w:style>
  <w:style w:type="paragraph" w:customStyle="1" w:styleId="paragraph">
    <w:name w:val="paragraph"/>
    <w:basedOn w:val="Normal"/>
    <w:rsid w:val="000536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0536D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536D4"/>
    <w:pPr>
      <w:spacing w:after="100"/>
    </w:pPr>
  </w:style>
  <w:style w:type="character" w:styleId="Hyperlink">
    <w:name w:val="Hyperlink"/>
    <w:basedOn w:val="DefaultParagraphFont"/>
    <w:uiPriority w:val="99"/>
    <w:unhideWhenUsed/>
    <w:rsid w:val="000536D4"/>
    <w:rPr>
      <w:color w:val="467886" w:themeColor="hyperlink"/>
      <w:u w:val="single"/>
    </w:rPr>
  </w:style>
  <w:style w:type="paragraph" w:customStyle="1" w:styleId="Style1">
    <w:name w:val="Style1"/>
    <w:basedOn w:val="Heading1"/>
    <w:link w:val="Style1Char"/>
    <w:qFormat/>
    <w:rsid w:val="00237355"/>
    <w:rPr>
      <w:rFonts w:ascii="Palatino Linotype" w:hAnsi="Palatino Linotype" w:cs="Times New Roman"/>
      <w:b/>
      <w:bCs/>
      <w:sz w:val="28"/>
      <w:lang w:val="en"/>
    </w:rPr>
  </w:style>
  <w:style w:type="character" w:customStyle="1" w:styleId="Style1Char">
    <w:name w:val="Style1 Char"/>
    <w:basedOn w:val="Heading1Char"/>
    <w:link w:val="Style1"/>
    <w:rsid w:val="00237355"/>
    <w:rPr>
      <w:rFonts w:ascii="Palatino Linotype" w:eastAsiaTheme="majorEastAsia" w:hAnsi="Palatino Linotype" w:cs="Times New Roman"/>
      <w:b/>
      <w:bCs/>
      <w:color w:val="0F4761" w:themeColor="accent1" w:themeShade="BF"/>
      <w:sz w:val="28"/>
      <w:szCs w:val="40"/>
      <w:lang w:val="en"/>
    </w:rPr>
  </w:style>
  <w:style w:type="character" w:styleId="SubtleEmphasis">
    <w:name w:val="Subtle Emphasis"/>
    <w:basedOn w:val="DefaultParagraphFont"/>
    <w:uiPriority w:val="19"/>
    <w:qFormat/>
    <w:rsid w:val="00DB763B"/>
    <w:rPr>
      <w:i/>
      <w:iCs/>
      <w:color w:val="404040" w:themeColor="text1" w:themeTint="BF"/>
    </w:rPr>
  </w:style>
  <w:style w:type="character" w:styleId="CommentReference">
    <w:name w:val="annotation reference"/>
    <w:basedOn w:val="DefaultParagraphFont"/>
    <w:uiPriority w:val="99"/>
    <w:semiHidden/>
    <w:unhideWhenUsed/>
    <w:rsid w:val="00983860"/>
    <w:rPr>
      <w:sz w:val="16"/>
      <w:szCs w:val="16"/>
    </w:rPr>
  </w:style>
  <w:style w:type="table" w:styleId="TableGrid">
    <w:name w:val="Table Grid"/>
    <w:basedOn w:val="TableNormal"/>
    <w:uiPriority w:val="39"/>
    <w:rsid w:val="0098386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033C4F"/>
    <w:pPr>
      <w:spacing w:line="240" w:lineRule="auto"/>
    </w:pPr>
    <w:rPr>
      <w:sz w:val="20"/>
      <w:szCs w:val="20"/>
    </w:rPr>
  </w:style>
  <w:style w:type="character" w:customStyle="1" w:styleId="CommentTextChar">
    <w:name w:val="Comment Text Char"/>
    <w:basedOn w:val="DefaultParagraphFont"/>
    <w:link w:val="CommentText"/>
    <w:uiPriority w:val="99"/>
    <w:semiHidden/>
    <w:rsid w:val="00033C4F"/>
    <w:rPr>
      <w:sz w:val="20"/>
      <w:szCs w:val="20"/>
    </w:rPr>
  </w:style>
  <w:style w:type="paragraph" w:styleId="Revision">
    <w:name w:val="Revision"/>
    <w:hidden/>
    <w:uiPriority w:val="99"/>
    <w:semiHidden/>
    <w:rsid w:val="00C15357"/>
    <w:pPr>
      <w:spacing w:after="0" w:line="240" w:lineRule="auto"/>
    </w:pPr>
    <w:rPr>
      <w:sz w:val="22"/>
      <w:szCs w:val="22"/>
    </w:rPr>
  </w:style>
  <w:style w:type="paragraph" w:styleId="CommentSubject">
    <w:name w:val="annotation subject"/>
    <w:basedOn w:val="CommentText"/>
    <w:next w:val="CommentText"/>
    <w:link w:val="CommentSubjectChar"/>
    <w:uiPriority w:val="99"/>
    <w:semiHidden/>
    <w:unhideWhenUsed/>
    <w:rsid w:val="00C15357"/>
    <w:rPr>
      <w:b/>
      <w:bCs/>
    </w:rPr>
  </w:style>
  <w:style w:type="character" w:customStyle="1" w:styleId="CommentSubjectChar">
    <w:name w:val="Comment Subject Char"/>
    <w:basedOn w:val="CommentTextChar"/>
    <w:link w:val="CommentSubject"/>
    <w:uiPriority w:val="99"/>
    <w:semiHidden/>
    <w:rsid w:val="00C153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9c742c4-e61c-4fa5-be89-a3cb566a80d1}" enabled="0" method="" siteId="{79c742c4-e61c-4fa5-be89-a3cb566a80d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5129</Words>
  <Characters>28009</Characters>
  <Application>Microsoft Office Word</Application>
  <DocSecurity>0</DocSecurity>
  <Lines>482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Links>
    <vt:vector size="42" baseType="variant">
      <vt:variant>
        <vt:i4>1245245</vt:i4>
      </vt:variant>
      <vt:variant>
        <vt:i4>38</vt:i4>
      </vt:variant>
      <vt:variant>
        <vt:i4>0</vt:i4>
      </vt:variant>
      <vt:variant>
        <vt:i4>5</vt:i4>
      </vt:variant>
      <vt:variant>
        <vt:lpwstr/>
      </vt:variant>
      <vt:variant>
        <vt:lpwstr>_Toc172283624</vt:lpwstr>
      </vt:variant>
      <vt:variant>
        <vt:i4>1245245</vt:i4>
      </vt:variant>
      <vt:variant>
        <vt:i4>32</vt:i4>
      </vt:variant>
      <vt:variant>
        <vt:i4>0</vt:i4>
      </vt:variant>
      <vt:variant>
        <vt:i4>5</vt:i4>
      </vt:variant>
      <vt:variant>
        <vt:lpwstr/>
      </vt:variant>
      <vt:variant>
        <vt:lpwstr>_Toc172283623</vt:lpwstr>
      </vt:variant>
      <vt:variant>
        <vt:i4>1245245</vt:i4>
      </vt:variant>
      <vt:variant>
        <vt:i4>26</vt:i4>
      </vt:variant>
      <vt:variant>
        <vt:i4>0</vt:i4>
      </vt:variant>
      <vt:variant>
        <vt:i4>5</vt:i4>
      </vt:variant>
      <vt:variant>
        <vt:lpwstr/>
      </vt:variant>
      <vt:variant>
        <vt:lpwstr>_Toc172283622</vt:lpwstr>
      </vt:variant>
      <vt:variant>
        <vt:i4>1245245</vt:i4>
      </vt:variant>
      <vt:variant>
        <vt:i4>20</vt:i4>
      </vt:variant>
      <vt:variant>
        <vt:i4>0</vt:i4>
      </vt:variant>
      <vt:variant>
        <vt:i4>5</vt:i4>
      </vt:variant>
      <vt:variant>
        <vt:lpwstr/>
      </vt:variant>
      <vt:variant>
        <vt:lpwstr>_Toc172283621</vt:lpwstr>
      </vt:variant>
      <vt:variant>
        <vt:i4>1245245</vt:i4>
      </vt:variant>
      <vt:variant>
        <vt:i4>14</vt:i4>
      </vt:variant>
      <vt:variant>
        <vt:i4>0</vt:i4>
      </vt:variant>
      <vt:variant>
        <vt:i4>5</vt:i4>
      </vt:variant>
      <vt:variant>
        <vt:lpwstr/>
      </vt:variant>
      <vt:variant>
        <vt:lpwstr>_Toc172283620</vt:lpwstr>
      </vt:variant>
      <vt:variant>
        <vt:i4>1048637</vt:i4>
      </vt:variant>
      <vt:variant>
        <vt:i4>8</vt:i4>
      </vt:variant>
      <vt:variant>
        <vt:i4>0</vt:i4>
      </vt:variant>
      <vt:variant>
        <vt:i4>5</vt:i4>
      </vt:variant>
      <vt:variant>
        <vt:lpwstr/>
      </vt:variant>
      <vt:variant>
        <vt:lpwstr>_Toc172283619</vt:lpwstr>
      </vt:variant>
      <vt:variant>
        <vt:i4>1048637</vt:i4>
      </vt:variant>
      <vt:variant>
        <vt:i4>2</vt:i4>
      </vt:variant>
      <vt:variant>
        <vt:i4>0</vt:i4>
      </vt:variant>
      <vt:variant>
        <vt:i4>5</vt:i4>
      </vt:variant>
      <vt:variant>
        <vt:lpwstr/>
      </vt:variant>
      <vt:variant>
        <vt:lpwstr>_Toc172283618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Cooper</dc:creator>
  <cp:keywords/>
  <dc:description/>
  <cp:lastModifiedBy>Courtney Cooper</cp:lastModifiedBy>
  <cp:revision>2</cp:revision>
  <dcterms:created xsi:type="dcterms:W3CDTF">2024-07-22T17:35:00Z</dcterms:created>
  <dcterms:modified xsi:type="dcterms:W3CDTF">2024-07-22T17:35:00Z</dcterms:modified>
</cp:coreProperties>
</file>