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40" w:before="0"/>
        <w:jc w:val="left"/>
      </w:pPr>
      <w:r>
        <w:rPr>
          <w:rFonts w:ascii="Arial" w:cs="Arial" w:eastAsia="Arial" w:hAnsi="Arial"/>
          <w:b/>
          <w:bCs/>
          <w:caps/>
          <w:color w:val="0F3460"/>
          <w:sz w:val="20"/>
          <w:szCs w:val="20"/>
        </w:rPr>
        <w:t xml:space="preserve">NEX COWORKING</w:t>
      </w:r>
    </w:p>
    <w:p>
      <w:pPr>
        <w:pBdr>
          <w:bottom w:val="single" w:color="0F3460" w:sz="12" w:space="1"/>
        </w:pBdr>
        <w:spacing w:after="80" w:before="0"/>
      </w:pPr>
      <w:r>
        <w:rPr>
          <w:rFonts w:ascii="Arial" w:cs="Arial" w:eastAsia="Arial" w:hAnsi="Arial"/>
          <w:b/>
          <w:bCs/>
          <w:color w:val="1A1A2E"/>
          <w:sz w:val="56"/>
          <w:szCs w:val="56"/>
        </w:rPr>
        <w:t xml:space="preserve">Design Documentation</w:t>
      </w:r>
    </w:p>
    <w:p>
      <w:pPr>
        <w:spacing w:after="0" w:before="60"/>
      </w:pPr>
    </w:p>
    <w:p>
      <w:pPr>
        <w:spacing w:after="40" w:before="0"/>
      </w:pPr>
      <w:r>
        <w:rPr>
          <w:rFonts w:ascii="Arial" w:cs="Arial" w:eastAsia="Arial" w:hAnsi="Arial"/>
          <w:b/>
          <w:bCs/>
          <w:color w:val="0F3460"/>
          <w:sz w:val="36"/>
          <w:szCs w:val="36"/>
        </w:rPr>
        <w:t xml:space="preserve">NEX Reports Automation</w:t>
      </w:r>
    </w:p>
    <w:p>
      <w:pPr>
        <w:spacing w:after="0" w:before="0"/>
      </w:pPr>
      <w:r>
        <w:rPr>
          <w:rFonts w:ascii="Arial" w:cs="Arial" w:eastAsia="Arial" w:hAnsi="Arial"/>
          <w:color w:val="4A5568"/>
          <w:sz w:val="24"/>
          <w:szCs w:val="24"/>
        </w:rPr>
        <w:t xml:space="preserve">Google Ads API Integration  —  Standard Access Request</w:t>
      </w:r>
    </w:p>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A1A2E"/>
                <w:sz w:val="20"/>
                <w:szCs w:val="20"/>
              </w:rPr>
              <w:t xml:space="preserve">Document Version</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A202C"/>
                <w:sz w:val="20"/>
                <w:szCs w:val="20"/>
              </w:rPr>
              <w:t xml:space="preserve">1.0</w:t>
            </w:r>
          </w:p>
        </w:tc>
      </w:tr>
      <w:tr>
        <w:tc>
          <w:tcPr>
            <w:tcW w:type="dxa" w:w="2800"/>
            <w:tcBorders>
              <w:top w:val="single" w:color="CBD5E0" w:sz="1"/>
              <w:left w:val="single" w:color="CBD5E0" w:sz="1"/>
              <w:bottom w:val="single" w:color="CBD5E0" w:sz="1"/>
              <w:right w:val="single" w:color="CBD5E0" w:sz="1"/>
            </w:tcBorders>
            <w:shd w:fill="F7FAFC" w:val="clear"/>
            <w:tcMar>
              <w:top w:type="dxa" w:w="100"/>
              <w:left w:type="dxa" w:w="140"/>
              <w:bottom w:type="dxa" w:w="100"/>
              <w:right w:type="dxa" w:w="140"/>
            </w:tcMar>
          </w:tcPr>
          <w:p>
            <w:r>
              <w:rPr>
                <w:rFonts w:ascii="Arial" w:cs="Arial" w:eastAsia="Arial" w:hAnsi="Arial"/>
                <w:b/>
                <w:bCs/>
                <w:color w:val="1A1A2E"/>
                <w:sz w:val="20"/>
                <w:szCs w:val="20"/>
              </w:rPr>
              <w:t xml:space="preserve">Date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A202C"/>
                <w:sz w:val="20"/>
                <w:szCs w:val="20"/>
              </w:rPr>
              <w:t xml:space="preserve">June 2026</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A1A2E"/>
                <w:sz w:val="20"/>
                <w:szCs w:val="20"/>
              </w:rPr>
              <w:t xml:space="preserve">Author</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A202C"/>
                <w:sz w:val="20"/>
                <w:szCs w:val="20"/>
              </w:rPr>
              <w:t xml:space="preserve">Felipe Moreira</w:t>
            </w:r>
          </w:p>
        </w:tc>
      </w:tr>
      <w:tr>
        <w:tc>
          <w:tcPr>
            <w:tcW w:type="dxa" w:w="2800"/>
            <w:tcBorders>
              <w:top w:val="single" w:color="CBD5E0" w:sz="1"/>
              <w:left w:val="single" w:color="CBD5E0" w:sz="1"/>
              <w:bottom w:val="single" w:color="CBD5E0" w:sz="1"/>
              <w:right w:val="single" w:color="CBD5E0" w:sz="1"/>
            </w:tcBorders>
            <w:shd w:fill="F7FAFC" w:val="clear"/>
            <w:tcMar>
              <w:top w:type="dxa" w:w="100"/>
              <w:left w:type="dxa" w:w="140"/>
              <w:bottom w:type="dxa" w:w="100"/>
              <w:right w:type="dxa" w:w="140"/>
            </w:tcMar>
          </w:tcPr>
          <w:p>
            <w:r>
              <w:rPr>
                <w:rFonts w:ascii="Arial" w:cs="Arial" w:eastAsia="Arial" w:hAnsi="Arial"/>
                <w:b/>
                <w:bCs/>
                <w:color w:val="1A1A2E"/>
                <w:sz w:val="20"/>
                <w:szCs w:val="20"/>
              </w:rPr>
              <w:t xml:space="preserve">Contact</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A202C"/>
                <w:sz w:val="20"/>
                <w:szCs w:val="20"/>
              </w:rPr>
              <w:t xml:space="preserve">cfelipemoreira@gmail.com</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A1A2E"/>
                <w:sz w:val="20"/>
                <w:szCs w:val="20"/>
              </w:rPr>
              <w:t xml:space="preserve">Organization</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A202C"/>
                <w:sz w:val="20"/>
                <w:szCs w:val="20"/>
              </w:rPr>
              <w:t xml:space="preserve">NEX Coworking  (nex.work)</w:t>
            </w:r>
          </w:p>
        </w:tc>
      </w:tr>
      <w:tr>
        <w:tc>
          <w:tcPr>
            <w:tcW w:type="dxa" w:w="2800"/>
            <w:tcBorders>
              <w:top w:val="single" w:color="CBD5E0" w:sz="1"/>
              <w:left w:val="single" w:color="CBD5E0" w:sz="1"/>
              <w:bottom w:val="single" w:color="CBD5E0" w:sz="1"/>
              <w:right w:val="single" w:color="CBD5E0" w:sz="1"/>
            </w:tcBorders>
            <w:shd w:fill="F7FAFC" w:val="clear"/>
            <w:tcMar>
              <w:top w:type="dxa" w:w="100"/>
              <w:left w:type="dxa" w:w="140"/>
              <w:bottom w:type="dxa" w:w="100"/>
              <w:right w:type="dxa" w:w="140"/>
            </w:tcMar>
          </w:tcPr>
          <w:p>
            <w:r>
              <w:rPr>
                <w:rFonts w:ascii="Arial" w:cs="Arial" w:eastAsia="Arial" w:hAnsi="Arial"/>
                <w:b/>
                <w:bCs/>
                <w:color w:val="1A1A2E"/>
                <w:sz w:val="20"/>
                <w:szCs w:val="20"/>
              </w:rPr>
              <w:t xml:space="preserve">Classification</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A202C"/>
                <w:sz w:val="20"/>
                <w:szCs w:val="20"/>
              </w:rPr>
              <w:t xml:space="preserve">Confidential — Internal Use Only</w:t>
            </w:r>
          </w:p>
        </w:tc>
      </w:tr>
    </w:tbl>
    <w:p>
      <w:pPr>
        <w:spacing w:after="0" w:before="800"/>
      </w:pPr>
    </w:p>
    <w:p>
      <w:pPr>
        <w:pBdr>
          <w:bottom w:val="single" w:color="CBD5E0" w:sz="6" w:space="1"/>
        </w:pBdr>
        <w:spacing w:after="160" w:before="160"/>
      </w:pPr>
    </w:p>
    <w:p>
      <w:pPr>
        <w:pBdr>
          <w:bottom w:val="single" w:color="CBD5E0" w:sz="3" w:space="1"/>
        </w:pBdr>
        <w:spacing w:after="80" w:before="320"/>
      </w:pPr>
      <w:r>
        <w:rPr>
          <w:rFonts w:ascii="Arial" w:cs="Arial" w:eastAsia="Arial" w:hAnsi="Arial"/>
          <w:b/>
          <w:bCs/>
          <w:color w:val="0F3460"/>
          <w:sz w:val="28"/>
          <w:szCs w:val="28"/>
        </w:rPr>
        <w:t xml:space="preserve">1.  </w:t>
      </w:r>
      <w:r>
        <w:rPr>
          <w:rFonts w:ascii="Arial" w:cs="Arial" w:eastAsia="Arial" w:hAnsi="Arial"/>
          <w:b/>
          <w:bCs/>
          <w:color w:val="1A1A2E"/>
          <w:sz w:val="28"/>
          <w:szCs w:val="28"/>
        </w:rPr>
        <w:t xml:space="preserve">Tool Overview</w:t>
      </w:r>
    </w:p>
    <w:p>
      <w:pPr>
        <w:spacing w:after="0" w:before="80"/>
      </w:pPr>
    </w:p>
    <w:p>
      <w:pPr>
        <w:spacing w:after="80" w:before="80"/>
      </w:pPr>
      <w:r>
        <w:rPr>
          <w:rFonts w:ascii="Arial" w:cs="Arial" w:eastAsia="Arial" w:hAnsi="Arial"/>
          <w:color w:val="1A202C"/>
          <w:sz w:val="22"/>
          <w:szCs w:val="22"/>
        </w:rPr>
        <w:t xml:space="preserve">NEX Reports Automation is an internal automated reporting system developed exclusively for NEX Coworking, a coworking space brand operating in Brazil (nex.work). The tool integrates with multiple digital marketing platforms to collect performance data, generate structured analytical reports, and deliver them automatically to the internal marketing team via email on a daily and weekly schedule.</w:t>
      </w:r>
    </w:p>
    <w:p>
      <w:pPr>
        <w:spacing w:after="0" w:before="80"/>
      </w:pPr>
    </w:p>
    <w:p>
      <w:pPr>
        <w:spacing w:after="80" w:before="80"/>
      </w:pPr>
      <w:r>
        <w:rPr>
          <w:rFonts w:ascii="Arial" w:cs="Arial" w:eastAsia="Arial" w:hAnsi="Arial"/>
          <w:color w:val="4A5568"/>
          <w:sz w:val="22"/>
          <w:szCs w:val="22"/>
        </w:rPr>
        <w:t xml:space="preserve">The system connects to the following data sources:</w:t>
      </w:r>
    </w:p>
    <w:p>
      <w:pPr>
        <w:spacing w:after="0" w:before="40"/>
      </w:pPr>
    </w:p>
    <w:p>
      <w:pPr>
        <w:pStyle w:val="ListParagraph"/>
        <w:numPr>
          <w:ilvl w:val="0"/>
          <w:numId w:val="2"/>
        </w:numPr>
        <w:spacing w:after="60" w:before="60"/>
      </w:pPr>
      <w:r>
        <w:rPr>
          <w:rFonts w:ascii="Arial" w:cs="Arial" w:eastAsia="Arial" w:hAnsi="Arial"/>
          <w:color w:val="1A202C"/>
          <w:sz w:val="22"/>
          <w:szCs w:val="22"/>
        </w:rPr>
        <w:t xml:space="preserve">Google Ads — NEX.WORK account (Customer ID: 977-263-6001)</w:t>
      </w:r>
    </w:p>
    <w:p>
      <w:pPr>
        <w:pStyle w:val="ListParagraph"/>
        <w:numPr>
          <w:ilvl w:val="0"/>
          <w:numId w:val="2"/>
        </w:numPr>
        <w:spacing w:after="60" w:before="60"/>
      </w:pPr>
      <w:r>
        <w:rPr>
          <w:rFonts w:ascii="Arial" w:cs="Arial" w:eastAsia="Arial" w:hAnsi="Arial"/>
          <w:color w:val="1A202C"/>
          <w:sz w:val="22"/>
          <w:szCs w:val="22"/>
        </w:rPr>
        <w:t xml:space="preserve">Google Analytics 4 — website traffic and user behavior</w:t>
      </w:r>
    </w:p>
    <w:p>
      <w:pPr>
        <w:pStyle w:val="ListParagraph"/>
        <w:numPr>
          <w:ilvl w:val="0"/>
          <w:numId w:val="2"/>
        </w:numPr>
        <w:spacing w:after="60" w:before="60"/>
      </w:pPr>
      <w:r>
        <w:rPr>
          <w:rFonts w:ascii="Arial" w:cs="Arial" w:eastAsia="Arial" w:hAnsi="Arial"/>
          <w:color w:val="1A202C"/>
          <w:sz w:val="22"/>
          <w:szCs w:val="22"/>
        </w:rPr>
        <w:t xml:space="preserve">Facebook Ads — NEX Curitiba paid social campaigns</w:t>
      </w:r>
    </w:p>
    <w:p>
      <w:pPr>
        <w:pStyle w:val="ListParagraph"/>
        <w:numPr>
          <w:ilvl w:val="0"/>
          <w:numId w:val="2"/>
        </w:numPr>
        <w:spacing w:after="60" w:before="60"/>
      </w:pPr>
      <w:r>
        <w:rPr>
          <w:rFonts w:ascii="Arial" w:cs="Arial" w:eastAsia="Arial" w:hAnsi="Arial"/>
          <w:color w:val="1A202C"/>
          <w:sz w:val="22"/>
          <w:szCs w:val="22"/>
        </w:rPr>
        <w:t xml:space="preserve">Google Search Console — organic search performance (nex.work)</w:t>
      </w:r>
    </w:p>
    <w:p>
      <w:pPr>
        <w:spacing w:after="0" w:before="80"/>
      </w:pPr>
    </w:p>
    <w:p>
      <w:pPr>
        <w:spacing w:after="80" w:before="80"/>
      </w:pPr>
      <w:r>
        <w:rPr>
          <w:rFonts w:ascii="Arial" w:cs="Arial" w:eastAsia="Arial" w:hAnsi="Arial"/>
          <w:color w:val="1A202C"/>
          <w:sz w:val="22"/>
          <w:szCs w:val="22"/>
        </w:rPr>
        <w:t xml:space="preserve">All data collected is used solely for internal analysis. The tool does not expose, sell, or share any data with third parties, and performs no write operations on any connected platform.</w:t>
      </w:r>
    </w:p>
    <w:p>
      <w:pPr>
        <w:pBdr>
          <w:bottom w:val="single" w:color="CBD5E0" w:sz="6" w:space="1"/>
        </w:pBdr>
        <w:spacing w:after="160" w:before="160"/>
      </w:pPr>
    </w:p>
    <w:p>
      <w:pPr>
        <w:pBdr>
          <w:bottom w:val="single" w:color="CBD5E0" w:sz="3" w:space="1"/>
        </w:pBdr>
        <w:spacing w:after="80" w:before="320"/>
      </w:pPr>
      <w:r>
        <w:rPr>
          <w:rFonts w:ascii="Arial" w:cs="Arial" w:eastAsia="Arial" w:hAnsi="Arial"/>
          <w:b/>
          <w:bCs/>
          <w:color w:val="0F3460"/>
          <w:sz w:val="28"/>
          <w:szCs w:val="28"/>
        </w:rPr>
        <w:t xml:space="preserve">2.  </w:t>
      </w:r>
      <w:r>
        <w:rPr>
          <w:rFonts w:ascii="Arial" w:cs="Arial" w:eastAsia="Arial" w:hAnsi="Arial"/>
          <w:b/>
          <w:bCs/>
          <w:color w:val="1A1A2E"/>
          <w:sz w:val="28"/>
          <w:szCs w:val="28"/>
        </w:rPr>
        <w:t xml:space="preserve">Purpose and Business Use Case</w:t>
      </w:r>
    </w:p>
    <w:p>
      <w:pPr>
        <w:spacing w:after="0" w:before="80"/>
      </w:pPr>
    </w:p>
    <w:p>
      <w:pPr>
        <w:spacing w:after="80" w:before="80"/>
      </w:pPr>
      <w:r>
        <w:rPr>
          <w:rFonts w:ascii="Arial" w:cs="Arial" w:eastAsia="Arial" w:hAnsi="Arial"/>
          <w:color w:val="1A202C"/>
          <w:sz w:val="22"/>
          <w:szCs w:val="22"/>
        </w:rPr>
        <w:t xml:space="preserve">The primary purpose of NEX Reports Automation is to eliminate the manual effort involved in pulling, consolidating, and interpreting marketing performance data across multiple advertising platforms. Prior to this tool, the marketing team spent several hours each week manually accessing each platform, extracting metrics, and compiling summaries.</w:t>
      </w:r>
    </w:p>
    <w:p>
      <w:pPr>
        <w:spacing w:after="0" w:before="80"/>
      </w:pPr>
    </w:p>
    <w:p>
      <w:pPr>
        <w:spacing w:after="80" w:before="80"/>
      </w:pPr>
      <w:r>
        <w:rPr>
          <w:rFonts w:ascii="Arial" w:cs="Arial" w:eastAsia="Arial" w:hAnsi="Arial"/>
          <w:color w:val="4A5568"/>
          <w:sz w:val="22"/>
          <w:szCs w:val="22"/>
        </w:rPr>
        <w:t xml:space="preserve">The tool addresses this by:</w:t>
      </w:r>
    </w:p>
    <w:p>
      <w:pPr>
        <w:spacing w:after="0" w:before="40"/>
      </w:pPr>
    </w:p>
    <w:p>
      <w:pPr>
        <w:pStyle w:val="ListParagraph"/>
        <w:numPr>
          <w:ilvl w:val="0"/>
          <w:numId w:val="2"/>
        </w:numPr>
        <w:spacing w:after="60" w:before="60"/>
      </w:pPr>
      <w:r>
        <w:rPr>
          <w:rFonts w:ascii="Arial" w:cs="Arial" w:eastAsia="Arial" w:hAnsi="Arial"/>
          <w:color w:val="1A202C"/>
          <w:sz w:val="22"/>
          <w:szCs w:val="22"/>
        </w:rPr>
        <w:t xml:space="preserve">Automatically fetching data from all connected platforms once per day at 12:00 BRT</w:t>
      </w:r>
    </w:p>
    <w:p>
      <w:pPr>
        <w:pStyle w:val="ListParagraph"/>
        <w:numPr>
          <w:ilvl w:val="0"/>
          <w:numId w:val="2"/>
        </w:numPr>
        <w:spacing w:after="60" w:before="60"/>
      </w:pPr>
      <w:r>
        <w:rPr>
          <w:rFonts w:ascii="Arial" w:cs="Arial" w:eastAsia="Arial" w:hAnsi="Arial"/>
          <w:color w:val="1A202C"/>
          <w:sz w:val="22"/>
          <w:szCs w:val="22"/>
        </w:rPr>
        <w:t xml:space="preserve">Detecting anomalies and significant variations (&gt;20% change) across key metrics</w:t>
      </w:r>
    </w:p>
    <w:p>
      <w:pPr>
        <w:pStyle w:val="ListParagraph"/>
        <w:numPr>
          <w:ilvl w:val="0"/>
          <w:numId w:val="2"/>
        </w:numPr>
        <w:spacing w:after="60" w:before="60"/>
      </w:pPr>
      <w:r>
        <w:rPr>
          <w:rFonts w:ascii="Arial" w:cs="Arial" w:eastAsia="Arial" w:hAnsi="Arial"/>
          <w:color w:val="1A202C"/>
          <w:sz w:val="22"/>
          <w:szCs w:val="22"/>
        </w:rPr>
        <w:t xml:space="preserve">Generating structured HTML reports with executive summary, insights, and recommended actions</w:t>
      </w:r>
    </w:p>
    <w:p>
      <w:pPr>
        <w:pStyle w:val="ListParagraph"/>
        <w:numPr>
          <w:ilvl w:val="0"/>
          <w:numId w:val="2"/>
        </w:numPr>
        <w:spacing w:after="60" w:before="60"/>
      </w:pPr>
      <w:r>
        <w:rPr>
          <w:rFonts w:ascii="Arial" w:cs="Arial" w:eastAsia="Arial" w:hAnsi="Arial"/>
          <w:color w:val="1A202C"/>
          <w:sz w:val="22"/>
          <w:szCs w:val="22"/>
        </w:rPr>
        <w:t xml:space="preserve">Delivering reports via email to the appropriate team members on a defined schedule</w:t>
      </w:r>
    </w:p>
    <w:p>
      <w:pPr>
        <w:pStyle w:val="ListParagraph"/>
        <w:numPr>
          <w:ilvl w:val="0"/>
          <w:numId w:val="2"/>
        </w:numPr>
        <w:spacing w:after="60" w:before="60"/>
      </w:pPr>
      <w:r>
        <w:rPr>
          <w:rFonts w:ascii="Arial" w:cs="Arial" w:eastAsia="Arial" w:hAnsi="Arial"/>
          <w:color w:val="1A202C"/>
          <w:sz w:val="22"/>
          <w:szCs w:val="22"/>
        </w:rPr>
        <w:t xml:space="preserve">Committing all generated reports to a private version-controlled repository for historical reference</w:t>
      </w:r>
    </w:p>
    <w:p>
      <w:pPr>
        <w:spacing w:after="0" w:before="80"/>
      </w:pPr>
    </w:p>
    <w:p>
      <w:pPr>
        <w:spacing w:after="80" w:before="80"/>
      </w:pPr>
      <w:r>
        <w:rPr>
          <w:rFonts w:ascii="Arial" w:cs="Arial" w:eastAsia="Arial" w:hAnsi="Arial"/>
          <w:color w:val="1A202C"/>
          <w:sz w:val="22"/>
          <w:szCs w:val="22"/>
        </w:rPr>
        <w:t xml:space="preserve">The tool is used exclusively for internal business intelligence. There are no end-user-facing features, no public interfaces, and no multi-tenant or SaaS characteristics. It is a single-operator internal automation.</w:t>
      </w:r>
    </w:p>
    <w:p>
      <w:pPr>
        <w:pBdr>
          <w:bottom w:val="single" w:color="CBD5E0" w:sz="6" w:space="1"/>
        </w:pBdr>
        <w:spacing w:after="160" w:before="160"/>
      </w:pPr>
    </w:p>
    <w:p>
      <w:pPr>
        <w:pBdr>
          <w:bottom w:val="single" w:color="CBD5E0" w:sz="3" w:space="1"/>
        </w:pBdr>
        <w:spacing w:after="80" w:before="320"/>
      </w:pPr>
      <w:r>
        <w:rPr>
          <w:rFonts w:ascii="Arial" w:cs="Arial" w:eastAsia="Arial" w:hAnsi="Arial"/>
          <w:b/>
          <w:bCs/>
          <w:color w:val="0F3460"/>
          <w:sz w:val="28"/>
          <w:szCs w:val="28"/>
        </w:rPr>
        <w:t xml:space="preserve">3.  </w:t>
      </w:r>
      <w:r>
        <w:rPr>
          <w:rFonts w:ascii="Arial" w:cs="Arial" w:eastAsia="Arial" w:hAnsi="Arial"/>
          <w:b/>
          <w:bCs/>
          <w:color w:val="1A1A2E"/>
          <w:sz w:val="28"/>
          <w:szCs w:val="28"/>
        </w:rPr>
        <w:t xml:space="preserve">Google Ads API Usage</w:t>
      </w:r>
    </w:p>
    <w:p>
      <w:pPr>
        <w:spacing w:after="0" w:before="80"/>
      </w:pPr>
    </w:p>
    <w:p>
      <w:pPr>
        <w:spacing w:after="80" w:before="80"/>
      </w:pPr>
      <w:r>
        <w:rPr>
          <w:rFonts w:ascii="Arial" w:cs="Arial" w:eastAsia="Arial" w:hAnsi="Arial"/>
          <w:color w:val="1A202C"/>
          <w:sz w:val="22"/>
          <w:szCs w:val="22"/>
        </w:rPr>
        <w:t xml:space="preserve">The tool integrates with the Google Ads API exclusively to read advertising performance metrics for the NEX.WORK Google Ads account. No write, create, or delete operations are performed at any time.</w:t>
      </w:r>
    </w:p>
    <w:p>
      <w:pPr>
        <w:spacing w:after="0" w:before="100"/>
      </w:pPr>
    </w:p>
    <w:p>
      <w:pPr>
        <w:spacing w:after="40" w:before="80"/>
      </w:pPr>
      <w:r>
        <w:rPr>
          <w:rFonts w:ascii="Arial" w:cs="Arial" w:eastAsia="Arial" w:hAnsi="Arial"/>
          <w:b/>
          <w:bCs/>
          <w:color w:val="1A1A2E"/>
          <w:sz w:val="23"/>
          <w:szCs w:val="23"/>
        </w:rPr>
        <w:t xml:space="preserve">Account and Access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A1A2E"/>
                <w:sz w:val="20"/>
                <w:szCs w:val="20"/>
              </w:rPr>
              <w:t xml:space="preserve">Account Name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A202C"/>
                <w:sz w:val="20"/>
                <w:szCs w:val="20"/>
              </w:rPr>
              <w:t xml:space="preserve">NEX.WORK</w:t>
            </w:r>
          </w:p>
        </w:tc>
      </w:tr>
      <w:tr>
        <w:tc>
          <w:tcPr>
            <w:tcW w:type="dxa" w:w="2800"/>
            <w:tcBorders>
              <w:top w:val="single" w:color="CBD5E0" w:sz="1"/>
              <w:left w:val="single" w:color="CBD5E0" w:sz="1"/>
              <w:bottom w:val="single" w:color="CBD5E0" w:sz="1"/>
              <w:right w:val="single" w:color="CBD5E0" w:sz="1"/>
            </w:tcBorders>
            <w:shd w:fill="F7FAFC" w:val="clear"/>
            <w:tcMar>
              <w:top w:type="dxa" w:w="100"/>
              <w:left w:type="dxa" w:w="140"/>
              <w:bottom w:type="dxa" w:w="100"/>
              <w:right w:type="dxa" w:w="140"/>
            </w:tcMar>
          </w:tcPr>
          <w:p>
            <w:r>
              <w:rPr>
                <w:rFonts w:ascii="Arial" w:cs="Arial" w:eastAsia="Arial" w:hAnsi="Arial"/>
                <w:b/>
                <w:bCs/>
                <w:color w:val="1A1A2E"/>
                <w:sz w:val="20"/>
                <w:szCs w:val="20"/>
              </w:rPr>
              <w:t xml:space="preserve">Customer ID</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A202C"/>
                <w:sz w:val="20"/>
                <w:szCs w:val="20"/>
              </w:rPr>
              <w:t xml:space="preserve">977-263-6001</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A1A2E"/>
                <w:sz w:val="20"/>
                <w:szCs w:val="20"/>
              </w:rPr>
              <w:t xml:space="preserve">Access Type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A202C"/>
                <w:sz w:val="20"/>
                <w:szCs w:val="20"/>
              </w:rPr>
              <w:t xml:space="preserve">Read-only (no write operations)</w:t>
            </w:r>
          </w:p>
        </w:tc>
      </w:tr>
      <w:tr>
        <w:tc>
          <w:tcPr>
            <w:tcW w:type="dxa" w:w="2800"/>
            <w:tcBorders>
              <w:top w:val="single" w:color="CBD5E0" w:sz="1"/>
              <w:left w:val="single" w:color="CBD5E0" w:sz="1"/>
              <w:bottom w:val="single" w:color="CBD5E0" w:sz="1"/>
              <w:right w:val="single" w:color="CBD5E0" w:sz="1"/>
            </w:tcBorders>
            <w:shd w:fill="F7FAFC" w:val="clear"/>
            <w:tcMar>
              <w:top w:type="dxa" w:w="100"/>
              <w:left w:type="dxa" w:w="140"/>
              <w:bottom w:type="dxa" w:w="100"/>
              <w:right w:type="dxa" w:w="140"/>
            </w:tcMar>
          </w:tcPr>
          <w:p>
            <w:r>
              <w:rPr>
                <w:rFonts w:ascii="Arial" w:cs="Arial" w:eastAsia="Arial" w:hAnsi="Arial"/>
                <w:b/>
                <w:bCs/>
                <w:color w:val="1A1A2E"/>
                <w:sz w:val="20"/>
                <w:szCs w:val="20"/>
              </w:rPr>
              <w:t xml:space="preserve">API Library</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A202C"/>
                <w:sz w:val="20"/>
                <w:szCs w:val="20"/>
              </w:rPr>
              <w:t xml:space="preserve">google-ads Python client library (official)</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A1A2E"/>
                <w:sz w:val="20"/>
                <w:szCs w:val="20"/>
              </w:rPr>
              <w:t xml:space="preserve">Authentication</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A202C"/>
                <w:sz w:val="20"/>
                <w:szCs w:val="20"/>
              </w:rPr>
              <w:t xml:space="preserve">OAuth 2.0 with offline refresh token</w:t>
            </w:r>
          </w:p>
        </w:tc>
      </w:tr>
      <w:tr>
        <w:tc>
          <w:tcPr>
            <w:tcW w:type="dxa" w:w="2800"/>
            <w:tcBorders>
              <w:top w:val="single" w:color="CBD5E0" w:sz="1"/>
              <w:left w:val="single" w:color="CBD5E0" w:sz="1"/>
              <w:bottom w:val="single" w:color="CBD5E0" w:sz="1"/>
              <w:right w:val="single" w:color="CBD5E0" w:sz="1"/>
            </w:tcBorders>
            <w:shd w:fill="F7FAFC" w:val="clear"/>
            <w:tcMar>
              <w:top w:type="dxa" w:w="100"/>
              <w:left w:type="dxa" w:w="140"/>
              <w:bottom w:type="dxa" w:w="100"/>
              <w:right w:type="dxa" w:w="140"/>
            </w:tcMar>
          </w:tcPr>
          <w:p>
            <w:r>
              <w:rPr>
                <w:rFonts w:ascii="Arial" w:cs="Arial" w:eastAsia="Arial" w:hAnsi="Arial"/>
                <w:b/>
                <w:bCs/>
                <w:color w:val="1A1A2E"/>
                <w:sz w:val="20"/>
                <w:szCs w:val="20"/>
              </w:rPr>
              <w:t xml:space="preserve">Call Frequency</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A202C"/>
                <w:sz w:val="20"/>
                <w:szCs w:val="20"/>
              </w:rPr>
              <w:t xml:space="preserve">Once daily (12:00 BRT) + once weekly (Mondays)</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A1A2E"/>
                <w:sz w:val="20"/>
                <w:szCs w:val="20"/>
              </w:rPr>
              <w:t xml:space="preserve">MCC Account</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A202C"/>
                <w:sz w:val="20"/>
                <w:szCs w:val="20"/>
              </w:rPr>
              <w:t xml:space="preserve">Managed via cfelipemoreira@gmail.com (administrator)</w:t>
            </w:r>
          </w:p>
        </w:tc>
      </w:tr>
    </w:tbl>
    <w:p>
      <w:pPr>
        <w:spacing w:after="0" w:before="100"/>
      </w:pPr>
    </w:p>
    <w:p>
      <w:pPr>
        <w:spacing w:after="40" w:before="80"/>
      </w:pPr>
      <w:r>
        <w:rPr>
          <w:rFonts w:ascii="Arial" w:cs="Arial" w:eastAsia="Arial" w:hAnsi="Arial"/>
          <w:b/>
          <w:bCs/>
          <w:color w:val="1A1A2E"/>
          <w:sz w:val="23"/>
          <w:szCs w:val="23"/>
        </w:rPr>
        <w:t xml:space="preserve">Metrics Retrieved</w:t>
      </w:r>
    </w:p>
    <w:p>
      <w:pPr>
        <w:pStyle w:val="ListParagraph"/>
        <w:numPr>
          <w:ilvl w:val="0"/>
          <w:numId w:val="2"/>
        </w:numPr>
        <w:spacing w:after="60" w:before="60"/>
      </w:pPr>
      <w:r>
        <w:rPr>
          <w:rFonts w:ascii="Arial" w:cs="Arial" w:eastAsia="Arial" w:hAnsi="Arial"/>
          <w:color w:val="1A202C"/>
          <w:sz w:val="22"/>
          <w:szCs w:val="22"/>
        </w:rPr>
        <w:t xml:space="preserve">Impressions — total ad impressions in the period</w:t>
      </w:r>
    </w:p>
    <w:p>
      <w:pPr>
        <w:pStyle w:val="ListParagraph"/>
        <w:numPr>
          <w:ilvl w:val="0"/>
          <w:numId w:val="2"/>
        </w:numPr>
        <w:spacing w:after="60" w:before="60"/>
      </w:pPr>
      <w:r>
        <w:rPr>
          <w:rFonts w:ascii="Arial" w:cs="Arial" w:eastAsia="Arial" w:hAnsi="Arial"/>
          <w:color w:val="1A202C"/>
          <w:sz w:val="22"/>
          <w:szCs w:val="22"/>
        </w:rPr>
        <w:t xml:space="preserve">Clicks — total clicks on ads</w:t>
      </w:r>
    </w:p>
    <w:p>
      <w:pPr>
        <w:pStyle w:val="ListParagraph"/>
        <w:numPr>
          <w:ilvl w:val="0"/>
          <w:numId w:val="2"/>
        </w:numPr>
        <w:spacing w:after="60" w:before="60"/>
      </w:pPr>
      <w:r>
        <w:rPr>
          <w:rFonts w:ascii="Arial" w:cs="Arial" w:eastAsia="Arial" w:hAnsi="Arial"/>
          <w:color w:val="1A202C"/>
          <w:sz w:val="22"/>
          <w:szCs w:val="22"/>
        </w:rPr>
        <w:t xml:space="preserve">Cost — total spend (cost_micros, converted to BRL)</w:t>
      </w:r>
    </w:p>
    <w:p>
      <w:pPr>
        <w:pStyle w:val="ListParagraph"/>
        <w:numPr>
          <w:ilvl w:val="0"/>
          <w:numId w:val="2"/>
        </w:numPr>
        <w:spacing w:after="60" w:before="60"/>
      </w:pPr>
      <w:r>
        <w:rPr>
          <w:rFonts w:ascii="Arial" w:cs="Arial" w:eastAsia="Arial" w:hAnsi="Arial"/>
          <w:color w:val="1A202C"/>
          <w:sz w:val="22"/>
          <w:szCs w:val="22"/>
        </w:rPr>
        <w:t xml:space="preserve">Conversions — total conversion events tracked</w:t>
      </w:r>
    </w:p>
    <w:p>
      <w:pPr>
        <w:pStyle w:val="ListParagraph"/>
        <w:numPr>
          <w:ilvl w:val="0"/>
          <w:numId w:val="2"/>
        </w:numPr>
        <w:spacing w:after="60" w:before="60"/>
      </w:pPr>
      <w:r>
        <w:rPr>
          <w:rFonts w:ascii="Arial" w:cs="Arial" w:eastAsia="Arial" w:hAnsi="Arial"/>
          <w:color w:val="1A202C"/>
          <w:sz w:val="22"/>
          <w:szCs w:val="22"/>
        </w:rPr>
        <w:t xml:space="preserve">CTR (Click-Through Rate)</w:t>
      </w:r>
    </w:p>
    <w:p>
      <w:pPr>
        <w:pStyle w:val="ListParagraph"/>
        <w:numPr>
          <w:ilvl w:val="0"/>
          <w:numId w:val="2"/>
        </w:numPr>
        <w:spacing w:after="60" w:before="60"/>
      </w:pPr>
      <w:r>
        <w:rPr>
          <w:rFonts w:ascii="Arial" w:cs="Arial" w:eastAsia="Arial" w:hAnsi="Arial"/>
          <w:color w:val="1A202C"/>
          <w:sz w:val="22"/>
          <w:szCs w:val="22"/>
        </w:rPr>
        <w:t xml:space="preserve">Average CPC (Cost Per Click)</w:t>
      </w:r>
    </w:p>
    <w:p>
      <w:pPr>
        <w:pStyle w:val="ListParagraph"/>
        <w:numPr>
          <w:ilvl w:val="0"/>
          <w:numId w:val="2"/>
        </w:numPr>
        <w:spacing w:after="60" w:before="60"/>
      </w:pPr>
      <w:r>
        <w:rPr>
          <w:rFonts w:ascii="Arial" w:cs="Arial" w:eastAsia="Arial" w:hAnsi="Arial"/>
          <w:color w:val="1A202C"/>
          <w:sz w:val="22"/>
          <w:szCs w:val="22"/>
        </w:rPr>
        <w:t xml:space="preserve">ROAS (Return on Ad Spend)</w:t>
      </w:r>
    </w:p>
    <w:p>
      <w:pPr>
        <w:pStyle w:val="ListParagraph"/>
        <w:numPr>
          <w:ilvl w:val="0"/>
          <w:numId w:val="2"/>
        </w:numPr>
        <w:spacing w:after="60" w:before="60"/>
      </w:pPr>
      <w:r>
        <w:rPr>
          <w:rFonts w:ascii="Arial" w:cs="Arial" w:eastAsia="Arial" w:hAnsi="Arial"/>
          <w:color w:val="1A202C"/>
          <w:sz w:val="22"/>
          <w:szCs w:val="22"/>
        </w:rPr>
        <w:t xml:space="preserve">Cost Per Conversion</w:t>
      </w:r>
    </w:p>
    <w:p>
      <w:pPr>
        <w:spacing w:after="0" w:before="80"/>
      </w:pPr>
    </w:p>
    <w:p>
      <w:pPr>
        <w:spacing w:after="80" w:before="80"/>
      </w:pPr>
      <w:r>
        <w:rPr>
          <w:rFonts w:ascii="Arial" w:cs="Arial" w:eastAsia="Arial" w:hAnsi="Arial"/>
          <w:color w:val="1A202C"/>
          <w:sz w:val="22"/>
          <w:szCs w:val="22"/>
        </w:rPr>
        <w:t xml:space="preserve">Data is fetched for two comparison windows per report cycle: the current period vs. the previous period (prior day for daily reports; prior month-to-date for monthly reports). No raw user-level or audience data is accessed — only aggregated campaign-level metrics are retrieved.</w:t>
      </w:r>
    </w:p>
    <w:p>
      <w:pPr>
        <w:pBdr>
          <w:bottom w:val="single" w:color="CBD5E0" w:sz="6" w:space="1"/>
        </w:pBdr>
        <w:spacing w:after="160" w:before="160"/>
      </w:pPr>
    </w:p>
    <w:p>
      <w:pPr>
        <w:pBdr>
          <w:bottom w:val="single" w:color="CBD5E0" w:sz="3" w:space="1"/>
        </w:pBdr>
        <w:spacing w:after="80" w:before="320"/>
      </w:pPr>
      <w:r>
        <w:rPr>
          <w:rFonts w:ascii="Arial" w:cs="Arial" w:eastAsia="Arial" w:hAnsi="Arial"/>
          <w:b/>
          <w:bCs/>
          <w:color w:val="0F3460"/>
          <w:sz w:val="28"/>
          <w:szCs w:val="28"/>
        </w:rPr>
        <w:t xml:space="preserve">4.  </w:t>
      </w:r>
      <w:r>
        <w:rPr>
          <w:rFonts w:ascii="Arial" w:cs="Arial" w:eastAsia="Arial" w:hAnsi="Arial"/>
          <w:b/>
          <w:bCs/>
          <w:color w:val="1A1A2E"/>
          <w:sz w:val="28"/>
          <w:szCs w:val="28"/>
        </w:rPr>
        <w:t xml:space="preserve">Technical Architecture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A1A2E"/>
                <w:sz w:val="20"/>
                <w:szCs w:val="20"/>
              </w:rPr>
              <w:t xml:space="preserve">Language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A202C"/>
                <w:sz w:val="20"/>
                <w:szCs w:val="20"/>
              </w:rPr>
              <w:t xml:space="preserve">Python 3.14</w:t>
            </w:r>
          </w:p>
        </w:tc>
      </w:tr>
      <w:tr>
        <w:tc>
          <w:tcPr>
            <w:tcW w:type="dxa" w:w="2800"/>
            <w:tcBorders>
              <w:top w:val="single" w:color="CBD5E0" w:sz="1"/>
              <w:left w:val="single" w:color="CBD5E0" w:sz="1"/>
              <w:bottom w:val="single" w:color="CBD5E0" w:sz="1"/>
              <w:right w:val="single" w:color="CBD5E0" w:sz="1"/>
            </w:tcBorders>
            <w:shd w:fill="F7FAFC" w:val="clear"/>
            <w:tcMar>
              <w:top w:type="dxa" w:w="100"/>
              <w:left w:type="dxa" w:w="140"/>
              <w:bottom w:type="dxa" w:w="100"/>
              <w:right w:type="dxa" w:w="140"/>
            </w:tcMar>
          </w:tcPr>
          <w:p>
            <w:r>
              <w:rPr>
                <w:rFonts w:ascii="Arial" w:cs="Arial" w:eastAsia="Arial" w:hAnsi="Arial"/>
                <w:b/>
                <w:bCs/>
                <w:color w:val="1A1A2E"/>
                <w:sz w:val="20"/>
                <w:szCs w:val="20"/>
              </w:rPr>
              <w:t xml:space="preserve">Scheduler</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A202C"/>
                <w:sz w:val="20"/>
                <w:szCs w:val="20"/>
              </w:rPr>
              <w:t xml:space="preserve">APScheduler + macOS launchd (runs at 12:00 BRT daily)</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A1A2E"/>
                <w:sz w:val="20"/>
                <w:szCs w:val="20"/>
              </w:rPr>
              <w:t xml:space="preserve">Report Format</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A202C"/>
                <w:sz w:val="20"/>
                <w:szCs w:val="20"/>
              </w:rPr>
              <w:t xml:space="preserve">Self-contained HTML with inline CSS styling</w:t>
            </w:r>
          </w:p>
        </w:tc>
      </w:tr>
      <w:tr>
        <w:tc>
          <w:tcPr>
            <w:tcW w:type="dxa" w:w="2800"/>
            <w:tcBorders>
              <w:top w:val="single" w:color="CBD5E0" w:sz="1"/>
              <w:left w:val="single" w:color="CBD5E0" w:sz="1"/>
              <w:bottom w:val="single" w:color="CBD5E0" w:sz="1"/>
              <w:right w:val="single" w:color="CBD5E0" w:sz="1"/>
            </w:tcBorders>
            <w:shd w:fill="F7FAFC" w:val="clear"/>
            <w:tcMar>
              <w:top w:type="dxa" w:w="100"/>
              <w:left w:type="dxa" w:w="140"/>
              <w:bottom w:type="dxa" w:w="100"/>
              <w:right w:type="dxa" w:w="140"/>
            </w:tcMar>
          </w:tcPr>
          <w:p>
            <w:r>
              <w:rPr>
                <w:rFonts w:ascii="Arial" w:cs="Arial" w:eastAsia="Arial" w:hAnsi="Arial"/>
                <w:b/>
                <w:bCs/>
                <w:color w:val="1A1A2E"/>
                <w:sz w:val="20"/>
                <w:szCs w:val="20"/>
              </w:rPr>
              <w:t xml:space="preserve">Email Delivery</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A202C"/>
                <w:sz w:val="20"/>
                <w:szCs w:val="20"/>
              </w:rPr>
              <w:t xml:space="preserve">Gmail SMTP via STARTTLS (App Password authentication)</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A1A2E"/>
                <w:sz w:val="20"/>
                <w:szCs w:val="20"/>
              </w:rPr>
              <w:t xml:space="preserve">Version Control</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A202C"/>
                <w:sz w:val="20"/>
                <w:szCs w:val="20"/>
              </w:rPr>
              <w:t xml:space="preserve">Private GitHub repository (cfelipemoreira/nex-reports-automation-reportei-ads)</w:t>
            </w:r>
          </w:p>
        </w:tc>
      </w:tr>
      <w:tr>
        <w:tc>
          <w:tcPr>
            <w:tcW w:type="dxa" w:w="2800"/>
            <w:tcBorders>
              <w:top w:val="single" w:color="CBD5E0" w:sz="1"/>
              <w:left w:val="single" w:color="CBD5E0" w:sz="1"/>
              <w:bottom w:val="single" w:color="CBD5E0" w:sz="1"/>
              <w:right w:val="single" w:color="CBD5E0" w:sz="1"/>
            </w:tcBorders>
            <w:shd w:fill="F7FAFC" w:val="clear"/>
            <w:tcMar>
              <w:top w:type="dxa" w:w="100"/>
              <w:left w:type="dxa" w:w="140"/>
              <w:bottom w:type="dxa" w:w="100"/>
              <w:right w:type="dxa" w:w="140"/>
            </w:tcMar>
          </w:tcPr>
          <w:p>
            <w:r>
              <w:rPr>
                <w:rFonts w:ascii="Arial" w:cs="Arial" w:eastAsia="Arial" w:hAnsi="Arial"/>
                <w:b/>
                <w:bCs/>
                <w:color w:val="1A1A2E"/>
                <w:sz w:val="20"/>
                <w:szCs w:val="20"/>
              </w:rPr>
              <w:t xml:space="preserve">Data Storage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A202C"/>
                <w:sz w:val="20"/>
                <w:szCs w:val="20"/>
              </w:rPr>
              <w:t xml:space="preserve">Local filesystem + private Git repository (no external DB)</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A1A2E"/>
                <w:sz w:val="20"/>
                <w:szCs w:val="20"/>
              </w:rPr>
              <w:t xml:space="preserve">Runtime Env.</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A202C"/>
                <w:sz w:val="20"/>
                <w:szCs w:val="20"/>
              </w:rPr>
              <w:t xml:space="preserve">macOS, single private machine owned by the operator</w:t>
            </w:r>
          </w:p>
        </w:tc>
      </w:tr>
    </w:tbl>
    <w:p>
      <w:pPr>
        <w:spacing w:after="0" w:before="100"/>
      </w:pPr>
    </w:p>
    <w:p>
      <w:pPr>
        <w:spacing w:after="40" w:before="80"/>
      </w:pPr>
      <w:r>
        <w:rPr>
          <w:rFonts w:ascii="Arial" w:cs="Arial" w:eastAsia="Arial" w:hAnsi="Arial"/>
          <w:b/>
          <w:bCs/>
          <w:color w:val="1A1A2E"/>
          <w:sz w:val="23"/>
          <w:szCs w:val="23"/>
        </w:rPr>
        <w:t xml:space="preserve">Report Generation Pipeline</w:t>
      </w:r>
    </w:p>
    <w:p>
      <w:pPr>
        <w:pStyle w:val="ListParagraph"/>
        <w:numPr>
          <w:ilvl w:val="0"/>
          <w:numId w:val="2"/>
        </w:numPr>
        <w:spacing w:after="60" w:before="60"/>
      </w:pPr>
      <w:r>
        <w:rPr>
          <w:rFonts w:ascii="Arial" w:cs="Arial" w:eastAsia="Arial" w:hAnsi="Arial"/>
          <w:b/>
          <w:bCs/>
          <w:color w:val="1A1A2E"/>
          <w:sz w:val="22"/>
          <w:szCs w:val="22"/>
        </w:rPr>
        <w:t xml:space="preserve">Step 1: </w:t>
      </w:r>
      <w:r>
        <w:rPr>
          <w:rFonts w:ascii="Arial" w:cs="Arial" w:eastAsia="Arial" w:hAnsi="Arial"/>
          <w:color w:val="1A202C"/>
          <w:sz w:val="22"/>
          <w:szCs w:val="22"/>
        </w:rPr>
        <w:t xml:space="preserve">Scheduler triggers job at 12:00 BRT</w:t>
      </w:r>
    </w:p>
    <w:p>
      <w:pPr>
        <w:pStyle w:val="ListParagraph"/>
        <w:numPr>
          <w:ilvl w:val="0"/>
          <w:numId w:val="2"/>
        </w:numPr>
        <w:spacing w:after="60" w:before="60"/>
      </w:pPr>
      <w:r>
        <w:rPr>
          <w:rFonts w:ascii="Arial" w:cs="Arial" w:eastAsia="Arial" w:hAnsi="Arial"/>
          <w:b/>
          <w:bCs/>
          <w:color w:val="1A1A2E"/>
          <w:sz w:val="22"/>
          <w:szCs w:val="22"/>
        </w:rPr>
        <w:t xml:space="preserve">Step 2: </w:t>
      </w:r>
      <w:r>
        <w:rPr>
          <w:rFonts w:ascii="Arial" w:cs="Arial" w:eastAsia="Arial" w:hAnsi="Arial"/>
          <w:color w:val="1A202C"/>
          <w:sz w:val="22"/>
          <w:szCs w:val="22"/>
        </w:rPr>
        <w:t xml:space="preserve">ReporteiClient fetches metrics from each integrated platform via Reportei API v2</w:t>
      </w:r>
    </w:p>
    <w:p>
      <w:pPr>
        <w:pStyle w:val="ListParagraph"/>
        <w:numPr>
          <w:ilvl w:val="0"/>
          <w:numId w:val="2"/>
        </w:numPr>
        <w:spacing w:after="60" w:before="60"/>
      </w:pPr>
      <w:r>
        <w:rPr>
          <w:rFonts w:ascii="Arial" w:cs="Arial" w:eastAsia="Arial" w:hAnsi="Arial"/>
          <w:b/>
          <w:bCs/>
          <w:color w:val="1A1A2E"/>
          <w:sz w:val="22"/>
          <w:szCs w:val="22"/>
        </w:rPr>
        <w:t xml:space="preserve">Step 3: </w:t>
      </w:r>
      <w:r>
        <w:rPr>
          <w:rFonts w:ascii="Arial" w:cs="Arial" w:eastAsia="Arial" w:hAnsi="Arial"/>
          <w:color w:val="1A202C"/>
          <w:sz w:val="22"/>
          <w:szCs w:val="22"/>
        </w:rPr>
        <w:t xml:space="preserve">Analyzer module processes raw data into structured PlatformAnalysis objects</w:t>
      </w:r>
    </w:p>
    <w:p>
      <w:pPr>
        <w:pStyle w:val="ListParagraph"/>
        <w:numPr>
          <w:ilvl w:val="0"/>
          <w:numId w:val="2"/>
        </w:numPr>
        <w:spacing w:after="60" w:before="60"/>
      </w:pPr>
      <w:r>
        <w:rPr>
          <w:rFonts w:ascii="Arial" w:cs="Arial" w:eastAsia="Arial" w:hAnsi="Arial"/>
          <w:b/>
          <w:bCs/>
          <w:color w:val="1A1A2E"/>
          <w:sz w:val="22"/>
          <w:szCs w:val="22"/>
        </w:rPr>
        <w:t xml:space="preserve">Step 4: </w:t>
      </w:r>
      <w:r>
        <w:rPr>
          <w:rFonts w:ascii="Arial" w:cs="Arial" w:eastAsia="Arial" w:hAnsi="Arial"/>
          <w:color w:val="1A202C"/>
          <w:sz w:val="22"/>
          <w:szCs w:val="22"/>
        </w:rPr>
        <w:t xml:space="preserve">HTML generator renders a complete report with executive summary, metric boxes, anomalies, insights, and recommended actions</w:t>
      </w:r>
    </w:p>
    <w:p>
      <w:pPr>
        <w:pStyle w:val="ListParagraph"/>
        <w:numPr>
          <w:ilvl w:val="0"/>
          <w:numId w:val="2"/>
        </w:numPr>
        <w:spacing w:after="60" w:before="60"/>
      </w:pPr>
      <w:r>
        <w:rPr>
          <w:rFonts w:ascii="Arial" w:cs="Arial" w:eastAsia="Arial" w:hAnsi="Arial"/>
          <w:b/>
          <w:bCs/>
          <w:color w:val="1A1A2E"/>
          <w:sz w:val="22"/>
          <w:szCs w:val="22"/>
        </w:rPr>
        <w:t xml:space="preserve">Step 5: </w:t>
      </w:r>
      <w:r>
        <w:rPr>
          <w:rFonts w:ascii="Arial" w:cs="Arial" w:eastAsia="Arial" w:hAnsi="Arial"/>
          <w:color w:val="1A202C"/>
          <w:sz w:val="22"/>
          <w:szCs w:val="22"/>
        </w:rPr>
        <w:t xml:space="preserve">Email sender delivers the HTML report as an attachment via Gmail SMTP</w:t>
      </w:r>
    </w:p>
    <w:p>
      <w:pPr>
        <w:pStyle w:val="ListParagraph"/>
        <w:numPr>
          <w:ilvl w:val="0"/>
          <w:numId w:val="2"/>
        </w:numPr>
        <w:spacing w:after="60" w:before="60"/>
      </w:pPr>
      <w:r>
        <w:rPr>
          <w:rFonts w:ascii="Arial" w:cs="Arial" w:eastAsia="Arial" w:hAnsi="Arial"/>
          <w:b/>
          <w:bCs/>
          <w:color w:val="1A1A2E"/>
          <w:sz w:val="22"/>
          <w:szCs w:val="22"/>
        </w:rPr>
        <w:t xml:space="preserve">Step 6: </w:t>
      </w:r>
      <w:r>
        <w:rPr>
          <w:rFonts w:ascii="Arial" w:cs="Arial" w:eastAsia="Arial" w:hAnsi="Arial"/>
          <w:color w:val="1A202C"/>
          <w:sz w:val="22"/>
          <w:szCs w:val="22"/>
        </w:rPr>
        <w:t xml:space="preserve">Git manager commits the generated report to the private repository</w:t>
      </w:r>
    </w:p>
    <w:p>
      <w:pPr>
        <w:pBdr>
          <w:bottom w:val="single" w:color="CBD5E0" w:sz="6" w:space="1"/>
        </w:pBdr>
        <w:spacing w:after="160" w:before="160"/>
      </w:pPr>
    </w:p>
    <w:p>
      <w:pPr>
        <w:pBdr>
          <w:bottom w:val="single" w:color="CBD5E0" w:sz="3" w:space="1"/>
        </w:pBdr>
        <w:spacing w:after="80" w:before="320"/>
      </w:pPr>
      <w:r>
        <w:rPr>
          <w:rFonts w:ascii="Arial" w:cs="Arial" w:eastAsia="Arial" w:hAnsi="Arial"/>
          <w:b/>
          <w:bCs/>
          <w:color w:val="0F3460"/>
          <w:sz w:val="28"/>
          <w:szCs w:val="28"/>
        </w:rPr>
        <w:t xml:space="preserve">5.  </w:t>
      </w:r>
      <w:r>
        <w:rPr>
          <w:rFonts w:ascii="Arial" w:cs="Arial" w:eastAsia="Arial" w:hAnsi="Arial"/>
          <w:b/>
          <w:bCs/>
          <w:color w:val="1A1A2E"/>
          <w:sz w:val="28"/>
          <w:szCs w:val="28"/>
        </w:rPr>
        <w:t xml:space="preserve">Data Access and Security</w:t>
      </w:r>
    </w:p>
    <w:p>
      <w:pPr>
        <w:spacing w:after="0" w:before="80"/>
      </w:pPr>
    </w:p>
    <w:p>
      <w:pPr>
        <w:spacing w:after="80" w:before="80"/>
      </w:pPr>
      <w:r>
        <w:rPr>
          <w:rFonts w:ascii="Arial" w:cs="Arial" w:eastAsia="Arial" w:hAnsi="Arial"/>
          <w:color w:val="1A202C"/>
          <w:sz w:val="22"/>
          <w:szCs w:val="22"/>
        </w:rPr>
        <w:t xml:space="preserve">All credentials and authentication tokens are stored in local configuration files on the operator's private machine. These files are explicitly excluded from version control via .gitignore, ensuring no secrets are ever committed to the GitHub repository.</w:t>
      </w:r>
    </w:p>
    <w:p>
      <w:pPr>
        <w:spacing w:after="0" w:before="80"/>
      </w:pPr>
    </w:p>
    <w:p>
      <w:pPr>
        <w:spacing w:after="80" w:before="80"/>
      </w:pPr>
      <w:r>
        <w:rPr>
          <w:rFonts w:ascii="Arial" w:cs="Arial" w:eastAsia="Arial" w:hAnsi="Arial"/>
          <w:color w:val="4A5568"/>
          <w:sz w:val="22"/>
          <w:szCs w:val="22"/>
        </w:rPr>
        <w:t xml:space="preserve">Security measures in place:</w:t>
      </w:r>
    </w:p>
    <w:p>
      <w:pPr>
        <w:spacing w:after="0" w:before="40"/>
      </w:pPr>
    </w:p>
    <w:p>
      <w:pPr>
        <w:pStyle w:val="ListParagraph"/>
        <w:numPr>
          <w:ilvl w:val="0"/>
          <w:numId w:val="2"/>
        </w:numPr>
        <w:spacing w:after="60" w:before="60"/>
      </w:pPr>
      <w:r>
        <w:rPr>
          <w:rFonts w:ascii="Arial" w:cs="Arial" w:eastAsia="Arial" w:hAnsi="Arial"/>
          <w:color w:val="1A202C"/>
          <w:sz w:val="22"/>
          <w:szCs w:val="22"/>
        </w:rPr>
        <w:t xml:space="preserve">API credentials (developer token, OAuth refresh token, client ID/secret) stored in google-ads.yaml — gitignored</w:t>
      </w:r>
    </w:p>
    <w:p>
      <w:pPr>
        <w:pStyle w:val="ListParagraph"/>
        <w:numPr>
          <w:ilvl w:val="0"/>
          <w:numId w:val="2"/>
        </w:numPr>
        <w:spacing w:after="60" w:before="60"/>
      </w:pPr>
      <w:r>
        <w:rPr>
          <w:rFonts w:ascii="Arial" w:cs="Arial" w:eastAsia="Arial" w:hAnsi="Arial"/>
          <w:color w:val="1A202C"/>
          <w:sz w:val="22"/>
          <w:szCs w:val="22"/>
        </w:rPr>
        <w:t xml:space="preserve">SMTP credentials and Reportei API token stored in .env — gitignored</w:t>
      </w:r>
    </w:p>
    <w:p>
      <w:pPr>
        <w:pStyle w:val="ListParagraph"/>
        <w:numPr>
          <w:ilvl w:val="0"/>
          <w:numId w:val="2"/>
        </w:numPr>
        <w:spacing w:after="60" w:before="60"/>
      </w:pPr>
      <w:r>
        <w:rPr>
          <w:rFonts w:ascii="Arial" w:cs="Arial" w:eastAsia="Arial" w:hAnsi="Arial"/>
          <w:color w:val="1A202C"/>
          <w:sz w:val="22"/>
          <w:szCs w:val="22"/>
        </w:rPr>
        <w:t xml:space="preserve">No data is stored in any cloud database, third-party service, or public-facing system</w:t>
      </w:r>
    </w:p>
    <w:p>
      <w:pPr>
        <w:pStyle w:val="ListParagraph"/>
        <w:numPr>
          <w:ilvl w:val="0"/>
          <w:numId w:val="2"/>
        </w:numPr>
        <w:spacing w:after="60" w:before="60"/>
      </w:pPr>
      <w:r>
        <w:rPr>
          <w:rFonts w:ascii="Arial" w:cs="Arial" w:eastAsia="Arial" w:hAnsi="Arial"/>
          <w:color w:val="1A202C"/>
          <w:sz w:val="22"/>
          <w:szCs w:val="22"/>
        </w:rPr>
        <w:t xml:space="preserve">The GitHub repository is private and accessible only to the operator</w:t>
      </w:r>
    </w:p>
    <w:p>
      <w:pPr>
        <w:pStyle w:val="ListParagraph"/>
        <w:numPr>
          <w:ilvl w:val="0"/>
          <w:numId w:val="2"/>
        </w:numPr>
        <w:spacing w:after="60" w:before="60"/>
      </w:pPr>
      <w:r>
        <w:rPr>
          <w:rFonts w:ascii="Arial" w:cs="Arial" w:eastAsia="Arial" w:hAnsi="Arial"/>
          <w:color w:val="1A202C"/>
          <w:sz w:val="22"/>
          <w:szCs w:val="22"/>
        </w:rPr>
        <w:t xml:space="preserve">Google Ads data access is scoped to a single account (977-263-6001) and is read-only</w:t>
      </w:r>
    </w:p>
    <w:p>
      <w:pPr>
        <w:pStyle w:val="ListParagraph"/>
        <w:numPr>
          <w:ilvl w:val="0"/>
          <w:numId w:val="2"/>
        </w:numPr>
        <w:spacing w:after="60" w:before="60"/>
      </w:pPr>
      <w:r>
        <w:rPr>
          <w:rFonts w:ascii="Arial" w:cs="Arial" w:eastAsia="Arial" w:hAnsi="Arial"/>
          <w:color w:val="1A202C"/>
          <w:sz w:val="22"/>
          <w:szCs w:val="22"/>
        </w:rPr>
        <w:t xml:space="preserve">OAuth tokens are rotated when expired via a dedicated local utility script</w:t>
      </w:r>
    </w:p>
    <w:p>
      <w:pPr>
        <w:pStyle w:val="ListParagraph"/>
        <w:numPr>
          <w:ilvl w:val="0"/>
          <w:numId w:val="2"/>
        </w:numPr>
        <w:spacing w:after="60" w:before="60"/>
      </w:pPr>
      <w:r>
        <w:rPr>
          <w:rFonts w:ascii="Arial" w:cs="Arial" w:eastAsia="Arial" w:hAnsi="Arial"/>
          <w:color w:val="1A202C"/>
          <w:sz w:val="22"/>
          <w:szCs w:val="22"/>
        </w:rPr>
        <w:t xml:space="preserve">No user-level, audience, or personally identifiable information (PII) is accessed or stored</w:t>
      </w:r>
    </w:p>
    <w:p>
      <w:pPr>
        <w:pBdr>
          <w:bottom w:val="single" w:color="CBD5E0" w:sz="6" w:space="1"/>
        </w:pBdr>
        <w:spacing w:after="160" w:before="160"/>
      </w:pPr>
    </w:p>
    <w:p>
      <w:pPr>
        <w:pBdr>
          <w:bottom w:val="single" w:color="CBD5E0" w:sz="3" w:space="1"/>
        </w:pBdr>
        <w:spacing w:after="80" w:before="320"/>
      </w:pPr>
      <w:r>
        <w:rPr>
          <w:rFonts w:ascii="Arial" w:cs="Arial" w:eastAsia="Arial" w:hAnsi="Arial"/>
          <w:b/>
          <w:bCs/>
          <w:color w:val="0F3460"/>
          <w:sz w:val="28"/>
          <w:szCs w:val="28"/>
        </w:rPr>
        <w:t xml:space="preserve">6.  </w:t>
      </w:r>
      <w:r>
        <w:rPr>
          <w:rFonts w:ascii="Arial" w:cs="Arial" w:eastAsia="Arial" w:hAnsi="Arial"/>
          <w:b/>
          <w:bCs/>
          <w:color w:val="1A1A2E"/>
          <w:sz w:val="28"/>
          <w:szCs w:val="28"/>
        </w:rPr>
        <w:t xml:space="preserve">Users and Scope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A1A2E"/>
                <w:sz w:val="20"/>
                <w:szCs w:val="20"/>
              </w:rPr>
              <w:t xml:space="preserve">Developer / Operator</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A202C"/>
                <w:sz w:val="20"/>
                <w:szCs w:val="20"/>
              </w:rPr>
              <w:t xml:space="preserve">Felipe Moreira (cfelipemoreira@gmail.com)</w:t>
            </w:r>
          </w:p>
        </w:tc>
      </w:tr>
      <w:tr>
        <w:tc>
          <w:tcPr>
            <w:tcW w:type="dxa" w:w="2800"/>
            <w:tcBorders>
              <w:top w:val="single" w:color="CBD5E0" w:sz="1"/>
              <w:left w:val="single" w:color="CBD5E0" w:sz="1"/>
              <w:bottom w:val="single" w:color="CBD5E0" w:sz="1"/>
              <w:right w:val="single" w:color="CBD5E0" w:sz="1"/>
            </w:tcBorders>
            <w:shd w:fill="F7FAFC" w:val="clear"/>
            <w:tcMar>
              <w:top w:type="dxa" w:w="100"/>
              <w:left w:type="dxa" w:w="140"/>
              <w:bottom w:type="dxa" w:w="100"/>
              <w:right w:type="dxa" w:w="140"/>
            </w:tcMar>
          </w:tcPr>
          <w:p>
            <w:r>
              <w:rPr>
                <w:rFonts w:ascii="Arial" w:cs="Arial" w:eastAsia="Arial" w:hAnsi="Arial"/>
                <w:b/>
                <w:bCs/>
                <w:color w:val="1A1A2E"/>
                <w:sz w:val="20"/>
                <w:szCs w:val="20"/>
              </w:rPr>
              <w:t xml:space="preserve">Report Recipients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A202C"/>
                <w:sz w:val="20"/>
                <w:szCs w:val="20"/>
              </w:rPr>
              <w:t xml:space="preserve">felipe@nex.work  /  felipe@nexcoworking.com.br</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A1A2E"/>
                <w:sz w:val="20"/>
                <w:szCs w:val="20"/>
              </w:rPr>
              <w:t xml:space="preserve">Number of End Users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A202C"/>
                <w:sz w:val="20"/>
                <w:szCs w:val="20"/>
              </w:rPr>
              <w:t xml:space="preserve">1 (single-operator internal tool)</w:t>
            </w:r>
          </w:p>
        </w:tc>
      </w:tr>
      <w:tr>
        <w:tc>
          <w:tcPr>
            <w:tcW w:type="dxa" w:w="2800"/>
            <w:tcBorders>
              <w:top w:val="single" w:color="CBD5E0" w:sz="1"/>
              <w:left w:val="single" w:color="CBD5E0" w:sz="1"/>
              <w:bottom w:val="single" w:color="CBD5E0" w:sz="1"/>
              <w:right w:val="single" w:color="CBD5E0" w:sz="1"/>
            </w:tcBorders>
            <w:shd w:fill="F7FAFC" w:val="clear"/>
            <w:tcMar>
              <w:top w:type="dxa" w:w="100"/>
              <w:left w:type="dxa" w:w="140"/>
              <w:bottom w:type="dxa" w:w="100"/>
              <w:right w:type="dxa" w:w="140"/>
            </w:tcMar>
          </w:tcPr>
          <w:p>
            <w:r>
              <w:rPr>
                <w:rFonts w:ascii="Arial" w:cs="Arial" w:eastAsia="Arial" w:hAnsi="Arial"/>
                <w:b/>
                <w:bCs/>
                <w:color w:val="1A1A2E"/>
                <w:sz w:val="20"/>
                <w:szCs w:val="20"/>
              </w:rPr>
              <w:t xml:space="preserve">Deployment Scope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A202C"/>
                <w:sz w:val="20"/>
                <w:szCs w:val="20"/>
              </w:rPr>
              <w:t xml:space="preserve">Internal only — not a SaaS product or public service</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A1A2E"/>
                <w:sz w:val="20"/>
                <w:szCs w:val="20"/>
              </w:rPr>
              <w:t xml:space="preserve">Third-Party Access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A202C"/>
                <w:sz w:val="20"/>
                <w:szCs w:val="20"/>
              </w:rPr>
              <w:t xml:space="preserve">None — no data is shared with external parties</w:t>
            </w:r>
          </w:p>
        </w:tc>
      </w:tr>
      <w:tr>
        <w:tc>
          <w:tcPr>
            <w:tcW w:type="dxa" w:w="2800"/>
            <w:tcBorders>
              <w:top w:val="single" w:color="CBD5E0" w:sz="1"/>
              <w:left w:val="single" w:color="CBD5E0" w:sz="1"/>
              <w:bottom w:val="single" w:color="CBD5E0" w:sz="1"/>
              <w:right w:val="single" w:color="CBD5E0" w:sz="1"/>
            </w:tcBorders>
            <w:shd w:fill="F7FAFC" w:val="clear"/>
            <w:tcMar>
              <w:top w:type="dxa" w:w="100"/>
              <w:left w:type="dxa" w:w="140"/>
              <w:bottom w:type="dxa" w:w="100"/>
              <w:right w:type="dxa" w:w="140"/>
            </w:tcMar>
          </w:tcPr>
          <w:p>
            <w:r>
              <w:rPr>
                <w:rFonts w:ascii="Arial" w:cs="Arial" w:eastAsia="Arial" w:hAnsi="Arial"/>
                <w:b/>
                <w:bCs/>
                <w:color w:val="1A1A2E"/>
                <w:sz w:val="20"/>
                <w:szCs w:val="20"/>
              </w:rPr>
              <w:t xml:space="preserve">Commercial Use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1A202C"/>
                <w:sz w:val="20"/>
                <w:szCs w:val="20"/>
              </w:rPr>
              <w:t xml:space="preserve">No — tool is used for internal reporting only, not resale</w:t>
            </w:r>
          </w:p>
        </w:tc>
      </w:tr>
    </w:tbl>
    <w:p>
      <w:pPr>
        <w:spacing w:after="0" w:before="100"/>
      </w:pPr>
    </w:p>
    <w:p>
      <w:pPr>
        <w:spacing w:after="80" w:before="80"/>
      </w:pPr>
      <w:r>
        <w:rPr>
          <w:rFonts w:ascii="Arial" w:cs="Arial" w:eastAsia="Arial" w:hAnsi="Arial"/>
          <w:color w:val="1A202C"/>
          <w:sz w:val="22"/>
          <w:szCs w:val="22"/>
        </w:rPr>
        <w:t xml:space="preserve">This tool is not distributed to any external users. It is not offered as a service, does not have a public API, and is not accessible outside of the operator's private machine. Its sole function is to automate internal marketing reporting for a single business.</w:t>
      </w:r>
    </w:p>
    <w:p>
      <w:pPr>
        <w:pBdr>
          <w:bottom w:val="single" w:color="CBD5E0" w:sz="6" w:space="1"/>
        </w:pBdr>
        <w:spacing w:after="160" w:before="160"/>
      </w:pPr>
    </w:p>
    <w:p>
      <w:pPr>
        <w:pBdr>
          <w:bottom w:val="single" w:color="CBD5E0" w:sz="3" w:space="1"/>
        </w:pBdr>
        <w:spacing w:after="80" w:before="320"/>
      </w:pPr>
      <w:r>
        <w:rPr>
          <w:rFonts w:ascii="Arial" w:cs="Arial" w:eastAsia="Arial" w:hAnsi="Arial"/>
          <w:b/>
          <w:bCs/>
          <w:color w:val="0F3460"/>
          <w:sz w:val="28"/>
          <w:szCs w:val="28"/>
        </w:rPr>
        <w:t xml:space="preserve">7.  </w:t>
      </w:r>
      <w:r>
        <w:rPr>
          <w:rFonts w:ascii="Arial" w:cs="Arial" w:eastAsia="Arial" w:hAnsi="Arial"/>
          <w:b/>
          <w:bCs/>
          <w:color w:val="1A1A2E"/>
          <w:sz w:val="28"/>
          <w:szCs w:val="28"/>
        </w:rPr>
        <w:t xml:space="preserve">Compliance</w:t>
      </w:r>
    </w:p>
    <w:p>
      <w:pPr>
        <w:spacing w:after="0" w:before="80"/>
      </w:pPr>
    </w:p>
    <w:p>
      <w:pPr>
        <w:pStyle w:val="ListParagraph"/>
        <w:numPr>
          <w:ilvl w:val="0"/>
          <w:numId w:val="2"/>
        </w:numPr>
        <w:spacing w:after="60" w:before="60"/>
      </w:pPr>
      <w:r>
        <w:rPr>
          <w:rFonts w:ascii="Arial" w:cs="Arial" w:eastAsia="Arial" w:hAnsi="Arial"/>
          <w:color w:val="1A202C"/>
          <w:sz w:val="22"/>
          <w:szCs w:val="22"/>
        </w:rPr>
        <w:t xml:space="preserve">The tool complies fully with the Google Ads API Terms of Service</w:t>
      </w:r>
    </w:p>
    <w:p>
      <w:pPr>
        <w:pStyle w:val="ListParagraph"/>
        <w:numPr>
          <w:ilvl w:val="0"/>
          <w:numId w:val="2"/>
        </w:numPr>
        <w:spacing w:after="60" w:before="60"/>
      </w:pPr>
      <w:r>
        <w:rPr>
          <w:rFonts w:ascii="Arial" w:cs="Arial" w:eastAsia="Arial" w:hAnsi="Arial"/>
          <w:color w:val="1A202C"/>
          <w:sz w:val="22"/>
          <w:szCs w:val="22"/>
        </w:rPr>
        <w:t xml:space="preserve">Data is used solely for reporting and analysis of the advertiser's own account</w:t>
      </w:r>
    </w:p>
    <w:p>
      <w:pPr>
        <w:pStyle w:val="ListParagraph"/>
        <w:numPr>
          <w:ilvl w:val="0"/>
          <w:numId w:val="2"/>
        </w:numPr>
        <w:spacing w:after="60" w:before="60"/>
      </w:pPr>
      <w:r>
        <w:rPr>
          <w:rFonts w:ascii="Arial" w:cs="Arial" w:eastAsia="Arial" w:hAnsi="Arial"/>
          <w:color w:val="1A202C"/>
          <w:sz w:val="22"/>
          <w:szCs w:val="22"/>
        </w:rPr>
        <w:t xml:space="preserve">No automation of ad creation, bidding, or campaign management is performed</w:t>
      </w:r>
    </w:p>
    <w:p>
      <w:pPr>
        <w:pStyle w:val="ListParagraph"/>
        <w:numPr>
          <w:ilvl w:val="0"/>
          <w:numId w:val="2"/>
        </w:numPr>
        <w:spacing w:after="60" w:before="60"/>
      </w:pPr>
      <w:r>
        <w:rPr>
          <w:rFonts w:ascii="Arial" w:cs="Arial" w:eastAsia="Arial" w:hAnsi="Arial"/>
          <w:color w:val="1A202C"/>
          <w:sz w:val="22"/>
          <w:szCs w:val="22"/>
        </w:rPr>
        <w:t xml:space="preserve">No scraping or unauthorized data access is performed — only official API endpoints are used</w:t>
      </w:r>
    </w:p>
    <w:p>
      <w:pPr>
        <w:pStyle w:val="ListParagraph"/>
        <w:numPr>
          <w:ilvl w:val="0"/>
          <w:numId w:val="2"/>
        </w:numPr>
        <w:spacing w:after="60" w:before="60"/>
      </w:pPr>
      <w:r>
        <w:rPr>
          <w:rFonts w:ascii="Arial" w:cs="Arial" w:eastAsia="Arial" w:hAnsi="Arial"/>
          <w:color w:val="1A202C"/>
          <w:sz w:val="22"/>
          <w:szCs w:val="22"/>
        </w:rPr>
        <w:t xml:space="preserve">The developer token is associated with a Google account that has Manager (MCC) access to the NEX.WORK account</w:t>
      </w:r>
    </w:p>
    <w:p>
      <w:pPr>
        <w:pStyle w:val="ListParagraph"/>
        <w:numPr>
          <w:ilvl w:val="0"/>
          <w:numId w:val="2"/>
        </w:numPr>
        <w:spacing w:after="60" w:before="60"/>
      </w:pPr>
      <w:r>
        <w:rPr>
          <w:rFonts w:ascii="Arial" w:cs="Arial" w:eastAsia="Arial" w:hAnsi="Arial"/>
          <w:color w:val="1A202C"/>
          <w:sz w:val="22"/>
          <w:szCs w:val="22"/>
        </w:rPr>
        <w:t xml:space="preserve">OAuth 2.0 authorization follows Google's recommended offline access flow</w:t>
      </w:r>
    </w:p>
    <w:p>
      <w:pPr>
        <w:pStyle w:val="ListParagraph"/>
        <w:numPr>
          <w:ilvl w:val="0"/>
          <w:numId w:val="2"/>
        </w:numPr>
        <w:spacing w:after="60" w:before="60"/>
      </w:pPr>
      <w:r>
        <w:rPr>
          <w:rFonts w:ascii="Arial" w:cs="Arial" w:eastAsia="Arial" w:hAnsi="Arial"/>
          <w:color w:val="1A202C"/>
          <w:sz w:val="22"/>
          <w:szCs w:val="22"/>
        </w:rPr>
        <w:t xml:space="preserve">No Google Ads data is used for training machine learning models or resold in any form</w:t>
      </w:r>
    </w:p>
    <w:p>
      <w:pPr>
        <w:spacing w:after="0" w:before="160"/>
      </w:pPr>
    </w:p>
    <w:p>
      <w:pPr>
        <w:pBdr>
          <w:bottom w:val="single" w:color="CBD5E0" w:sz="6" w:space="1"/>
        </w:pBdr>
        <w:spacing w:after="160" w:before="160"/>
      </w:pPr>
    </w:p>
    <w:p>
      <w:pPr>
        <w:spacing w:after="0" w:before="120"/>
      </w:pPr>
    </w:p>
    <w:p>
      <w:pPr>
        <w:spacing w:after="40" w:before="0"/>
      </w:pPr>
      <w:r>
        <w:rPr>
          <w:rFonts w:ascii="Arial" w:cs="Arial" w:eastAsia="Arial" w:hAnsi="Arial"/>
          <w:color w:val="4A5568"/>
          <w:sz w:val="20"/>
          <w:szCs w:val="20"/>
        </w:rPr>
        <w:t xml:space="preserve">Document prepared by:</w:t>
      </w:r>
    </w:p>
    <w:p>
      <w:pPr>
        <w:spacing w:after="20" w:before="0"/>
      </w:pPr>
      <w:r>
        <w:rPr>
          <w:rFonts w:ascii="Arial" w:cs="Arial" w:eastAsia="Arial" w:hAnsi="Arial"/>
          <w:b/>
          <w:bCs/>
          <w:color w:val="1A1A2E"/>
          <w:sz w:val="24"/>
          <w:szCs w:val="24"/>
        </w:rPr>
        <w:t xml:space="preserve">Felipe Moreira</w:t>
      </w:r>
    </w:p>
    <w:p>
      <w:pPr>
        <w:spacing w:after="20" w:before="0"/>
      </w:pPr>
      <w:r>
        <w:rPr>
          <w:rFonts w:ascii="Arial" w:cs="Arial" w:eastAsia="Arial" w:hAnsi="Arial"/>
          <w:color w:val="4A5568"/>
          <w:sz w:val="20"/>
          <w:szCs w:val="20"/>
        </w:rPr>
        <w:t xml:space="preserve">Owner &amp; Developer  —  NEX Coworking</w:t>
      </w:r>
    </w:p>
    <w:p>
      <w:pPr>
        <w:spacing w:after="20" w:before="0"/>
      </w:pPr>
      <w:r>
        <w:rPr>
          <w:rFonts w:ascii="Arial" w:cs="Arial" w:eastAsia="Arial" w:hAnsi="Arial"/>
          <w:color w:val="0F3460"/>
          <w:sz w:val="20"/>
          <w:szCs w:val="20"/>
        </w:rPr>
        <w:t xml:space="preserve">cfelipemoreira@gmail.com  |  nex.work</w:t>
      </w:r>
    </w:p>
    <w:p>
      <w:pPr>
        <w:spacing w:after="0" w:before="0"/>
      </w:pPr>
      <w:r>
        <w:rPr>
          <w:rFonts w:ascii="Arial" w:cs="Arial" w:eastAsia="Arial" w:hAnsi="Arial"/>
          <w:color w:val="4A5568"/>
          <w:sz w:val="20"/>
          <w:szCs w:val="20"/>
        </w:rPr>
        <w:t xml:space="preserve">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3" w:space="1"/>
      </w:pBdr>
      <w:tabs>
        <w:tab w:val="right" w:pos="9360"/>
      </w:tabs>
    </w:pPr>
    <w:r>
      <w:rPr>
        <w:rFonts w:ascii="Arial" w:cs="Arial" w:eastAsia="Arial" w:hAnsi="Arial"/>
        <w:color w:val="A0AEC0"/>
        <w:sz w:val="16"/>
        <w:szCs w:val="16"/>
      </w:rPr>
      <w:t xml:space="preserve">NEX Coworking  |  nex.work  |  Internal Use Only</w:t>
    </w:r>
    <w:r>
      <w:rPr>
        <w:rFonts w:ascii="Arial" w:cs="Arial" w:eastAsia="Arial" w:hAnsi="Arial"/>
        <w:color w:val="A0AEC0"/>
        <w:sz w:val="16"/>
        <w:szCs w:val="16"/>
      </w:rPr>
      <w:t xml:space="preserve">	Page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3" w:space="1"/>
      </w:pBdr>
      <w:tabs>
        <w:tab w:val="right" w:pos="9360"/>
      </w:tabs>
    </w:pPr>
    <w:r>
      <w:rPr>
        <w:rFonts w:ascii="Arial" w:cs="Arial" w:eastAsia="Arial" w:hAnsi="Arial"/>
        <w:color w:val="718096"/>
        <w:sz w:val="18"/>
        <w:szCs w:val="18"/>
      </w:rPr>
      <w:t xml:space="preserve">NEX Reports Automation  —  Design Documentation</w:t>
    </w:r>
    <w:r>
      <w:rPr>
        <w:rFonts w:ascii="Arial" w:cs="Arial" w:eastAsia="Arial" w:hAnsi="Arial"/>
        <w:color w:val="A0AEC0"/>
        <w:sz w:val="18"/>
        <w:szCs w:val="18"/>
      </w:rPr>
      <w:t xml:space="preserve">	Confidential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2026-06-02T15:46:08.606Z</dcterms:created>
  <dcterms:modified xsi:type="dcterms:W3CDTF">2026-06-02T15:46:08.607Z</dcterms:modified>
</cp:coreProperties>
</file>

<file path=docProps/custom.xml><?xml version="1.0" encoding="utf-8"?>
<Properties xmlns="http://schemas.openxmlformats.org/officeDocument/2006/custom-properties" xmlns:vt="http://schemas.openxmlformats.org/officeDocument/2006/docPropsVTypes"/>
</file>