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0F766E"/>
          <w:sz w:val="60"/>
        </w:rPr>
        <w:t>PESNEER</w:t>
      </w:r>
    </w:p>
    <w:p>
      <w:pPr>
        <w:spacing w:after="360"/>
        <w:jc w:val="center"/>
      </w:pPr>
      <w:r>
        <w:rPr>
          <w:rFonts w:ascii="Calibri" w:hAnsi="Calibri"/>
          <w:color w:val="475569"/>
          <w:sz w:val="28"/>
        </w:rPr>
        <w:t>Pest Kontrol ve İlaçlama Firmaları İçin Çok Kiracılı Operasyon ve İşletme Yönetim Platformu</w:t>
        <w:br/>
        <w:t>Ürün Kapsamı ve Özellik Dokümanı</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2"/>
              </w:rPr>
              <w:t>📌 DOKÜMAN HAKKINDA</w:t>
              <w:br/>
            </w:r>
            <w:r>
              <w:rPr>
                <w:rFonts w:ascii="Calibri" w:hAnsi="Calibri"/>
                <w:color w:val="334155"/>
                <w:sz w:val="21"/>
              </w:rPr>
              <w:t>Bu doküman, Pesneer platformunun tüm işlevsel özelliklerini, kullanıcı rollerini, portal yapılarını, teknik mimarisini, veri güvenliği altyapısını ve gelecek yol haritasını detaylı olarak açıklamak üzere hazırlanmıştır.</w:t>
            </w:r>
          </w:p>
        </w:tc>
      </w:tr>
    </w:tbl>
    <w:p>
      <w:pPr>
        <w:spacing w:after="120"/>
      </w:pPr>
    </w:p>
    <w:p>
      <w:pPr>
        <w:keepNext/>
        <w:spacing w:before="320" w:after="120"/>
      </w:pPr>
      <w:r>
        <w:rPr>
          <w:rFonts w:ascii="Calibri" w:hAnsi="Calibri"/>
          <w:b/>
          <w:color w:val="0F766E"/>
          <w:sz w:val="36"/>
        </w:rPr>
        <w:t>1. Genel Bakış ve Proje Amacı</w:t>
      </w:r>
    </w:p>
    <w:p>
      <w:r>
        <w:t>Pesneer, pest kontrol (haşere ve kemirgen kontrolü) ve profesyonel ilaçlama sektöründe faaliyet gösteren firmaların tüm operasyonel, saha, müşteri ilişkileri, stok ve personel yönetimi süreçlerini dijitalleştirmek, verimliliği artırmak ve mevzuata uygun raporlama sunmak amacıyla geliştirilmiş modern bir yazılım platformudur.</w:t>
      </w:r>
    </w:p>
    <w:p>
      <w:r>
        <w:t>Platform; web istemcileri, mobil saha cihazları ve müşteri erişim noktalarını tek bir güçlü bulut altyapısında buluşturur. Çok kiracılı (multi-tenant) yapısı sayesinde farklı ilaçlama firmaları kendi verilerini tamamen izole şekilde yönetebilir.</w:t>
      </w:r>
    </w:p>
    <w:p>
      <w:pPr>
        <w:keepNext/>
        <w:spacing w:before="320" w:after="120"/>
      </w:pPr>
      <w:r>
        <w:rPr>
          <w:rFonts w:ascii="Calibri" w:hAnsi="Calibri"/>
          <w:b/>
          <w:color w:val="0F766E"/>
          <w:sz w:val="36"/>
        </w:rPr>
        <w:t>2. Teknik Mimari ve Güvenlik Altyapısı</w:t>
      </w:r>
    </w:p>
    <w:p>
      <w:pPr>
        <w:keepNext/>
        <w:spacing w:before="240" w:after="80"/>
      </w:pPr>
      <w:r>
        <w:rPr>
          <w:rFonts w:ascii="Calibri" w:hAnsi="Calibri"/>
          <w:b/>
          <w:color w:val="0284C7"/>
          <w:sz w:val="28"/>
        </w:rPr>
        <w:t>2.1. Yazılım Mimarisi (Modüler Monolit)</w:t>
      </w:r>
    </w:p>
    <w:p>
      <w:r>
        <w:t>Pesneer, sürdürülebilir büyüme ve yüksek performans hedefiyle modüler monolit (modular monolith) mimari prensibine göre tasarlanmıştır. Sistem bileşenleri net sınırlarla birbirinden ayrılmış olup ileride bağımsız mikroservislere dönüştürülebilir esnekliktedir.</w:t>
      </w:r>
    </w:p>
    <w:tbl>
      <w:tblPr>
        <w:tblW w:type="auto" w:w="0"/>
        <w:jc w:val="center"/>
        <w:tblLook w:firstColumn="1" w:firstRow="1" w:lastColumn="0" w:lastRow="0" w:noHBand="0" w:noVBand="1" w:val="04A0"/>
      </w:tblPr>
      <w:tblGrid>
        <w:gridCol w:w="3120"/>
        <w:gridCol w:w="3120"/>
        <w:gridCol w:w="3120"/>
      </w:tblGrid>
      <w:tr>
        <w:tc>
          <w:tcPr>
            <w:tcW w:type="dxa" w:w="2592"/>
            <w:shd w:fill="0F766E"/>
            <w:tcMar>
              <w:top w:w="100" w:type="dxa"/>
              <w:bottom w:w="100" w:type="dxa"/>
              <w:left w:w="120" w:type="dxa"/>
              <w:right w:w="120" w:type="dxa"/>
            </w:tcMar>
          </w:tcPr>
          <w:p>
            <w:pPr>
              <w:jc w:val="left"/>
            </w:pPr>
            <w:r>
              <w:rPr>
                <w:rFonts w:ascii="Calibri" w:hAnsi="Calibri"/>
                <w:b/>
                <w:color w:val="FFFFFF"/>
                <w:sz w:val="21"/>
              </w:rPr>
              <w:t>Katman</w:t>
            </w:r>
          </w:p>
        </w:tc>
        <w:tc>
          <w:tcPr>
            <w:tcW w:type="dxa" w:w="3168"/>
            <w:shd w:fill="0F766E"/>
            <w:tcMar>
              <w:top w:w="100" w:type="dxa"/>
              <w:bottom w:w="100" w:type="dxa"/>
              <w:left w:w="120" w:type="dxa"/>
              <w:right w:w="120" w:type="dxa"/>
            </w:tcMar>
          </w:tcPr>
          <w:p>
            <w:pPr>
              <w:jc w:val="left"/>
            </w:pPr>
            <w:r>
              <w:rPr>
                <w:rFonts w:ascii="Calibri" w:hAnsi="Calibri"/>
                <w:b/>
                <w:color w:val="FFFFFF"/>
                <w:sz w:val="21"/>
              </w:rPr>
              <w:t>Teknoloji / Araç</w:t>
            </w:r>
          </w:p>
        </w:tc>
        <w:tc>
          <w:tcPr>
            <w:tcW w:type="dxa" w:w="3600"/>
            <w:shd w:fill="0F766E"/>
            <w:tcMar>
              <w:top w:w="100" w:type="dxa"/>
              <w:bottom w:w="100" w:type="dxa"/>
              <w:left w:w="120" w:type="dxa"/>
              <w:right w:w="120" w:type="dxa"/>
            </w:tcMar>
          </w:tcPr>
          <w:p>
            <w:pPr>
              <w:jc w:val="left"/>
            </w:pPr>
            <w:r>
              <w:rPr>
                <w:rFonts w:ascii="Calibri" w:hAnsi="Calibri"/>
                <w:b/>
                <w:color w:val="FFFFFF"/>
                <w:sz w:val="21"/>
              </w:rPr>
              <w:t>Açıklama</w:t>
            </w:r>
          </w:p>
        </w:tc>
      </w:tr>
      <w:tr>
        <w:tc>
          <w:tcPr>
            <w:tcW w:type="dxa" w:w="2592"/>
            <w:shd w:fill="FFFFFF"/>
            <w:tcMar>
              <w:top w:w="80" w:type="dxa"/>
              <w:bottom w:w="80" w:type="dxa"/>
              <w:left w:w="120" w:type="dxa"/>
              <w:right w:w="120" w:type="dxa"/>
            </w:tcMar>
          </w:tcPr>
          <w:p>
            <w:pPr>
              <w:jc w:val="left"/>
            </w:pPr>
            <w:r>
              <w:rPr>
                <w:rFonts w:ascii="Calibri" w:hAnsi="Calibri"/>
                <w:color w:val="1E293B"/>
                <w:sz w:val="20"/>
              </w:rPr>
              <w:t>Ön Yüz (Frontend)</w:t>
            </w:r>
          </w:p>
        </w:tc>
        <w:tc>
          <w:tcPr>
            <w:tcW w:type="dxa" w:w="3168"/>
            <w:shd w:fill="FFFFFF"/>
            <w:tcMar>
              <w:top w:w="80" w:type="dxa"/>
              <w:bottom w:w="80" w:type="dxa"/>
              <w:left w:w="120" w:type="dxa"/>
              <w:right w:w="120" w:type="dxa"/>
            </w:tcMar>
          </w:tcPr>
          <w:p>
            <w:pPr>
              <w:jc w:val="left"/>
            </w:pPr>
            <w:r>
              <w:rPr>
                <w:rFonts w:ascii="Calibri" w:hAnsi="Calibri"/>
                <w:color w:val="1E293B"/>
                <w:sz w:val="20"/>
              </w:rPr>
              <w:t>React, TypeScript, Vite, Vanilla CSS</w:t>
            </w:r>
          </w:p>
        </w:tc>
        <w:tc>
          <w:tcPr>
            <w:tcW w:type="dxa" w:w="3600"/>
            <w:shd w:fill="FFFFFF"/>
            <w:tcMar>
              <w:top w:w="80" w:type="dxa"/>
              <w:bottom w:w="80" w:type="dxa"/>
              <w:left w:w="120" w:type="dxa"/>
              <w:right w:w="120" w:type="dxa"/>
            </w:tcMar>
          </w:tcPr>
          <w:p>
            <w:pPr>
              <w:jc w:val="left"/>
            </w:pPr>
            <w:r>
              <w:rPr>
                <w:rFonts w:ascii="Calibri" w:hAnsi="Calibri"/>
                <w:color w:val="1E293B"/>
                <w:sz w:val="20"/>
              </w:rPr>
              <w:t>Glassmorphism &amp; dark/light mod destekli duyarlı arayüz</w:t>
            </w:r>
          </w:p>
        </w:tc>
      </w:tr>
      <w:tr>
        <w:tc>
          <w:tcPr>
            <w:tcW w:type="dxa" w:w="2592"/>
            <w:shd w:fill="F8FAFC"/>
            <w:tcMar>
              <w:top w:w="80" w:type="dxa"/>
              <w:bottom w:w="80" w:type="dxa"/>
              <w:left w:w="120" w:type="dxa"/>
              <w:right w:w="120" w:type="dxa"/>
            </w:tcMar>
          </w:tcPr>
          <w:p>
            <w:pPr>
              <w:jc w:val="left"/>
            </w:pPr>
            <w:r>
              <w:rPr>
                <w:rFonts w:ascii="Calibri" w:hAnsi="Calibri"/>
                <w:color w:val="1E293B"/>
                <w:sz w:val="20"/>
              </w:rPr>
              <w:t>Arka Yüz (Backend)</w:t>
            </w:r>
          </w:p>
        </w:tc>
        <w:tc>
          <w:tcPr>
            <w:tcW w:type="dxa" w:w="3168"/>
            <w:shd w:fill="F8FAFC"/>
            <w:tcMar>
              <w:top w:w="80" w:type="dxa"/>
              <w:bottom w:w="80" w:type="dxa"/>
              <w:left w:w="120" w:type="dxa"/>
              <w:right w:w="120" w:type="dxa"/>
            </w:tcMar>
          </w:tcPr>
          <w:p>
            <w:pPr>
              <w:jc w:val="left"/>
            </w:pPr>
            <w:r>
              <w:rPr>
                <w:rFonts w:ascii="Calibri" w:hAnsi="Calibri"/>
                <w:color w:val="1E293B"/>
                <w:sz w:val="20"/>
              </w:rPr>
              <w:t>ASP.NET Core 8 Web API, C#</w:t>
            </w:r>
          </w:p>
        </w:tc>
        <w:tc>
          <w:tcPr>
            <w:tcW w:type="dxa" w:w="3600"/>
            <w:shd w:fill="F8FAFC"/>
            <w:tcMar>
              <w:top w:w="80" w:type="dxa"/>
              <w:bottom w:w="80" w:type="dxa"/>
              <w:left w:w="120" w:type="dxa"/>
              <w:right w:w="120" w:type="dxa"/>
            </w:tcMar>
          </w:tcPr>
          <w:p>
            <w:pPr>
              <w:jc w:val="left"/>
            </w:pPr>
            <w:r>
              <w:rPr>
                <w:rFonts w:ascii="Calibri" w:hAnsi="Calibri"/>
                <w:color w:val="1E293B"/>
                <w:sz w:val="20"/>
              </w:rPr>
              <w:t>Yüksek performanslı modüler RESTful API servisi</w:t>
            </w:r>
          </w:p>
        </w:tc>
      </w:tr>
      <w:tr>
        <w:tc>
          <w:tcPr>
            <w:tcW w:type="dxa" w:w="2592"/>
            <w:shd w:fill="FFFFFF"/>
            <w:tcMar>
              <w:top w:w="80" w:type="dxa"/>
              <w:bottom w:w="80" w:type="dxa"/>
              <w:left w:w="120" w:type="dxa"/>
              <w:right w:w="120" w:type="dxa"/>
            </w:tcMar>
          </w:tcPr>
          <w:p>
            <w:pPr>
              <w:jc w:val="left"/>
            </w:pPr>
            <w:r>
              <w:rPr>
                <w:rFonts w:ascii="Calibri" w:hAnsi="Calibri"/>
                <w:color w:val="1E293B"/>
                <w:sz w:val="20"/>
              </w:rPr>
              <w:t>Veri Erişimi (ORM)</w:t>
            </w:r>
          </w:p>
        </w:tc>
        <w:tc>
          <w:tcPr>
            <w:tcW w:type="dxa" w:w="3168"/>
            <w:shd w:fill="FFFFFF"/>
            <w:tcMar>
              <w:top w:w="80" w:type="dxa"/>
              <w:bottom w:w="80" w:type="dxa"/>
              <w:left w:w="120" w:type="dxa"/>
              <w:right w:w="120" w:type="dxa"/>
            </w:tcMar>
          </w:tcPr>
          <w:p>
            <w:pPr>
              <w:jc w:val="left"/>
            </w:pPr>
            <w:r>
              <w:rPr>
                <w:rFonts w:ascii="Calibri" w:hAnsi="Calibri"/>
                <w:color w:val="1E293B"/>
                <w:sz w:val="20"/>
              </w:rPr>
              <w:t>Entity Framework Core 8</w:t>
            </w:r>
          </w:p>
        </w:tc>
        <w:tc>
          <w:tcPr>
            <w:tcW w:type="dxa" w:w="3600"/>
            <w:shd w:fill="FFFFFF"/>
            <w:tcMar>
              <w:top w:w="80" w:type="dxa"/>
              <w:bottom w:w="80" w:type="dxa"/>
              <w:left w:w="120" w:type="dxa"/>
              <w:right w:w="120" w:type="dxa"/>
            </w:tcMar>
          </w:tcPr>
          <w:p>
            <w:pPr>
              <w:jc w:val="left"/>
            </w:pPr>
            <w:r>
              <w:rPr>
                <w:rFonts w:ascii="Calibri" w:hAnsi="Calibri"/>
                <w:color w:val="1E293B"/>
                <w:sz w:val="20"/>
              </w:rPr>
              <w:t>Global Query Filters ve LINQ destekli veri yönetimi</w:t>
            </w:r>
          </w:p>
        </w:tc>
      </w:tr>
      <w:tr>
        <w:tc>
          <w:tcPr>
            <w:tcW w:type="dxa" w:w="2592"/>
            <w:shd w:fill="F8FAFC"/>
            <w:tcMar>
              <w:top w:w="80" w:type="dxa"/>
              <w:bottom w:w="80" w:type="dxa"/>
              <w:left w:w="120" w:type="dxa"/>
              <w:right w:w="120" w:type="dxa"/>
            </w:tcMar>
          </w:tcPr>
          <w:p>
            <w:pPr>
              <w:jc w:val="left"/>
            </w:pPr>
            <w:r>
              <w:rPr>
                <w:rFonts w:ascii="Calibri" w:hAnsi="Calibri"/>
                <w:color w:val="1E293B"/>
                <w:sz w:val="20"/>
              </w:rPr>
              <w:t>Veritabanı</w:t>
            </w:r>
          </w:p>
        </w:tc>
        <w:tc>
          <w:tcPr>
            <w:tcW w:type="dxa" w:w="3168"/>
            <w:shd w:fill="F8FAFC"/>
            <w:tcMar>
              <w:top w:w="80" w:type="dxa"/>
              <w:bottom w:w="80" w:type="dxa"/>
              <w:left w:w="120" w:type="dxa"/>
              <w:right w:w="120" w:type="dxa"/>
            </w:tcMar>
          </w:tcPr>
          <w:p>
            <w:pPr>
              <w:jc w:val="left"/>
            </w:pPr>
            <w:r>
              <w:rPr>
                <w:rFonts w:ascii="Calibri" w:hAnsi="Calibri"/>
                <w:color w:val="1E293B"/>
                <w:sz w:val="20"/>
              </w:rPr>
              <w:t>SQLite (Dev) / PostgreSQL (Prod)</w:t>
            </w:r>
          </w:p>
        </w:tc>
        <w:tc>
          <w:tcPr>
            <w:tcW w:type="dxa" w:w="3600"/>
            <w:shd w:fill="F8FAFC"/>
            <w:tcMar>
              <w:top w:w="80" w:type="dxa"/>
              <w:bottom w:w="80" w:type="dxa"/>
              <w:left w:w="120" w:type="dxa"/>
              <w:right w:w="120" w:type="dxa"/>
            </w:tcMar>
          </w:tcPr>
          <w:p>
            <w:pPr>
              <w:jc w:val="left"/>
            </w:pPr>
            <w:r>
              <w:rPr>
                <w:rFonts w:ascii="Calibri" w:hAnsi="Calibri"/>
                <w:color w:val="1E293B"/>
                <w:sz w:val="20"/>
              </w:rPr>
              <w:t>Yerel geliştirmede pratik SQLite, üretimde PostgreSQL</w:t>
            </w:r>
          </w:p>
        </w:tc>
      </w:tr>
      <w:tr>
        <w:tc>
          <w:tcPr>
            <w:tcW w:type="dxa" w:w="2592"/>
            <w:shd w:fill="FFFFFF"/>
            <w:tcMar>
              <w:top w:w="80" w:type="dxa"/>
              <w:bottom w:w="80" w:type="dxa"/>
              <w:left w:w="120" w:type="dxa"/>
              <w:right w:w="120" w:type="dxa"/>
            </w:tcMar>
          </w:tcPr>
          <w:p>
            <w:pPr>
              <w:jc w:val="left"/>
            </w:pPr>
            <w:r>
              <w:rPr>
                <w:rFonts w:ascii="Calibri" w:hAnsi="Calibri"/>
                <w:color w:val="1E293B"/>
                <w:sz w:val="20"/>
              </w:rPr>
              <w:t>Konteynırlama &amp; Dağıtım</w:t>
            </w:r>
          </w:p>
        </w:tc>
        <w:tc>
          <w:tcPr>
            <w:tcW w:type="dxa" w:w="3168"/>
            <w:shd w:fill="FFFFFF"/>
            <w:tcMar>
              <w:top w:w="80" w:type="dxa"/>
              <w:bottom w:w="80" w:type="dxa"/>
              <w:left w:w="120" w:type="dxa"/>
              <w:right w:w="120" w:type="dxa"/>
            </w:tcMar>
          </w:tcPr>
          <w:p>
            <w:pPr>
              <w:jc w:val="left"/>
            </w:pPr>
            <w:r>
              <w:rPr>
                <w:rFonts w:ascii="Calibri" w:hAnsi="Calibri"/>
                <w:color w:val="1E293B"/>
                <w:sz w:val="20"/>
              </w:rPr>
              <w:t>Docker &amp; Railway</w:t>
            </w:r>
          </w:p>
        </w:tc>
        <w:tc>
          <w:tcPr>
            <w:tcW w:type="dxa" w:w="3600"/>
            <w:shd w:fill="FFFFFF"/>
            <w:tcMar>
              <w:top w:w="80" w:type="dxa"/>
              <w:bottom w:w="80" w:type="dxa"/>
              <w:left w:w="120" w:type="dxa"/>
              <w:right w:w="120" w:type="dxa"/>
            </w:tcMar>
          </w:tcPr>
          <w:p>
            <w:pPr>
              <w:jc w:val="left"/>
            </w:pPr>
            <w:r>
              <w:rPr>
                <w:rFonts w:ascii="Calibri" w:hAnsi="Calibri"/>
                <w:color w:val="1E293B"/>
                <w:sz w:val="20"/>
              </w:rPr>
              <w:t>Tek tıkla otomatik CI/CD, migration ve dağıtım altyapısı</w:t>
            </w:r>
          </w:p>
        </w:tc>
      </w:tr>
      <w:tr>
        <w:tc>
          <w:tcPr>
            <w:tcW w:type="dxa" w:w="2592"/>
            <w:shd w:fill="F8FAFC"/>
            <w:tcMar>
              <w:top w:w="80" w:type="dxa"/>
              <w:bottom w:w="80" w:type="dxa"/>
              <w:left w:w="120" w:type="dxa"/>
              <w:right w:w="120" w:type="dxa"/>
            </w:tcMar>
          </w:tcPr>
          <w:p>
            <w:pPr>
              <w:jc w:val="left"/>
            </w:pPr>
            <w:r>
              <w:rPr>
                <w:rFonts w:ascii="Calibri" w:hAnsi="Calibri"/>
                <w:color w:val="1E293B"/>
                <w:sz w:val="20"/>
              </w:rPr>
              <w:t>Kimlik Doğrulama</w:t>
            </w:r>
          </w:p>
        </w:tc>
        <w:tc>
          <w:tcPr>
            <w:tcW w:type="dxa" w:w="3168"/>
            <w:shd w:fill="F8FAFC"/>
            <w:tcMar>
              <w:top w:w="80" w:type="dxa"/>
              <w:bottom w:w="80" w:type="dxa"/>
              <w:left w:w="120" w:type="dxa"/>
              <w:right w:w="120" w:type="dxa"/>
            </w:tcMar>
          </w:tcPr>
          <w:p>
            <w:pPr>
              <w:jc w:val="left"/>
            </w:pPr>
            <w:r>
              <w:rPr>
                <w:rFonts w:ascii="Calibri" w:hAnsi="Calibri"/>
                <w:color w:val="1E293B"/>
                <w:sz w:val="20"/>
              </w:rPr>
              <w:t>JWT (JSON Web Token)</w:t>
            </w:r>
          </w:p>
        </w:tc>
        <w:tc>
          <w:tcPr>
            <w:tcW w:type="dxa" w:w="3600"/>
            <w:shd w:fill="F8FAFC"/>
            <w:tcMar>
              <w:top w:w="80" w:type="dxa"/>
              <w:bottom w:w="80" w:type="dxa"/>
              <w:left w:w="120" w:type="dxa"/>
              <w:right w:w="120" w:type="dxa"/>
            </w:tcMar>
          </w:tcPr>
          <w:p>
            <w:pPr>
              <w:jc w:val="left"/>
            </w:pPr>
            <w:r>
              <w:rPr>
                <w:rFonts w:ascii="Calibri" w:hAnsi="Calibri"/>
                <w:color w:val="1E293B"/>
                <w:sz w:val="20"/>
              </w:rPr>
              <w:t>Rol ve şirket bazlı yetki sertifikalandırma</w:t>
            </w:r>
          </w:p>
        </w:tc>
      </w:tr>
    </w:tbl>
    <w:p>
      <w:pPr>
        <w:spacing w:after="120"/>
      </w:pPr>
    </w:p>
    <w:p>
      <w:pPr>
        <w:keepNext/>
        <w:spacing w:before="240" w:after="80"/>
      </w:pPr>
      <w:r>
        <w:rPr>
          <w:rFonts w:ascii="Calibri" w:hAnsi="Calibri"/>
          <w:b/>
          <w:color w:val="0284C7"/>
          <w:sz w:val="28"/>
        </w:rPr>
        <w:t>2.2. Çok Kiracılı Veri İzolasyonu (Multi-Tenancy Security)</w:t>
      </w:r>
    </w:p>
    <w:p>
      <w:r>
        <w:t>Her firmanın müşteri verisi, iş emirleri, stok ve personel kayıtları ticari bir sır niteliğindedir. Pesneer veri güvenliğini şu 5 katmanlı mekanizma ile sağlar:</w:t>
      </w:r>
    </w:p>
    <w:p>
      <w:pPr>
        <w:pStyle w:val="ListBullet"/>
        <w:spacing w:after="60"/>
      </w:pPr>
      <w:r>
        <w:rPr>
          <w:b/>
          <w:color w:val="0F766E"/>
        </w:rPr>
        <w:t xml:space="preserve">1. Şirket Etiketi (CompanyId): </w:t>
      </w:r>
      <w:r>
        <w:rPr>
          <w:color w:val="1E293B"/>
        </w:rPr>
        <w:t>Sistemdeki tüm operasyonel veritabanı tabloları CompanyId alanına sahiptir.</w:t>
      </w:r>
    </w:p>
    <w:p>
      <w:pPr>
        <w:pStyle w:val="ListBullet"/>
        <w:spacing w:after="60"/>
      </w:pPr>
      <w:r>
        <w:rPr>
          <w:b/>
          <w:color w:val="0F766E"/>
        </w:rPr>
        <w:t xml:space="preserve">2. Global Sorgu Filtreleri: </w:t>
      </w:r>
      <w:r>
        <w:rPr>
          <w:color w:val="1E293B"/>
        </w:rPr>
        <w:t>EF Core katmanında tanımlı otomatik filtreler sayesinde hiçbir kullanıcı farklı bir firmanın verisini sorgulayamaz.</w:t>
      </w:r>
    </w:p>
    <w:p>
      <w:pPr>
        <w:pStyle w:val="ListBullet"/>
        <w:spacing w:after="60"/>
      </w:pPr>
      <w:r>
        <w:rPr>
          <w:b/>
          <w:color w:val="0F766E"/>
        </w:rPr>
        <w:t xml:space="preserve">3. Kayıt Güvenlik Kontrolü (SaveChangesAsync): </w:t>
      </w:r>
      <w:r>
        <w:rPr>
          <w:color w:val="1E293B"/>
        </w:rPr>
        <w:t>Veritabanına yazma esnasında oturum açan JWT tokenındaki şirket kimliği doğrulanır, uygunsuz istekler otomatik engellenir.</w:t>
      </w:r>
    </w:p>
    <w:p>
      <w:pPr>
        <w:pStyle w:val="ListBullet"/>
        <w:spacing w:after="60"/>
      </w:pPr>
      <w:r>
        <w:rPr>
          <w:b/>
          <w:color w:val="0F766E"/>
        </w:rPr>
        <w:t xml:space="preserve">4. Güvenli Token İzolasyonu: </w:t>
      </w:r>
      <w:r>
        <w:rPr>
          <w:color w:val="1E293B"/>
        </w:rPr>
        <w:t>JWT içerisinde company_id, role, portal ve customer_id bilgileri sunucu tarafından imzalanır. İstemci tarafında manipüle edilemez.</w:t>
      </w:r>
    </w:p>
    <w:p>
      <w:pPr>
        <w:pStyle w:val="ListBullet"/>
        <w:spacing w:after="60"/>
      </w:pPr>
      <w:r>
        <w:rPr>
          <w:b/>
          <w:color w:val="0F766E"/>
        </w:rPr>
        <w:t xml:space="preserve">5. Üretim Katmanı (PostgreSQL RLS Vizyonu): </w:t>
      </w:r>
      <w:r>
        <w:rPr>
          <w:color w:val="1E293B"/>
        </w:rPr>
        <w:t>Üretim ortamında PostgreSQL Row Level Security politikaları ile ikinci bir veri koruma kalkanı sağlanmaktadır.</w:t>
      </w:r>
    </w:p>
    <w:p>
      <w:pPr>
        <w:keepNext/>
        <w:spacing w:before="320" w:after="120"/>
      </w:pPr>
      <w:r>
        <w:rPr>
          <w:rFonts w:ascii="Calibri" w:hAnsi="Calibri"/>
          <w:b/>
          <w:color w:val="0F766E"/>
          <w:sz w:val="36"/>
        </w:rPr>
        <w:t>3. Kimlik Doğrulama ve Rol Bazlı Erişim Mimarisi</w:t>
      </w:r>
    </w:p>
    <w:p>
      <w:r>
        <w:t>Pesneer, platforma erişen kullanıcı tiplerine özel 3 ayrı giriş deneyimi ve portal sunar:</w:t>
      </w:r>
    </w:p>
    <w:tbl>
      <w:tblPr>
        <w:tblW w:type="auto" w:w="0"/>
        <w:jc w:val="center"/>
        <w:tblLook w:firstColumn="1" w:firstRow="1" w:lastColumn="0" w:lastRow="0" w:noHBand="0" w:noVBand="1" w:val="04A0"/>
      </w:tblPr>
      <w:tblGrid>
        <w:gridCol w:w="3120"/>
        <w:gridCol w:w="3120"/>
        <w:gridCol w:w="3120"/>
      </w:tblGrid>
      <w:tr>
        <w:tc>
          <w:tcPr>
            <w:tcW w:type="dxa" w:w="2592"/>
            <w:shd w:fill="0F766E"/>
            <w:tcMar>
              <w:top w:w="100" w:type="dxa"/>
              <w:bottom w:w="100" w:type="dxa"/>
              <w:left w:w="120" w:type="dxa"/>
              <w:right w:w="120" w:type="dxa"/>
            </w:tcMar>
          </w:tcPr>
          <w:p>
            <w:pPr>
              <w:jc w:val="left"/>
            </w:pPr>
            <w:r>
              <w:rPr>
                <w:rFonts w:ascii="Calibri" w:hAnsi="Calibri"/>
                <w:b/>
                <w:color w:val="FFFFFF"/>
                <w:sz w:val="21"/>
              </w:rPr>
              <w:t>Kullanıcı Rolü</w:t>
            </w:r>
          </w:p>
        </w:tc>
        <w:tc>
          <w:tcPr>
            <w:tcW w:type="dxa" w:w="3168"/>
            <w:shd w:fill="0F766E"/>
            <w:tcMar>
              <w:top w:w="100" w:type="dxa"/>
              <w:bottom w:w="100" w:type="dxa"/>
              <w:left w:w="120" w:type="dxa"/>
              <w:right w:w="120" w:type="dxa"/>
            </w:tcMar>
          </w:tcPr>
          <w:p>
            <w:pPr>
              <w:jc w:val="left"/>
            </w:pPr>
            <w:r>
              <w:rPr>
                <w:rFonts w:ascii="Calibri" w:hAnsi="Calibri"/>
                <w:b/>
                <w:color w:val="FFFFFF"/>
                <w:sz w:val="21"/>
              </w:rPr>
              <w:t>Giriş Bilgileri</w:t>
            </w:r>
          </w:p>
        </w:tc>
        <w:tc>
          <w:tcPr>
            <w:tcW w:type="dxa" w:w="3600"/>
            <w:shd w:fill="0F766E"/>
            <w:tcMar>
              <w:top w:w="100" w:type="dxa"/>
              <w:bottom w:w="100" w:type="dxa"/>
              <w:left w:w="120" w:type="dxa"/>
              <w:right w:w="120" w:type="dxa"/>
            </w:tcMar>
          </w:tcPr>
          <w:p>
            <w:pPr>
              <w:jc w:val="left"/>
            </w:pPr>
            <w:r>
              <w:rPr>
                <w:rFonts w:ascii="Calibri" w:hAnsi="Calibri"/>
                <w:b/>
                <w:color w:val="FFFFFF"/>
                <w:sz w:val="21"/>
              </w:rPr>
              <w:t>Erişim Yetkisi ve Kapsam</w:t>
            </w:r>
          </w:p>
        </w:tc>
      </w:tr>
      <w:tr>
        <w:tc>
          <w:tcPr>
            <w:tcW w:type="dxa" w:w="2592"/>
            <w:shd w:fill="FFFFFF"/>
            <w:tcMar>
              <w:top w:w="80" w:type="dxa"/>
              <w:bottom w:w="80" w:type="dxa"/>
              <w:left w:w="120" w:type="dxa"/>
              <w:right w:w="120" w:type="dxa"/>
            </w:tcMar>
          </w:tcPr>
          <w:p>
            <w:pPr>
              <w:jc w:val="left"/>
            </w:pPr>
            <w:r>
              <w:rPr>
                <w:rFonts w:ascii="Calibri" w:hAnsi="Calibri"/>
                <w:color w:val="1E293B"/>
                <w:sz w:val="20"/>
              </w:rPr>
              <w:t>Firma Sahibi (Owner)</w:t>
            </w:r>
          </w:p>
        </w:tc>
        <w:tc>
          <w:tcPr>
            <w:tcW w:type="dxa" w:w="3168"/>
            <w:shd w:fill="FFFFFF"/>
            <w:tcMar>
              <w:top w:w="80" w:type="dxa"/>
              <w:bottom w:w="80" w:type="dxa"/>
              <w:left w:w="120" w:type="dxa"/>
              <w:right w:w="120" w:type="dxa"/>
            </w:tcMar>
          </w:tcPr>
          <w:p>
            <w:pPr>
              <w:jc w:val="left"/>
            </w:pPr>
            <w:r>
              <w:rPr>
                <w:rFonts w:ascii="Calibri" w:hAnsi="Calibri"/>
                <w:color w:val="1E293B"/>
                <w:sz w:val="20"/>
              </w:rPr>
              <w:t>E-posta + Parola</w:t>
            </w:r>
          </w:p>
        </w:tc>
        <w:tc>
          <w:tcPr>
            <w:tcW w:type="dxa" w:w="3600"/>
            <w:shd w:fill="FFFFFF"/>
            <w:tcMar>
              <w:top w:w="80" w:type="dxa"/>
              <w:bottom w:w="80" w:type="dxa"/>
              <w:left w:w="120" w:type="dxa"/>
              <w:right w:w="120" w:type="dxa"/>
            </w:tcMar>
          </w:tcPr>
          <w:p>
            <w:pPr>
              <w:jc w:val="left"/>
            </w:pPr>
            <w:r>
              <w:rPr>
                <w:rFonts w:ascii="Calibri" w:hAnsi="Calibri"/>
                <w:color w:val="1E293B"/>
                <w:sz w:val="20"/>
              </w:rPr>
              <w:t>Tüm şirket verileri, finans, ekip yönetimi, stok ve sistem ayarları</w:t>
            </w:r>
          </w:p>
        </w:tc>
      </w:tr>
      <w:tr>
        <w:tc>
          <w:tcPr>
            <w:tcW w:type="dxa" w:w="2592"/>
            <w:shd w:fill="F8FAFC"/>
            <w:tcMar>
              <w:top w:w="80" w:type="dxa"/>
              <w:bottom w:w="80" w:type="dxa"/>
              <w:left w:w="120" w:type="dxa"/>
              <w:right w:w="120" w:type="dxa"/>
            </w:tcMar>
          </w:tcPr>
          <w:p>
            <w:pPr>
              <w:jc w:val="left"/>
            </w:pPr>
            <w:r>
              <w:rPr>
                <w:rFonts w:ascii="Calibri" w:hAnsi="Calibri"/>
                <w:color w:val="1E293B"/>
                <w:sz w:val="20"/>
              </w:rPr>
              <w:t>Saha Çalışanı (Employee)</w:t>
            </w:r>
          </w:p>
        </w:tc>
        <w:tc>
          <w:tcPr>
            <w:tcW w:type="dxa" w:w="3168"/>
            <w:shd w:fill="F8FAFC"/>
            <w:tcMar>
              <w:top w:w="80" w:type="dxa"/>
              <w:bottom w:w="80" w:type="dxa"/>
              <w:left w:w="120" w:type="dxa"/>
              <w:right w:w="120" w:type="dxa"/>
            </w:tcMar>
          </w:tcPr>
          <w:p>
            <w:pPr>
              <w:jc w:val="left"/>
            </w:pPr>
            <w:r>
              <w:rPr>
                <w:rFonts w:ascii="Calibri" w:hAnsi="Calibri"/>
                <w:color w:val="1E293B"/>
                <w:sz w:val="20"/>
              </w:rPr>
              <w:t>Firma Kodu + E-posta + Parola</w:t>
            </w:r>
          </w:p>
        </w:tc>
        <w:tc>
          <w:tcPr>
            <w:tcW w:type="dxa" w:w="3600"/>
            <w:shd w:fill="F8FAFC"/>
            <w:tcMar>
              <w:top w:w="80" w:type="dxa"/>
              <w:bottom w:w="80" w:type="dxa"/>
              <w:left w:w="120" w:type="dxa"/>
              <w:right w:w="120" w:type="dxa"/>
            </w:tcMar>
          </w:tcPr>
          <w:p>
            <w:pPr>
              <w:jc w:val="left"/>
            </w:pPr>
            <w:r>
              <w:rPr>
                <w:rFonts w:ascii="Calibri" w:hAnsi="Calibri"/>
                <w:color w:val="1E293B"/>
                <w:sz w:val="20"/>
              </w:rPr>
              <w:t>Atanan iş emirleri, zaman takibi (mesai), saha stok tüketimi ve imza</w:t>
            </w:r>
          </w:p>
        </w:tc>
      </w:tr>
      <w:tr>
        <w:tc>
          <w:tcPr>
            <w:tcW w:type="dxa" w:w="2592"/>
            <w:shd w:fill="FFFFFF"/>
            <w:tcMar>
              <w:top w:w="80" w:type="dxa"/>
              <w:bottom w:w="80" w:type="dxa"/>
              <w:left w:w="120" w:type="dxa"/>
              <w:right w:w="120" w:type="dxa"/>
            </w:tcMar>
          </w:tcPr>
          <w:p>
            <w:pPr>
              <w:jc w:val="left"/>
            </w:pPr>
            <w:r>
              <w:rPr>
                <w:rFonts w:ascii="Calibri" w:hAnsi="Calibri"/>
                <w:color w:val="1E293B"/>
                <w:sz w:val="20"/>
              </w:rPr>
              <w:t>Müşteri (Customer)</w:t>
            </w:r>
          </w:p>
        </w:tc>
        <w:tc>
          <w:tcPr>
            <w:tcW w:type="dxa" w:w="3168"/>
            <w:shd w:fill="FFFFFF"/>
            <w:tcMar>
              <w:top w:w="80" w:type="dxa"/>
              <w:bottom w:w="80" w:type="dxa"/>
              <w:left w:w="120" w:type="dxa"/>
              <w:right w:w="120" w:type="dxa"/>
            </w:tcMar>
          </w:tcPr>
          <w:p>
            <w:pPr>
              <w:jc w:val="left"/>
            </w:pPr>
            <w:r>
              <w:rPr>
                <w:rFonts w:ascii="Calibri" w:hAnsi="Calibri"/>
                <w:color w:val="1E293B"/>
                <w:sz w:val="20"/>
              </w:rPr>
              <w:t>Müşteri Kodu / E-posta + Parola</w:t>
            </w:r>
          </w:p>
        </w:tc>
        <w:tc>
          <w:tcPr>
            <w:tcW w:type="dxa" w:w="3600"/>
            <w:shd w:fill="FFFFFF"/>
            <w:tcMar>
              <w:top w:w="80" w:type="dxa"/>
              <w:bottom w:w="80" w:type="dxa"/>
              <w:left w:w="120" w:type="dxa"/>
              <w:right w:w="120" w:type="dxa"/>
            </w:tcMar>
          </w:tcPr>
          <w:p>
            <w:pPr>
              <w:jc w:val="left"/>
            </w:pPr>
            <w:r>
              <w:rPr>
                <w:rFonts w:ascii="Calibri" w:hAnsi="Calibri"/>
                <w:color w:val="1E293B"/>
                <w:sz w:val="20"/>
              </w:rPr>
              <w:t>Yalnızca kendi şubelerine ait ilaçlama raporları (EK-1) ve talep oluşturma</w:t>
            </w:r>
          </w:p>
        </w:tc>
      </w:tr>
    </w:tbl>
    <w:p>
      <w:pPr>
        <w:spacing w:after="120"/>
      </w:pPr>
    </w:p>
    <w:p>
      <w:pPr>
        <w:keepNext/>
        <w:spacing w:before="320" w:after="120"/>
      </w:pPr>
      <w:r>
        <w:rPr>
          <w:rFonts w:ascii="Calibri" w:hAnsi="Calibri"/>
          <w:b/>
          <w:color w:val="0F766E"/>
          <w:sz w:val="36"/>
        </w:rPr>
        <w:t>4. Detaylı Modül ve Arayüz Özellikleri</w:t>
      </w:r>
    </w:p>
    <w:p>
      <w:pPr>
        <w:keepNext/>
        <w:spacing w:before="240" w:after="80"/>
      </w:pPr>
      <w:r>
        <w:rPr>
          <w:rFonts w:ascii="Calibri" w:hAnsi="Calibri"/>
          <w:b/>
          <w:color w:val="0284C7"/>
          <w:sz w:val="28"/>
        </w:rPr>
        <w:t>4.1. Operasyon Merkezi ve Gösterge Paneli (Dashboard)</w:t>
      </w:r>
    </w:p>
    <w:p>
      <w:r>
        <w:t>Firma sahipleri ve yöneticiler için işletmenin anlık durumunu özetleyen interaktif kontrol paneli:</w:t>
      </w:r>
    </w:p>
    <w:p>
      <w:pPr>
        <w:pStyle w:val="ListBullet"/>
        <w:spacing w:after="60"/>
      </w:pPr>
      <w:r>
        <w:rPr>
          <w:b/>
          <w:color w:val="0F766E"/>
        </w:rPr>
        <w:t xml:space="preserve">Özet İstatistik Kartları: </w:t>
      </w:r>
      <w:r>
        <w:rPr>
          <w:color w:val="1E293B"/>
        </w:rPr>
        <w:t>Günlük toplam iş emri sayısı, devam eden operasyonlar, tamamlanan hizmetler ve iptal edilen işler.</w:t>
      </w:r>
    </w:p>
    <w:p>
      <w:pPr>
        <w:pStyle w:val="ListBullet"/>
        <w:spacing w:after="60"/>
      </w:pPr>
      <w:r>
        <w:rPr>
          <w:b/>
          <w:color w:val="0F766E"/>
        </w:rPr>
        <w:t xml:space="preserve">Canlı Ekip Durumu: </w:t>
      </w:r>
      <w:r>
        <w:rPr>
          <w:color w:val="1E293B"/>
        </w:rPr>
        <w:t>Sahada aktif çalışan personel sayısı, molada olanlar ve mesai dışı personelin anlık özeti.</w:t>
      </w:r>
    </w:p>
    <w:p>
      <w:pPr>
        <w:pStyle w:val="ListBullet"/>
        <w:spacing w:after="60"/>
      </w:pPr>
      <w:r>
        <w:rPr>
          <w:b/>
          <w:color w:val="0F766E"/>
        </w:rPr>
        <w:t xml:space="preserve">Kritik Stok Uyarısı: </w:t>
      </w:r>
      <w:r>
        <w:rPr>
          <w:color w:val="1E293B"/>
        </w:rPr>
        <w:t>Minimum stok seviyesinin altına düşen ilaç ve ekipmanların anında panoda vurgulanması.</w:t>
      </w:r>
    </w:p>
    <w:p>
      <w:pPr>
        <w:pStyle w:val="ListBullet"/>
        <w:spacing w:after="60"/>
      </w:pPr>
      <w:r>
        <w:rPr>
          <w:b/>
          <w:color w:val="0F766E"/>
        </w:rPr>
        <w:t xml:space="preserve">Hızlı İşlem Menüsü: </w:t>
      </w:r>
      <w:r>
        <w:rPr>
          <w:color w:val="1E293B"/>
        </w:rPr>
        <w:t>Tek tıkla yeni iş emri oluşturma, yeni çalışan kaydetme veya stok ekleme imkanı.</w:t>
      </w:r>
    </w:p>
    <w:p>
      <w:pPr>
        <w:keepNext/>
        <w:spacing w:before="240" w:after="80"/>
      </w:pPr>
      <w:r>
        <w:rPr>
          <w:rFonts w:ascii="Calibri" w:hAnsi="Calibri"/>
          <w:b/>
          <w:color w:val="0284C7"/>
          <w:sz w:val="28"/>
        </w:rPr>
        <w:t>4.2. Saha Çalışanı Portalı ve Zaman Takibi (Field Operations)</w:t>
      </w:r>
    </w:p>
    <w:p>
      <w:r>
        <w:t>Saha personeli için dokunmatik cihazlara ve akıllı telefonlara tam uyumlu mobil odaklı portal:</w:t>
      </w:r>
    </w:p>
    <w:p>
      <w:pPr>
        <w:pStyle w:val="ListBullet"/>
        <w:spacing w:after="60"/>
      </w:pPr>
      <w:r>
        <w:rPr>
          <w:b/>
          <w:color w:val="0F766E"/>
        </w:rPr>
        <w:t xml:space="preserve">Zaman Takip Sistemi (Clock-In / Clock-Out): </w:t>
      </w:r>
      <w:r>
        <w:rPr>
          <w:color w:val="1E293B"/>
        </w:rPr>
        <w:t>Çalışanların işe başlama, mola verme (Mola Başlat/Bitir), işe devam etme ve mesai bitiş saatlerini tek tıkla kaydetmesi.</w:t>
      </w:r>
    </w:p>
    <w:p>
      <w:pPr>
        <w:pStyle w:val="ListBullet"/>
        <w:spacing w:after="60"/>
      </w:pPr>
      <w:r>
        <w:rPr>
          <w:b/>
          <w:color w:val="0F766E"/>
        </w:rPr>
        <w:t xml:space="preserve">Net Çalışma Süresi Hesabı: </w:t>
      </w:r>
      <w:r>
        <w:rPr>
          <w:color w:val="1E293B"/>
        </w:rPr>
        <w:t>Mola süreleri otomatik düşülerek personelin günlük net mesai süresinin hesaplanması.</w:t>
      </w:r>
    </w:p>
    <w:p>
      <w:pPr>
        <w:pStyle w:val="ListBullet"/>
        <w:spacing w:after="60"/>
      </w:pPr>
      <w:r>
        <w:rPr>
          <w:b/>
          <w:color w:val="0F766E"/>
        </w:rPr>
        <w:t xml:space="preserve">Saha İş Emirleri Listesi: </w:t>
      </w:r>
      <w:r>
        <w:rPr>
          <w:color w:val="1E293B"/>
        </w:rPr>
        <w:t>İlaçlama personelinin gün içinde gitmesi gereken adreslerin, müşterilerin ve randevu saatlerinin listelenmesi.</w:t>
      </w:r>
    </w:p>
    <w:p>
      <w:pPr>
        <w:pStyle w:val="ListBullet"/>
        <w:spacing w:after="60"/>
      </w:pPr>
      <w:r>
        <w:rPr>
          <w:b/>
          <w:color w:val="0F766E"/>
        </w:rPr>
        <w:t xml:space="preserve">Saha Ürün / Araç Stok Kontrolü: </w:t>
      </w:r>
      <w:r>
        <w:rPr>
          <w:color w:val="1E293B"/>
        </w:rPr>
        <w:t>İlaçlama esnasında kullanılan ilaçların sistemdeki stoktan seçilmesi, miktar girilmesi veya listede olmayan ürünlerin manuel olarak eklenmesi.</w:t>
      </w:r>
    </w:p>
    <w:p>
      <w:pPr>
        <w:pStyle w:val="ListBullet"/>
        <w:spacing w:after="60"/>
      </w:pPr>
      <w:r>
        <w:rPr>
          <w:b/>
          <w:color w:val="0F766E"/>
        </w:rPr>
        <w:t xml:space="preserve">Yol Tarifi ve Konum Bilgisi: </w:t>
      </w:r>
      <w:r>
        <w:rPr>
          <w:color w:val="1E293B"/>
        </w:rPr>
        <w:t>Müşteri adresine harita ve yol tarifi desteği.</w:t>
      </w:r>
    </w:p>
    <w:p>
      <w:pPr>
        <w:keepNext/>
        <w:spacing w:before="240" w:after="80"/>
      </w:pPr>
      <w:r>
        <w:rPr>
          <w:rFonts w:ascii="Calibri" w:hAnsi="Calibri"/>
          <w:b/>
          <w:color w:val="0284C7"/>
          <w:sz w:val="28"/>
        </w:rPr>
        <w:t>4.3. İş Emirleri Yönetimi ve Dijital EK-1 Hizmet Raporu</w:t>
      </w:r>
    </w:p>
    <w:p>
      <w:r>
        <w:t>İlaçlama operasyonlarının uçtan uca yönetildiği ve belgelendiği ana modül:</w:t>
      </w:r>
    </w:p>
    <w:p>
      <w:pPr>
        <w:pStyle w:val="ListBullet"/>
        <w:spacing w:after="60"/>
      </w:pPr>
      <w:r>
        <w:rPr>
          <w:b/>
          <w:color w:val="0F766E"/>
        </w:rPr>
        <w:t xml:space="preserve">İş Emri Yaşam Döngüsü: </w:t>
      </w:r>
      <w:r>
        <w:rPr>
          <w:color w:val="1E293B"/>
        </w:rPr>
        <w:t>Bekliyor -&gt; Devam Ediyor -&gt; Tamamlandı / İptal durum geçişleri.</w:t>
      </w:r>
    </w:p>
    <w:p>
      <w:pPr>
        <w:pStyle w:val="ListBullet"/>
        <w:spacing w:after="60"/>
      </w:pPr>
      <w:r>
        <w:rPr>
          <w:b/>
          <w:color w:val="0F766E"/>
        </w:rPr>
        <w:t xml:space="preserve">İş Emri Detayları: </w:t>
      </w:r>
      <w:r>
        <w:rPr>
          <w:color w:val="1E293B"/>
        </w:rPr>
        <w:t>Müşteri adı, şube/adres, hizmet türü (Jel İlaçlama, Sıvı İlaçlama, Kemirgen Kontrolü vb.), randevu zamanı, atanan ekip ve uygulama notları.</w:t>
      </w:r>
    </w:p>
    <w:p>
      <w:pPr>
        <w:pStyle w:val="ListBullet"/>
        <w:spacing w:after="60"/>
      </w:pPr>
      <w:r>
        <w:rPr>
          <w:b/>
          <w:color w:val="0F766E"/>
        </w:rPr>
        <w:t xml:space="preserve">Dokunmatik Ekran Dijital İmza: </w:t>
      </w:r>
      <w:r>
        <w:rPr>
          <w:color w:val="1E293B"/>
        </w:rPr>
        <w:t>Hizmet tamamlandığında müşteri ve teknisyenin mobil cihaz ekranı üzerinde parmak/kalem ile dijital imza atabilmesi.</w:t>
      </w:r>
    </w:p>
    <w:p>
      <w:pPr>
        <w:pStyle w:val="ListBullet"/>
        <w:spacing w:after="60"/>
      </w:pPr>
      <w:r>
        <w:rPr>
          <w:b/>
          <w:color w:val="0F766E"/>
        </w:rPr>
        <w:t xml:space="preserve">Mevzuata Uygun Dijital EK-1 Hizmet Raporu: </w:t>
      </w:r>
      <w:r>
        <w:rPr>
          <w:color w:val="1E293B"/>
        </w:rPr>
        <w:t>İlaçlama sonrasında Sağlık Bakanlığı ve halk sağlığı standartlarına uygun, yazdırılabilir veya PDF olarak indirilebilir resmi EK-1 formatında hizmet belgesi üretilmesi.</w:t>
      </w:r>
    </w:p>
    <w:p>
      <w:pPr>
        <w:keepNext/>
        <w:spacing w:before="240" w:after="80"/>
      </w:pPr>
      <w:r>
        <w:rPr>
          <w:rFonts w:ascii="Calibri" w:hAnsi="Calibri"/>
          <w:b/>
          <w:color w:val="0284C7"/>
          <w:sz w:val="28"/>
        </w:rPr>
        <w:t>4.4. Operasyonel Takvim ve Planlama (Calendar)</w:t>
      </w:r>
    </w:p>
    <w:p>
      <w:r>
        <w:t>İş emirlerinin zamansal ve ekipsel dağılımını gösteren takvim modülü:</w:t>
      </w:r>
    </w:p>
    <w:p>
      <w:pPr>
        <w:pStyle w:val="ListBullet"/>
        <w:spacing w:after="60"/>
      </w:pPr>
      <w:r>
        <w:rPr>
          <w:b/>
          <w:color w:val="0F766E"/>
        </w:rPr>
        <w:t xml:space="preserve">Görünüm Seçenekleri: </w:t>
      </w:r>
      <w:r>
        <w:rPr>
          <w:color w:val="1E293B"/>
        </w:rPr>
        <w:t>Günlük, Haftalık ve Aylık takvim görünümleri.</w:t>
      </w:r>
    </w:p>
    <w:p>
      <w:pPr>
        <w:pStyle w:val="ListBullet"/>
        <w:spacing w:after="60"/>
      </w:pPr>
      <w:r>
        <w:rPr>
          <w:b/>
          <w:color w:val="0F766E"/>
        </w:rPr>
        <w:t xml:space="preserve">Personel Çakışma Önleme: </w:t>
      </w:r>
      <w:r>
        <w:rPr>
          <w:color w:val="1E293B"/>
        </w:rPr>
        <w:t>Aynı personele aynı saatte birden fazla iş atanmasını engelleyen kontrol yapısı.</w:t>
      </w:r>
    </w:p>
    <w:p>
      <w:pPr>
        <w:pStyle w:val="ListBullet"/>
        <w:spacing w:after="60"/>
      </w:pPr>
      <w:r>
        <w:rPr>
          <w:b/>
          <w:color w:val="0F766E"/>
        </w:rPr>
        <w:t xml:space="preserve">Periyodik Hizmet Planlama: </w:t>
      </w:r>
      <w:r>
        <w:rPr>
          <w:color w:val="1E293B"/>
        </w:rPr>
        <w:t>Düzenli ilaçlama yapılan işletmeler (restoran, otel, fabrika vb.) için tekrarlı iş emri oluşturma altyapısı.</w:t>
      </w:r>
    </w:p>
    <w:p>
      <w:pPr>
        <w:keepNext/>
        <w:spacing w:before="240" w:after="80"/>
      </w:pPr>
      <w:r>
        <w:rPr>
          <w:rFonts w:ascii="Calibri" w:hAnsi="Calibri"/>
          <w:b/>
          <w:color w:val="0284C7"/>
          <w:sz w:val="28"/>
        </w:rPr>
        <w:t>4.5. Ekip ve Personel Yönetimi (Team Management)</w:t>
      </w:r>
    </w:p>
    <w:p>
      <w:r>
        <w:t>Firma insan kaynakları ve ekip organizasyonu:</w:t>
      </w:r>
    </w:p>
    <w:p>
      <w:pPr>
        <w:pStyle w:val="ListBullet"/>
        <w:spacing w:after="60"/>
      </w:pPr>
      <w:r>
        <w:rPr>
          <w:b/>
          <w:color w:val="0F766E"/>
        </w:rPr>
        <w:t xml:space="preserve">Anında Çalışan Hesabı Oluşturma: </w:t>
      </w:r>
      <w:r>
        <w:rPr>
          <w:color w:val="1E293B"/>
        </w:rPr>
        <w:t>Firma sahibinin personel adı, e-posta, unvan/görev ve geçici şifre belirleyerek çalışan hesabı tanımlayabilmesi.</w:t>
      </w:r>
    </w:p>
    <w:p>
      <w:pPr>
        <w:pStyle w:val="ListBullet"/>
        <w:spacing w:after="60"/>
      </w:pPr>
      <w:r>
        <w:rPr>
          <w:b/>
          <w:color w:val="0F766E"/>
        </w:rPr>
        <w:t xml:space="preserve">Şifre Sıfırlama ve Düzenleme: </w:t>
      </w:r>
      <w:r>
        <w:rPr>
          <w:color w:val="1E293B"/>
        </w:rPr>
        <w:t>Çalışan şifrelerinin ve görev yetkilerinin firma sahibi tarafından yönetilmesi.</w:t>
      </w:r>
    </w:p>
    <w:p>
      <w:pPr>
        <w:keepNext/>
        <w:spacing w:before="240" w:after="80"/>
      </w:pPr>
      <w:r>
        <w:rPr>
          <w:rFonts w:ascii="Calibri" w:hAnsi="Calibri"/>
          <w:b/>
          <w:color w:val="0284C7"/>
          <w:sz w:val="28"/>
        </w:rPr>
        <w:t>4.6. Stok ve Depo Yönetimi (Inventory)</w:t>
      </w:r>
    </w:p>
    <w:p>
      <w:r>
        <w:t>İlaç ve malzeme tedarik/tüketim takibi:</w:t>
      </w:r>
    </w:p>
    <w:p>
      <w:pPr>
        <w:pStyle w:val="ListBullet"/>
        <w:spacing w:after="60"/>
      </w:pPr>
      <w:r>
        <w:rPr>
          <w:b/>
          <w:color w:val="0F766E"/>
        </w:rPr>
        <w:t xml:space="preserve">Ürün Tanımlama: </w:t>
      </w:r>
      <w:r>
        <w:rPr>
          <w:color w:val="1E293B"/>
        </w:rPr>
        <w:t>Biyosidal ürünler, insektisitler, rodentisitler, jel ve ekipmanların birim bazlı (Litre, Kg, Adet) kaydı.</w:t>
      </w:r>
    </w:p>
    <w:p>
      <w:pPr>
        <w:pStyle w:val="ListBullet"/>
        <w:spacing w:after="60"/>
      </w:pPr>
      <w:r>
        <w:rPr>
          <w:b/>
          <w:color w:val="0F766E"/>
        </w:rPr>
        <w:t xml:space="preserve">Minimum Stok Eşikleri: </w:t>
      </w:r>
      <w:r>
        <w:rPr>
          <w:color w:val="1E293B"/>
        </w:rPr>
        <w:t>Kritik seviyeye ulaşan stoklarda otomatik uyarı üretilmesi.</w:t>
      </w:r>
    </w:p>
    <w:p>
      <w:pPr>
        <w:pStyle w:val="ListBullet"/>
        <w:spacing w:after="60"/>
      </w:pPr>
      <w:r>
        <w:rPr>
          <w:b/>
          <w:color w:val="0F766E"/>
        </w:rPr>
        <w:t xml:space="preserve">Otomatik Stok Düşümü: </w:t>
      </w:r>
      <w:r>
        <w:rPr>
          <w:color w:val="1E293B"/>
        </w:rPr>
        <w:t>Sahada tamamlanan iş emirlerinde kullanılan ilaçların ana depodan veya araç stoğundan otomatik eksilmesi.</w:t>
      </w:r>
    </w:p>
    <w:p>
      <w:pPr>
        <w:keepNext/>
        <w:spacing w:before="240" w:after="80"/>
      </w:pPr>
      <w:r>
        <w:rPr>
          <w:rFonts w:ascii="Calibri" w:hAnsi="Calibri"/>
          <w:b/>
          <w:color w:val="0284C7"/>
          <w:sz w:val="28"/>
        </w:rPr>
        <w:t>4.7. Raporlar ve Analizler (Reports &amp; Analytics)</w:t>
      </w:r>
    </w:p>
    <w:p>
      <w:r>
        <w:t>Firma yöneticileri için performans ve verimlilik ölçümleme ekranı:</w:t>
      </w:r>
    </w:p>
    <w:p>
      <w:pPr>
        <w:pStyle w:val="ListBullet"/>
        <w:spacing w:after="60"/>
      </w:pPr>
      <w:r>
        <w:rPr>
          <w:b/>
          <w:color w:val="0F766E"/>
        </w:rPr>
        <w:t xml:space="preserve">Personel Çalışma Analizi: </w:t>
      </w:r>
      <w:r>
        <w:rPr>
          <w:color w:val="1E293B"/>
        </w:rPr>
        <w:t>Günlük ve son 7 günlük personel bazlı net çalışma ve mola sürelerinin detaylı dökümü.</w:t>
      </w:r>
    </w:p>
    <w:p>
      <w:pPr>
        <w:pStyle w:val="ListBullet"/>
        <w:spacing w:after="60"/>
      </w:pPr>
      <w:r>
        <w:rPr>
          <w:b/>
          <w:color w:val="0F766E"/>
        </w:rPr>
        <w:t xml:space="preserve">Operasyonel Verimlilik: </w:t>
      </w:r>
      <w:r>
        <w:rPr>
          <w:color w:val="1E293B"/>
        </w:rPr>
        <w:t>Zamanında tamamlanan iş oranları ve günlük hizmet kapasitesi takibi.</w:t>
      </w:r>
    </w:p>
    <w:p>
      <w:pPr>
        <w:keepNext/>
        <w:spacing w:before="240" w:after="80"/>
      </w:pPr>
      <w:r>
        <w:rPr>
          <w:rFonts w:ascii="Calibri" w:hAnsi="Calibri"/>
          <w:b/>
          <w:color w:val="0284C7"/>
          <w:sz w:val="28"/>
        </w:rPr>
        <w:t>4.8. Müşteri Portalı (Customer Portal)</w:t>
      </w:r>
    </w:p>
    <w:p>
      <w:r>
        <w:t>İlaçlama hizmeti alan kurumsal ve bireysel müşterilerin eriştiği özel şeffaf portal:</w:t>
      </w:r>
    </w:p>
    <w:p>
      <w:pPr>
        <w:pStyle w:val="ListBullet"/>
        <w:spacing w:after="60"/>
      </w:pPr>
      <w:r>
        <w:rPr>
          <w:b/>
          <w:color w:val="0F766E"/>
        </w:rPr>
        <w:t xml:space="preserve">Hizmet Geçmişi: </w:t>
      </w:r>
      <w:r>
        <w:rPr>
          <w:color w:val="1E293B"/>
        </w:rPr>
        <w:t>İşletmede gerçekleştirilen tüm ilaçlama ve pest kontrol uygulamalarının listelenmesi.</w:t>
      </w:r>
    </w:p>
    <w:p>
      <w:pPr>
        <w:pStyle w:val="ListBullet"/>
        <w:spacing w:after="60"/>
      </w:pPr>
      <w:r>
        <w:rPr>
          <w:b/>
          <w:color w:val="0F766E"/>
        </w:rPr>
        <w:t xml:space="preserve">Belge &amp; EK-1 Rapor Arşivi: </w:t>
      </w:r>
      <w:r>
        <w:rPr>
          <w:color w:val="1E293B"/>
        </w:rPr>
        <w:t>Düzenlenen hizmet raporlarını görüntüleme ve PDF çıktısı alma.</w:t>
      </w:r>
    </w:p>
    <w:p>
      <w:pPr>
        <w:pStyle w:val="ListBullet"/>
        <w:spacing w:after="60"/>
      </w:pPr>
      <w:r>
        <w:rPr>
          <w:b/>
          <w:color w:val="0F766E"/>
        </w:rPr>
        <w:t xml:space="preserve">Yeni Hizmet Talebi: </w:t>
      </w:r>
      <w:r>
        <w:rPr>
          <w:color w:val="1E293B"/>
        </w:rPr>
        <w:t>Müşterinin firma yönetimine doğrudan yeni ilaçlama veya kontrol talebi iletebilmesi.</w:t>
      </w:r>
    </w:p>
    <w:p>
      <w:pPr>
        <w:keepNext/>
        <w:spacing w:before="320" w:after="120"/>
      </w:pPr>
      <w:r>
        <w:rPr>
          <w:rFonts w:ascii="Calibri" w:hAnsi="Calibri"/>
          <w:b/>
          <w:color w:val="0F766E"/>
          <w:sz w:val="36"/>
        </w:rPr>
        <w:t>5. Rekabet Üstünlükleri ve Gelecek Sürüm Yol Haritası</w:t>
      </w:r>
    </w:p>
    <w:p>
      <w:r>
        <w:t>Pesneer, sektördeki geleneksel yazılımların (örn. Jetek vb.) ötesine geçerek aşağıdaki yenilikçi modülleri yol haritasına almıştır:</w:t>
      </w:r>
    </w:p>
    <w:tbl>
      <w:tblPr>
        <w:tblW w:type="auto" w:w="0"/>
        <w:jc w:val="center"/>
        <w:tblLook w:firstColumn="1" w:firstRow="1" w:lastColumn="0" w:lastRow="0" w:noHBand="0" w:noVBand="1" w:val="04A0"/>
      </w:tblPr>
      <w:tblGrid>
        <w:gridCol w:w="3120"/>
        <w:gridCol w:w="3120"/>
        <w:gridCol w:w="3120"/>
      </w:tblGrid>
      <w:tr>
        <w:tc>
          <w:tcPr>
            <w:tcW w:type="dxa" w:w="2880"/>
            <w:shd w:fill="0F766E"/>
            <w:tcMar>
              <w:top w:w="100" w:type="dxa"/>
              <w:bottom w:w="100" w:type="dxa"/>
              <w:left w:w="120" w:type="dxa"/>
              <w:right w:w="120" w:type="dxa"/>
            </w:tcMar>
          </w:tcPr>
          <w:p>
            <w:pPr>
              <w:jc w:val="left"/>
            </w:pPr>
            <w:r>
              <w:rPr>
                <w:rFonts w:ascii="Calibri" w:hAnsi="Calibri"/>
                <w:b/>
                <w:color w:val="FFFFFF"/>
                <w:sz w:val="21"/>
              </w:rPr>
              <w:t>Özellik / Modül</w:t>
            </w:r>
          </w:p>
        </w:tc>
        <w:tc>
          <w:tcPr>
            <w:tcW w:type="dxa" w:w="3168"/>
            <w:shd w:fill="0F766E"/>
            <w:tcMar>
              <w:top w:w="100" w:type="dxa"/>
              <w:bottom w:w="100" w:type="dxa"/>
              <w:left w:w="120" w:type="dxa"/>
              <w:right w:w="120" w:type="dxa"/>
            </w:tcMar>
          </w:tcPr>
          <w:p>
            <w:pPr>
              <w:jc w:val="left"/>
            </w:pPr>
            <w:r>
              <w:rPr>
                <w:rFonts w:ascii="Calibri" w:hAnsi="Calibri"/>
                <w:b/>
                <w:color w:val="FFFFFF"/>
                <w:sz w:val="21"/>
              </w:rPr>
              <w:t>Geleneksel Yazılımlar</w:t>
            </w:r>
          </w:p>
        </w:tc>
        <w:tc>
          <w:tcPr>
            <w:tcW w:type="dxa" w:w="3312"/>
            <w:shd w:fill="0F766E"/>
            <w:tcMar>
              <w:top w:w="100" w:type="dxa"/>
              <w:bottom w:w="100" w:type="dxa"/>
              <w:left w:w="120" w:type="dxa"/>
              <w:right w:w="120" w:type="dxa"/>
            </w:tcMar>
          </w:tcPr>
          <w:p>
            <w:pPr>
              <w:jc w:val="left"/>
            </w:pPr>
            <w:r>
              <w:rPr>
                <w:rFonts w:ascii="Calibri" w:hAnsi="Calibri"/>
                <w:b/>
                <w:color w:val="FFFFFF"/>
                <w:sz w:val="21"/>
              </w:rPr>
              <w:t>Pesneer Hedef &amp; Yenilik</w:t>
            </w:r>
          </w:p>
        </w:tc>
      </w:tr>
      <w:tr>
        <w:tc>
          <w:tcPr>
            <w:tcW w:type="dxa" w:w="2880"/>
            <w:shd w:fill="FFFFFF"/>
            <w:tcMar>
              <w:top w:w="80" w:type="dxa"/>
              <w:bottom w:w="80" w:type="dxa"/>
              <w:left w:w="120" w:type="dxa"/>
              <w:right w:w="120" w:type="dxa"/>
            </w:tcMar>
          </w:tcPr>
          <w:p>
            <w:pPr>
              <w:jc w:val="left"/>
            </w:pPr>
            <w:r>
              <w:rPr>
                <w:rFonts w:ascii="Calibri" w:hAnsi="Calibri"/>
                <w:color w:val="1E293B"/>
                <w:sz w:val="20"/>
              </w:rPr>
              <w:t>QR İstasyon Takibi</w:t>
            </w:r>
          </w:p>
        </w:tc>
        <w:tc>
          <w:tcPr>
            <w:tcW w:type="dxa" w:w="3168"/>
            <w:shd w:fill="FFFFFF"/>
            <w:tcMar>
              <w:top w:w="80" w:type="dxa"/>
              <w:bottom w:w="80" w:type="dxa"/>
              <w:left w:w="120" w:type="dxa"/>
              <w:right w:w="120" w:type="dxa"/>
            </w:tcMar>
          </w:tcPr>
          <w:p>
            <w:pPr>
              <w:jc w:val="left"/>
            </w:pPr>
            <w:r>
              <w:rPr>
                <w:rFonts w:ascii="Calibri" w:hAnsi="Calibri"/>
                <w:color w:val="1E293B"/>
                <w:sz w:val="20"/>
              </w:rPr>
              <w:t>Manuel form kaydı</w:t>
            </w:r>
          </w:p>
        </w:tc>
        <w:tc>
          <w:tcPr>
            <w:tcW w:type="dxa" w:w="3312"/>
            <w:shd w:fill="FFFFFF"/>
            <w:tcMar>
              <w:top w:w="80" w:type="dxa"/>
              <w:bottom w:w="80" w:type="dxa"/>
              <w:left w:w="120" w:type="dxa"/>
              <w:right w:w="120" w:type="dxa"/>
            </w:tcMar>
          </w:tcPr>
          <w:p>
            <w:pPr>
              <w:jc w:val="left"/>
            </w:pPr>
            <w:r>
              <w:rPr>
                <w:rFonts w:ascii="Calibri" w:hAnsi="Calibri"/>
                <w:color w:val="1E293B"/>
                <w:sz w:val="20"/>
              </w:rPr>
              <w:t>Kemirgen/Haşere yem istasyonu QR kod tarama, harita/kroki üstünde durum takibi</w:t>
            </w:r>
          </w:p>
        </w:tc>
      </w:tr>
      <w:tr>
        <w:tc>
          <w:tcPr>
            <w:tcW w:type="dxa" w:w="2880"/>
            <w:shd w:fill="F8FAFC"/>
            <w:tcMar>
              <w:top w:w="80" w:type="dxa"/>
              <w:bottom w:w="80" w:type="dxa"/>
              <w:left w:w="120" w:type="dxa"/>
              <w:right w:w="120" w:type="dxa"/>
            </w:tcMar>
          </w:tcPr>
          <w:p>
            <w:pPr>
              <w:jc w:val="left"/>
            </w:pPr>
            <w:r>
              <w:rPr>
                <w:rFonts w:ascii="Calibri" w:hAnsi="Calibri"/>
                <w:color w:val="1E293B"/>
                <w:sz w:val="20"/>
              </w:rPr>
              <w:t>Yapay Zeka (AI) Tespiti</w:t>
            </w:r>
          </w:p>
        </w:tc>
        <w:tc>
          <w:tcPr>
            <w:tcW w:type="dxa" w:w="3168"/>
            <w:shd w:fill="F8FAFC"/>
            <w:tcMar>
              <w:top w:w="80" w:type="dxa"/>
              <w:bottom w:w="80" w:type="dxa"/>
              <w:left w:w="120" w:type="dxa"/>
              <w:right w:w="120" w:type="dxa"/>
            </w:tcMar>
          </w:tcPr>
          <w:p>
            <w:pPr>
              <w:jc w:val="left"/>
            </w:pPr>
            <w:r>
              <w:rPr>
                <w:rFonts w:ascii="Calibri" w:hAnsi="Calibri"/>
                <w:color w:val="1E293B"/>
                <w:sz w:val="20"/>
              </w:rPr>
              <w:t>Bulunmuyor</w:t>
            </w:r>
          </w:p>
        </w:tc>
        <w:tc>
          <w:tcPr>
            <w:tcW w:type="dxa" w:w="3312"/>
            <w:shd w:fill="F8FAFC"/>
            <w:tcMar>
              <w:top w:w="80" w:type="dxa"/>
              <w:bottom w:w="80" w:type="dxa"/>
              <w:left w:w="120" w:type="dxa"/>
              <w:right w:w="120" w:type="dxa"/>
            </w:tcMar>
          </w:tcPr>
          <w:p>
            <w:pPr>
              <w:jc w:val="left"/>
            </w:pPr>
            <w:r>
              <w:rPr>
                <w:rFonts w:ascii="Calibri" w:hAnsi="Calibri"/>
                <w:color w:val="1E293B"/>
                <w:sz w:val="20"/>
              </w:rPr>
              <w:t>Saha fotoğraflarından haşere türü tanıma ve yoğunluk tahmini</w:t>
            </w:r>
          </w:p>
        </w:tc>
      </w:tr>
      <w:tr>
        <w:tc>
          <w:tcPr>
            <w:tcW w:type="dxa" w:w="2880"/>
            <w:shd w:fill="FFFFFF"/>
            <w:tcMar>
              <w:top w:w="80" w:type="dxa"/>
              <w:bottom w:w="80" w:type="dxa"/>
              <w:left w:w="120" w:type="dxa"/>
              <w:right w:w="120" w:type="dxa"/>
            </w:tcMar>
          </w:tcPr>
          <w:p>
            <w:pPr>
              <w:jc w:val="left"/>
            </w:pPr>
            <w:r>
              <w:rPr>
                <w:rFonts w:ascii="Calibri" w:hAnsi="Calibri"/>
                <w:color w:val="1E293B"/>
                <w:sz w:val="20"/>
              </w:rPr>
              <w:t>Sürüm Yönetimli Formlar</w:t>
            </w:r>
          </w:p>
        </w:tc>
        <w:tc>
          <w:tcPr>
            <w:tcW w:type="dxa" w:w="3168"/>
            <w:shd w:fill="FFFFFF"/>
            <w:tcMar>
              <w:top w:w="80" w:type="dxa"/>
              <w:bottom w:w="80" w:type="dxa"/>
              <w:left w:w="120" w:type="dxa"/>
              <w:right w:w="120" w:type="dxa"/>
            </w:tcMar>
          </w:tcPr>
          <w:p>
            <w:pPr>
              <w:jc w:val="left"/>
            </w:pPr>
            <w:r>
              <w:rPr>
                <w:rFonts w:ascii="Calibri" w:hAnsi="Calibri"/>
                <w:color w:val="1E293B"/>
                <w:sz w:val="20"/>
              </w:rPr>
              <w:t>Sabit şablonlar</w:t>
            </w:r>
          </w:p>
        </w:tc>
        <w:tc>
          <w:tcPr>
            <w:tcW w:type="dxa" w:w="3312"/>
            <w:shd w:fill="FFFFFF"/>
            <w:tcMar>
              <w:top w:w="80" w:type="dxa"/>
              <w:bottom w:w="80" w:type="dxa"/>
              <w:left w:w="120" w:type="dxa"/>
              <w:right w:w="120" w:type="dxa"/>
            </w:tcMar>
          </w:tcPr>
          <w:p>
            <w:pPr>
              <w:jc w:val="left"/>
            </w:pPr>
            <w:r>
              <w:rPr>
                <w:rFonts w:ascii="Calibri" w:hAnsi="Calibri"/>
                <w:color w:val="1E293B"/>
                <w:sz w:val="20"/>
              </w:rPr>
              <w:t>Özelleştirilebilir, dinamik alanlı ve sürümlenebilir hizmet formları</w:t>
            </w:r>
          </w:p>
        </w:tc>
      </w:tr>
      <w:tr>
        <w:tc>
          <w:tcPr>
            <w:tcW w:type="dxa" w:w="2880"/>
            <w:shd w:fill="F8FAFC"/>
            <w:tcMar>
              <w:top w:w="80" w:type="dxa"/>
              <w:bottom w:w="80" w:type="dxa"/>
              <w:left w:w="120" w:type="dxa"/>
              <w:right w:w="120" w:type="dxa"/>
            </w:tcMar>
          </w:tcPr>
          <w:p>
            <w:pPr>
              <w:jc w:val="left"/>
            </w:pPr>
            <w:r>
              <w:rPr>
                <w:rFonts w:ascii="Calibri" w:hAnsi="Calibri"/>
                <w:color w:val="1E293B"/>
                <w:sz w:val="20"/>
              </w:rPr>
              <w:t>Çevrimdışı (Offline) Saha</w:t>
            </w:r>
          </w:p>
        </w:tc>
        <w:tc>
          <w:tcPr>
            <w:tcW w:type="dxa" w:w="3168"/>
            <w:shd w:fill="F8FAFC"/>
            <w:tcMar>
              <w:top w:w="80" w:type="dxa"/>
              <w:bottom w:w="80" w:type="dxa"/>
              <w:left w:w="120" w:type="dxa"/>
              <w:right w:w="120" w:type="dxa"/>
            </w:tcMar>
          </w:tcPr>
          <w:p>
            <w:pPr>
              <w:jc w:val="left"/>
            </w:pPr>
            <w:r>
              <w:rPr>
                <w:rFonts w:ascii="Calibri" w:hAnsi="Calibri"/>
                <w:color w:val="1E293B"/>
                <w:sz w:val="20"/>
              </w:rPr>
              <w:t>İnternet bağımlı</w:t>
            </w:r>
          </w:p>
        </w:tc>
        <w:tc>
          <w:tcPr>
            <w:tcW w:type="dxa" w:w="3312"/>
            <w:shd w:fill="F8FAFC"/>
            <w:tcMar>
              <w:top w:w="80" w:type="dxa"/>
              <w:bottom w:w="80" w:type="dxa"/>
              <w:left w:w="120" w:type="dxa"/>
              <w:right w:w="120" w:type="dxa"/>
            </w:tcMar>
          </w:tcPr>
          <w:p>
            <w:pPr>
              <w:jc w:val="left"/>
            </w:pPr>
            <w:r>
              <w:rPr>
                <w:rFonts w:ascii="Calibri" w:hAnsi="Calibri"/>
                <w:color w:val="1E293B"/>
                <w:sz w:val="20"/>
              </w:rPr>
              <w:t>İnternet çekmeyen bodrum/depo alanlarında çevrimdışı çalışıp otomatik senkronizasyon</w:t>
            </w:r>
          </w:p>
        </w:tc>
      </w:tr>
      <w:tr>
        <w:tc>
          <w:tcPr>
            <w:tcW w:type="dxa" w:w="2880"/>
            <w:shd w:fill="FFFFFF"/>
            <w:tcMar>
              <w:top w:w="80" w:type="dxa"/>
              <w:bottom w:w="80" w:type="dxa"/>
              <w:left w:w="120" w:type="dxa"/>
              <w:right w:w="120" w:type="dxa"/>
            </w:tcMar>
          </w:tcPr>
          <w:p>
            <w:pPr>
              <w:jc w:val="left"/>
            </w:pPr>
            <w:r>
              <w:rPr>
                <w:rFonts w:ascii="Calibri" w:hAnsi="Calibri"/>
                <w:color w:val="1E293B"/>
                <w:sz w:val="20"/>
              </w:rPr>
              <w:t>Finans &amp; Cari Takip</w:t>
            </w:r>
          </w:p>
        </w:tc>
        <w:tc>
          <w:tcPr>
            <w:tcW w:type="dxa" w:w="3168"/>
            <w:shd w:fill="FFFFFF"/>
            <w:tcMar>
              <w:top w:w="80" w:type="dxa"/>
              <w:bottom w:w="80" w:type="dxa"/>
              <w:left w:w="120" w:type="dxa"/>
              <w:right w:w="120" w:type="dxa"/>
            </w:tcMar>
          </w:tcPr>
          <w:p>
            <w:pPr>
              <w:jc w:val="left"/>
            </w:pPr>
            <w:r>
              <w:rPr>
                <w:rFonts w:ascii="Calibri" w:hAnsi="Calibri"/>
                <w:color w:val="1E293B"/>
                <w:sz w:val="20"/>
              </w:rPr>
              <w:t>Ayrı muhasebe yazılımı</w:t>
            </w:r>
          </w:p>
        </w:tc>
        <w:tc>
          <w:tcPr>
            <w:tcW w:type="dxa" w:w="3312"/>
            <w:shd w:fill="FFFFFF"/>
            <w:tcMar>
              <w:top w:w="80" w:type="dxa"/>
              <w:bottom w:w="80" w:type="dxa"/>
              <w:left w:w="120" w:type="dxa"/>
              <w:right w:w="120" w:type="dxa"/>
            </w:tcMar>
          </w:tcPr>
          <w:p>
            <w:pPr>
              <w:jc w:val="left"/>
            </w:pPr>
            <w:r>
              <w:rPr>
                <w:rFonts w:ascii="Calibri" w:hAnsi="Calibri"/>
                <w:color w:val="1E293B"/>
                <w:sz w:val="20"/>
              </w:rPr>
              <w:t>Platform içi teklif, sözleşme, cari hesap, fatura ve tahsilat entegrasyonu</w:t>
            </w:r>
          </w:p>
        </w:tc>
      </w:tr>
      <w:tr>
        <w:tc>
          <w:tcPr>
            <w:tcW w:type="dxa" w:w="2880"/>
            <w:shd w:fill="F8FAFC"/>
            <w:tcMar>
              <w:top w:w="80" w:type="dxa"/>
              <w:bottom w:w="80" w:type="dxa"/>
              <w:left w:w="120" w:type="dxa"/>
              <w:right w:w="120" w:type="dxa"/>
            </w:tcMar>
          </w:tcPr>
          <w:p>
            <w:pPr>
              <w:jc w:val="left"/>
            </w:pPr>
            <w:r>
              <w:rPr>
                <w:rFonts w:ascii="Calibri" w:hAnsi="Calibri"/>
                <w:color w:val="1E293B"/>
                <w:sz w:val="20"/>
              </w:rPr>
              <w:t>Müşteri Deneyimi</w:t>
            </w:r>
          </w:p>
        </w:tc>
        <w:tc>
          <w:tcPr>
            <w:tcW w:type="dxa" w:w="3168"/>
            <w:shd w:fill="F8FAFC"/>
            <w:tcMar>
              <w:top w:w="80" w:type="dxa"/>
              <w:bottom w:w="80" w:type="dxa"/>
              <w:left w:w="120" w:type="dxa"/>
              <w:right w:w="120" w:type="dxa"/>
            </w:tcMar>
          </w:tcPr>
          <w:p>
            <w:pPr>
              <w:jc w:val="left"/>
            </w:pPr>
            <w:r>
              <w:rPr>
                <w:rFonts w:ascii="Calibri" w:hAnsi="Calibri"/>
                <w:color w:val="1E293B"/>
                <w:sz w:val="20"/>
              </w:rPr>
              <w:t>Tek taraflı rapor</w:t>
            </w:r>
          </w:p>
        </w:tc>
        <w:tc>
          <w:tcPr>
            <w:tcW w:type="dxa" w:w="3312"/>
            <w:shd w:fill="F8FAFC"/>
            <w:tcMar>
              <w:top w:w="80" w:type="dxa"/>
              <w:bottom w:w="80" w:type="dxa"/>
              <w:left w:w="120" w:type="dxa"/>
              <w:right w:w="120" w:type="dxa"/>
            </w:tcMar>
          </w:tcPr>
          <w:p>
            <w:pPr>
              <w:jc w:val="left"/>
            </w:pPr>
            <w:r>
              <w:rPr>
                <w:rFonts w:ascii="Calibri" w:hAnsi="Calibri"/>
                <w:color w:val="1E293B"/>
                <w:sz w:val="20"/>
              </w:rPr>
              <w:t>Şeffaf Müşteri Portalı, şube bazlı yetkilendirme ve anlık bildirimler</w:t>
            </w:r>
          </w:p>
        </w:tc>
      </w:tr>
    </w:tbl>
    <w:p>
      <w:pPr>
        <w:spacing w:after="240"/>
      </w:pP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2"/>
              </w:rPr>
              <w:t>📌 SONUÇ VE ÖZET</w:t>
              <w:br/>
            </w:r>
            <w:r>
              <w:rPr>
                <w:rFonts w:ascii="Calibri" w:hAnsi="Calibri"/>
                <w:color w:val="334155"/>
                <w:sz w:val="21"/>
              </w:rPr>
              <w:t>Pesneer, modüler mimarisi, yüksek güvenlik standartları, rol bazlı portalları ve mevzuata uygun dijital raporlama araçları ile pest kontrol sektöründe yeni nesil standart belirleyici bir platformdur.</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