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Fonts w:ascii="JetBrains Mono" w:cs="JetBrains Mono" w:eastAsia="JetBrains Mono" w:hAnsi="JetBrains Mono"/>
          <w:shd w:fill="f8fafc" w:val="clear"/>
          <w:rtl w:val="0"/>
        </w:rPr>
        <w:t xml:space="preserve">---</w:t>
        <w:br w:type="textWrapping"/>
        <w:t xml:space="preserve">name: Sistema de Gestão de Desempenho Público (BARS &amp; OKR)</w:t>
        <w:br w:type="textWrapping"/>
        <w:t xml:space="preserve">colors:</w:t>
        <w:br w:type="textWrapping"/>
        <w:t xml:space="preserve">  slipped-light-slate: "#f8fafc"</w:t>
        <w:br w:type="textWrapping"/>
        <w:t xml:space="preserve">  card-canvas: "#ffffff"</w:t>
        <w:br w:type="textWrapping"/>
        <w:t xml:space="preserve">  border-soft: "#e2e8f0"</w:t>
        <w:br w:type="textWrapping"/>
        <w:t xml:space="preserve">typography:</w:t>
        <w:br w:type="textWrapping"/>
        <w:t xml:space="preserve">  sans:</w:t>
        <w:br w:type="textWrapping"/>
        <w:t xml:space="preserve">    fontFamily: Inter</w:t>
        <w:br w:type="textWrapping"/>
        <w:t xml:space="preserve">  mono:</w:t>
        <w:br w:type="textWrapping"/>
        <w:t xml:space="preserve">    fontFamily: JetBrains Mono</w:t>
        <w:br w:type="textWrapping"/>
        <w:t xml:space="preserve">layout:</w:t>
        <w:br w:type="textWrapping"/>
        <w:t xml:space="preserve">  max-width: 7xl</w:t>
        <w:br w:type="textWrapping"/>
        <w:t xml:space="preserve">spacing:</w:t>
        <w:br w:type="textWrapping"/>
        <w:t xml:space="preserve">  card-padding-sm: 20px</w:t>
        <w:br w:type="textWrapping"/>
        <w:t xml:space="preserve">  card-padding-md: 24px</w:t>
        <w:br w:type="textWrapping"/>
        <w:t xml:space="preserve">rounded:</w:t>
        <w:br w:type="textWrapping"/>
        <w:t xml:space="preserve">  card: 12px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Design Doc: Sistema de Gestão de Desempenho Público (BARS &amp; OKR)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Inter" w:cs="Inter" w:eastAsia="Inter" w:hAnsi="Inter"/>
          <w:rtl w:val="0"/>
        </w:rPr>
        <w:t xml:space="preserve"> Carlos Fernando Gomes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rtl w:val="0"/>
        </w:rPr>
        <w:t xml:space="preserve"> Aprovado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Criado:</w:t>
      </w:r>
      <w:r w:rsidDel="00000000" w:rsidR="00000000" w:rsidRPr="00000000">
        <w:rPr>
          <w:rFonts w:ascii="Inter" w:cs="Inter" w:eastAsia="Inter" w:hAnsi="Inter"/>
          <w:rtl w:val="0"/>
        </w:rPr>
        <w:t xml:space="preserve"> 23-05-2026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Atualizado:</w:t>
      </w:r>
      <w:r w:rsidDel="00000000" w:rsidR="00000000" w:rsidRPr="00000000">
        <w:rPr>
          <w:rFonts w:ascii="Inter" w:cs="Inter" w:eastAsia="Inter" w:hAnsi="Inter"/>
          <w:rtl w:val="0"/>
        </w:rPr>
        <w:t xml:space="preserve"> 23-05-2026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Plataforma:</w:t>
      </w:r>
      <w:r w:rsidDel="00000000" w:rsidR="00000000" w:rsidRPr="00000000">
        <w:rPr>
          <w:rFonts w:ascii="Inter" w:cs="Inter" w:eastAsia="Inter" w:hAnsi="Inter"/>
          <w:rtl w:val="0"/>
        </w:rPr>
        <w:t xml:space="preserve"> Antigravity (Arquitetura Local Single-Tenant)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1. Contexto e Escopo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1.1 Histórico do Produto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Este documento define o padrão arquitetural e de interface para a aplicação de gestão e avaliação de desempenho da administração pública. O sistema operacionaliza duas metodologias centrais de avaliação: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BARS (Behaviorally Anchored Rating Scales):</w:t>
      </w:r>
      <w:r w:rsidDel="00000000" w:rsidR="00000000" w:rsidRPr="00000000">
        <w:rPr>
          <w:rFonts w:ascii="Inter" w:cs="Inter" w:eastAsia="Inter" w:hAnsi="Inter"/>
          <w:rtl w:val="0"/>
        </w:rPr>
        <w:t xml:space="preserve"> Escalas de classificação baseadas em comportamento que mapeiam as atitudes observadas dos servidores públicos em níveis qualitativos de 1 a 5.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OKRs (Objectives and Key Results):</w:t>
      </w:r>
      <w:r w:rsidDel="00000000" w:rsidR="00000000" w:rsidRPr="00000000">
        <w:rPr>
          <w:rFonts w:ascii="Inter" w:cs="Inter" w:eastAsia="Inter" w:hAnsi="Inter"/>
          <w:rtl w:val="0"/>
        </w:rPr>
        <w:t xml:space="preserve"> Framework de metas adaptado para a realidade do setor público, focado no acompanhamento de métricas e alinhamento estratégico.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1.2 Restrições do Sistema (Antigravity Core)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 garantir integridade total de dados, latência zero e conformidade estrita com auditorias administrativas, o sistema adota uma arquitetura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Single-Tenant otimizada para performance local</w:t>
      </w:r>
      <w:r w:rsidDel="00000000" w:rsidR="00000000" w:rsidRPr="00000000">
        <w:rPr>
          <w:rFonts w:ascii="Inter" w:cs="Inter" w:eastAsia="Inter" w:hAnsi="Inter"/>
          <w:rtl w:val="0"/>
        </w:rPr>
        <w:t xml:space="preserve">. A aplicação roda de forma isolada por instância implantada, eliminando o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overhead</w:t>
      </w:r>
      <w:r w:rsidDel="00000000" w:rsidR="00000000" w:rsidRPr="00000000">
        <w:rPr>
          <w:rFonts w:ascii="Inter" w:cs="Inter" w:eastAsia="Inter" w:hAnsi="Inter"/>
          <w:rtl w:val="0"/>
        </w:rPr>
        <w:t xml:space="preserve"> de processamento de modelos SaaS tradicionais e aproveitando ao máximo o hardware local.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2. Objetivos de Design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Feedback Visual em Sub-Milissegundos:</w:t>
      </w:r>
      <w:r w:rsidDel="00000000" w:rsidR="00000000" w:rsidRPr="00000000">
        <w:rPr>
          <w:rFonts w:ascii="Inter" w:cs="Inter" w:eastAsia="Inter" w:hAnsi="Inter"/>
          <w:rtl w:val="0"/>
        </w:rPr>
        <w:t xml:space="preserve"> Renderização instantânea da interface utilizando Tailwind CSS e componentes reativos, eliminando gargalos de requisições externas desnecessárias.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Ergonomia Administrativa:</w:t>
      </w:r>
      <w:r w:rsidDel="00000000" w:rsidR="00000000" w:rsidRPr="00000000">
        <w:rPr>
          <w:rFonts w:ascii="Inter" w:cs="Inter" w:eastAsia="Inter" w:hAnsi="Inter"/>
          <w:rtl w:val="0"/>
        </w:rPr>
        <w:t xml:space="preserve"> Interfaces limpas, de alto contraste e sem distrações, projetadas especificamente para a rotina de auditoria e análise de dados densos do setor público.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Adesão Estrita aos Design Tokens:</w:t>
      </w:r>
      <w:r w:rsidDel="00000000" w:rsidR="00000000" w:rsidRPr="00000000">
        <w:rPr>
          <w:rFonts w:ascii="Inter" w:cs="Inter" w:eastAsia="Inter" w:hAnsi="Inter"/>
          <w:rtl w:val="0"/>
        </w:rPr>
        <w:t xml:space="preserve"> Bloqueio de qualquer degradação ou customização visual arbitrária entre os módulos do sistema para manter o polimento profissional.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3. Arquitetura de Layout e Grades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 layout se adapta de forma fluida, mas respeita limites estruturais rígidos para evitar deformações visuais em monitores UltraWide comuns em centros de gestão.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Fluidity Limits (Limites de Expansão):</w:t>
      </w:r>
      <w:r w:rsidDel="00000000" w:rsidR="00000000" w:rsidRPr="00000000">
        <w:rPr>
          <w:rFonts w:ascii="Inter" w:cs="Inter" w:eastAsia="Inter" w:hAnsi="Inter"/>
          <w:rtl w:val="0"/>
        </w:rPr>
        <w:t xml:space="preserve"> A largura máxima das páginas é travada em max-w-7xl mx-auto, preservando margens laterais elegantes.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Grades Bento (Bento-Grids):</w:t>
      </w:r>
      <w:r w:rsidDel="00000000" w:rsidR="00000000" w:rsidRPr="00000000">
        <w:rPr>
          <w:rFonts w:ascii="Inter" w:cs="Inter" w:eastAsia="Inter" w:hAnsi="Inter"/>
          <w:rtl w:val="0"/>
        </w:rPr>
        <w:t xml:space="preserve"> Os dashboards, painéis de servidores e sumários estatísticos organizam-se em grids responsivos com espaçamento consistente: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JetBrains Mono" w:cs="JetBrains Mono" w:eastAsia="JetBrains Mono" w:hAnsi="JetBrains Mono"/>
          <w:shd w:fill="f8fafc" w:val="clear"/>
          <w:rtl w:val="0"/>
        </w:rPr>
        <w:t xml:space="preserve">grid grid-cols-1 md:grid-cols-3 gap-4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Respiro Espacial (Padding Interno):</w:t>
      </w:r>
      <w:r w:rsidDel="00000000" w:rsidR="00000000" w:rsidRPr="00000000">
        <w:rPr>
          <w:rFonts w:ascii="Inter" w:cs="Inter" w:eastAsia="Inter" w:hAnsi="Inter"/>
          <w:rtl w:val="0"/>
        </w:rPr>
        <w:t xml:space="preserve"> O distanciamento interno mínimo nos cards principais é fixado em p-5 md:p-6 para evitar o acúmulo visual sufocante de dados.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4. Tokens Visuais e Identidade Cromática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 design utiliza o conceito de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Camadas Neutras Limpas</w:t>
      </w:r>
      <w:r w:rsidDel="00000000" w:rsidR="00000000" w:rsidRPr="00000000">
        <w:rPr>
          <w:rFonts w:ascii="Inter" w:cs="Inter" w:eastAsia="Inter" w:hAnsi="Inter"/>
          <w:rtl w:val="0"/>
        </w:rPr>
        <w:t xml:space="preserve"> com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Acentos Semânticos Fortes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4.1 Camadas de Fundo e Estrutura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  <w:rtl w:val="0"/>
              </w:rPr>
              <w:t xml:space="preserve">Token de Camada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  <w:rtl w:val="0"/>
              </w:rPr>
              <w:t xml:space="preserve">Classe Tailwind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shd w:fill="auto" w:val="clear"/>
                <w:rtl w:val="0"/>
              </w:rPr>
              <w:t xml:space="preserve">Aplicação Prática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Slipped Light Slate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bg-slate-50 / bg-slate-100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Fundo geral da aplicação (reduz a fadiga ocular).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Card Canvas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bg-white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Painéis principais, blocos de dados e formulários.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Border Soft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border-slate-200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Divisores sutis e contorno dos cards principais (rounded-xl / shadow-xs).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4.2 Código de Cores Semânticas (Status)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Azul Real (Ações e Foco Ativo):</w:t>
      </w:r>
      <w:r w:rsidDel="00000000" w:rsidR="00000000" w:rsidRPr="00000000">
        <w:rPr>
          <w:rFonts w:ascii="Inter" w:cs="Inter" w:eastAsia="Inter" w:hAnsi="Inter"/>
          <w:rtl w:val="0"/>
        </w:rPr>
        <w:t xml:space="preserve"> text-blue-600 / bg-blue-50 / border-blue-200. Aplicado em botões principais, elements selecionados e sinalizadores de navegação ativa.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Esmeralda (Sucesso e Conclusão):</w:t>
      </w:r>
      <w:r w:rsidDel="00000000" w:rsidR="00000000" w:rsidRPr="00000000">
        <w:rPr>
          <w:rFonts w:ascii="Inter" w:cs="Inter" w:eastAsia="Inter" w:hAnsi="Inter"/>
          <w:rtl w:val="0"/>
        </w:rPr>
        <w:t xml:space="preserve"> text-emerald-700 / bg-emerald-50 / border-emerald-200. Identifica ciclos concluídos, notas salvas com sucesso e avaliações assinadas.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Amarelo Âmbar (Atenção e Pendência):</w:t>
      </w:r>
      <w:r w:rsidDel="00000000" w:rsidR="00000000" w:rsidRPr="00000000">
        <w:rPr>
          <w:rFonts w:ascii="Inter" w:cs="Inter" w:eastAsia="Inter" w:hAnsi="Inter"/>
          <w:rtl w:val="0"/>
        </w:rPr>
        <w:t xml:space="preserve"> text-amber-700 / bg-amber-50 / border-amber-200. Indica rascunhos, ações pendentes de sincronia ou itens aguardando revisão.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Rosa Rosé / Vermelho (Inconformidade ou Alto Impacto):</w:t>
      </w:r>
      <w:r w:rsidDel="00000000" w:rsidR="00000000" w:rsidRPr="00000000">
        <w:rPr>
          <w:rFonts w:ascii="Inter" w:cs="Inter" w:eastAsia="Inter" w:hAnsi="Inter"/>
          <w:rtl w:val="0"/>
        </w:rPr>
        <w:t xml:space="preserve"> text-rose-700 / bg-rose-50 / border-rose-150. Destinado a incidentes críticos, comportamentos insatisfatórios ou inconformidades de cadastro.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4.3 Pareamento Tipográfico Obrigatório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Inter (Sans-Serif):</w:t>
      </w:r>
      <w:r w:rsidDel="00000000" w:rsidR="00000000" w:rsidRPr="00000000">
        <w:rPr>
          <w:rFonts w:ascii="Inter" w:cs="Inter" w:eastAsia="Inter" w:hAnsi="Inter"/>
          <w:rtl w:val="0"/>
        </w:rPr>
        <w:t xml:space="preserve"> Fonte padrão para leitura corrida, labels de formulários, descrições e ações textuais.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Pesos estruturais:</w:t>
      </w:r>
      <w:r w:rsidDel="00000000" w:rsidR="00000000" w:rsidRPr="00000000">
        <w:rPr>
          <w:rFonts w:ascii="Inter" w:cs="Inter" w:eastAsia="Inter" w:hAnsi="Inter"/>
          <w:rtl w:val="0"/>
        </w:rPr>
        <w:t xml:space="preserve"> font-light (300) para contrastes leves, font-normal (400) para leitura textual, font-medium (500) para rótulos e font-bold (700) ou font-extrabold (800) para títulos.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Ajuste Técnico:</w:t>
      </w:r>
      <w:r w:rsidDel="00000000" w:rsidR="00000000" w:rsidRPr="00000000">
        <w:rPr>
          <w:rFonts w:ascii="Inter" w:cs="Inter" w:eastAsia="Inter" w:hAnsi="Inter"/>
          <w:rtl w:val="0"/>
        </w:rPr>
        <w:t xml:space="preserve"> Títulos grandes devem obrigatoriamente usar tracking-tight para um visual moderno e limpo.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JetBrains Mono (Monospace):</w:t>
      </w:r>
      <w:r w:rsidDel="00000000" w:rsidR="00000000" w:rsidRPr="00000000">
        <w:rPr>
          <w:rFonts w:ascii="Inter" w:cs="Inter" w:eastAsia="Inter" w:hAnsi="Inter"/>
          <w:rtl w:val="0"/>
        </w:rPr>
        <w:t xml:space="preserve"> Fonte técnica aplicada estritamente a dados numéricos, pesos percentuais de OKRs e BARS, datas de incidentes cronológicos e identificadores de estados do sistema (ex: Nível 1 a Nível 5).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5. Especificação de Componentes Padronizados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5.1 Chips de Status de Alta Densidade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Utilizados para exibir notas parciais ou finais diretamente nas linhas de tabelas e listas, sem quebrar o ritmo da leitura: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Fonts w:ascii="JetBrains Mono" w:cs="JetBrains Mono" w:eastAsia="JetBrains Mono" w:hAnsi="JetBrains Mono"/>
          <w:shd w:fill="f8fafc" w:val="clear"/>
          <w:rtl w:val="0"/>
        </w:rPr>
        <w:t xml:space="preserve">&lt;span className="text-[10px] bg-emerald-50 text-emerald-700 font-bold px-2 py-0.5 rounded border border-emerald-200 font-mono"&gt;</w:t>
        <w:br w:type="textWrapping"/>
        <w:t xml:space="preserve">  ✓ 85/100</w:t>
        <w:br w:type="textWrapping"/>
        <w:t xml:space="preserve">&lt;/span&gt;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5.2 Rótulos de Formulários (Micro-Inputs)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 conferir estética técnica e profissional, todo rótulo de campo de entrada deve seguir a seguinte padronização de classes: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Fonts w:ascii="JetBrains Mono" w:cs="JetBrains Mono" w:eastAsia="JetBrains Mono" w:hAnsi="JetBrains Mono"/>
          <w:shd w:fill="f8fafc" w:val="clear"/>
          <w:rtl w:val="0"/>
        </w:rPr>
        <w:t xml:space="preserve">text-[10px] font-bold text-slate-500 uppercase tracking-widest font-mono block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JetBrains Mono" w:cs="JetBrains Mono" w:eastAsia="JetBrains Mono" w:hAnsi="JetBrains Mono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5.3 Régua Visual de Escores BARS (1 a 5)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Estrutura:</w:t>
      </w:r>
      <w:r w:rsidDel="00000000" w:rsidR="00000000" w:rsidRPr="00000000">
        <w:rPr>
          <w:rFonts w:ascii="Inter" w:cs="Inter" w:eastAsia="Inter" w:hAnsi="Inter"/>
          <w:rtl w:val="0"/>
        </w:rPr>
        <w:t xml:space="preserve"> Escala linear horizontal com 5 âncoras.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Comportamento:</w:t>
      </w:r>
      <w:r w:rsidDel="00000000" w:rsidR="00000000" w:rsidRPr="00000000">
        <w:rPr>
          <w:rFonts w:ascii="Inter" w:cs="Inter" w:eastAsia="Inter" w:hAnsi="Inter"/>
          <w:rtl w:val="0"/>
        </w:rPr>
        <w:t xml:space="preserve"> O comportamento observado atual do servidor deve ser destacado dinamicamente utilizando a cor semântica correspondente ao nível atingido, enquanto as outras opções inativas retrocedem para um fundo cinza de baixo contraste com bordas suaves.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5.4 Customização de Scrollbars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 impedir quebras de layout causadas por barras de rolagem nativas antiquadas, o sistema adota linhas de rolagem minimalistas de 6px de largura, com trilho invisível e pegador arredondado e sutil (rounded-full).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Inter" w:cs="Inter" w:eastAsia="Inter" w:hAnsi="Inter"/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rtl w:val="0"/>
        </w:rPr>
        <w:t xml:space="preserve">6. Diretrizes de Execução no Antigravity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Dependência Zero de CDNs Externas:</w:t>
      </w:r>
      <w:r w:rsidDel="00000000" w:rsidR="00000000" w:rsidRPr="00000000">
        <w:rPr>
          <w:rFonts w:ascii="Inter" w:cs="Inter" w:eastAsia="Inter" w:hAnsi="Inter"/>
          <w:rtl w:val="0"/>
        </w:rPr>
        <w:t xml:space="preserve"> O carregamento de fontes (como Google Fonts via links web) é estritamente proibido em tempo de execução para garantir o funcionamento offline total exigido pela arquitetura local do projeto. Todos os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assets</w:t>
      </w:r>
      <w:r w:rsidDel="00000000" w:rsidR="00000000" w:rsidRPr="00000000">
        <w:rPr>
          <w:rFonts w:ascii="Inter" w:cs="Inter" w:eastAsia="Inter" w:hAnsi="Inter"/>
          <w:rtl w:val="0"/>
        </w:rPr>
        <w:t xml:space="preserve"> e fontes devem ser empacotados e servidos localmente pelo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 da aplicação.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Micro-interações:</w:t>
      </w:r>
      <w:r w:rsidDel="00000000" w:rsidR="00000000" w:rsidRPr="00000000">
        <w:rPr>
          <w:rFonts w:ascii="Inter" w:cs="Inter" w:eastAsia="Inter" w:hAnsi="Inter"/>
          <w:rtl w:val="0"/>
        </w:rPr>
        <w:t xml:space="preserve"> Transições e efeitos de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hover</w:t>
      </w:r>
      <w:r w:rsidDel="00000000" w:rsidR="00000000" w:rsidRPr="00000000">
        <w:rPr>
          <w:rFonts w:ascii="Inter" w:cs="Inter" w:eastAsia="Inter" w:hAnsi="Inter"/>
          <w:rtl w:val="0"/>
        </w:rPr>
        <w:t xml:space="preserve"> devem ser suaves e acelerados por hardware, utilizando o padrão: transition-all duration-200 cursor-pointer.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