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Reproducing</w:t>
      </w:r>
      <w:r>
        <w:t xml:space="preserve"> </w:t>
      </w:r>
      <w:r>
        <w:t xml:space="preserve">Kozich</w:t>
      </w:r>
      <w:r>
        <w:t xml:space="preserve"> </w:t>
      </w:r>
      <w:r>
        <w:t xml:space="preserve">et</w:t>
      </w:r>
      <w:r>
        <w:t xml:space="preserve"> </w:t>
      </w:r>
      <w:r>
        <w:t xml:space="preserve">al</w:t>
      </w:r>
      <w:r>
        <w:t xml:space="preserve"> </w:t>
      </w:r>
      <w:r>
        <w:t xml:space="preserve">2013</w:t>
      </w:r>
    </w:p>
    <w:p>
      <w:pPr>
        <w:pStyle w:val="Author"/>
      </w:pPr>
      <w:r>
        <w:t xml:space="preserve">Casey</w:t>
      </w:r>
      <w:r>
        <w:t xml:space="preserve"> </w:t>
      </w:r>
      <w:r>
        <w:t xml:space="preserve">Finnicum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10,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    1    4171    6314    7827   10314   30556</w:t>
      </w:r>
    </w:p>
    <w:p>
      <w:pPr>
        <w:pStyle w:val="FirstParagraph"/>
      </w:pPr>
      <w:r>
        <w:t xml:space="preserve">This is our effort to reproduce the work of Kozich et al. which is related to</w:t>
      </w:r>
      <w:r>
        <w:t xml:space="preserve"> </w:t>
      </w:r>
      <w:r>
        <w:t xml:space="preserve">(1)</w:t>
      </w:r>
      <w:r>
        <w:t xml:space="preserve">.</w:t>
      </w:r>
    </w:p>
    <w:p>
      <w:pPr>
        <w:pStyle w:val="BodyText"/>
      </w:pPr>
      <w:r>
        <w:rPr>
          <w:b/>
        </w:rPr>
        <w:t xml:space="preserve">Scaling up.</w:t>
      </w:r>
      <w:r>
        <w:t xml:space="preserve"> </w:t>
      </w:r>
      <w:r>
        <w:t xml:space="preserve">The advantage of the dual-index approach is that a large</w:t>
      </w:r>
      <w:r>
        <w:t xml:space="preserve"> </w:t>
      </w:r>
      <w:r>
        <w:t xml:space="preserve">number of samples can be sequenced using a number of primers equal to only</w:t>
      </w:r>
      <w:r>
        <w:t xml:space="preserve"> </w:t>
      </w:r>
      <w:r>
        <w:t xml:space="preserve">twice the square root of the number of samples. To fully evaluate this</w:t>
      </w:r>
      <w:r>
        <w:t xml:space="preserve"> </w:t>
      </w:r>
      <w:r>
        <w:t xml:space="preserve">approach, we resequenced the V4 region of 360 samples that were previously</w:t>
      </w:r>
      <w:r>
        <w:t xml:space="preserve"> </w:t>
      </w:r>
      <w:r>
        <w:t xml:space="preserve">described by sequencing the distal end of the V35 region on the 454 GS-FLX</w:t>
      </w:r>
      <w:r>
        <w:t xml:space="preserve"> </w:t>
      </w:r>
      <w:r>
        <w:t xml:space="preserve">Titanium platform</w:t>
      </w:r>
      <w:r>
        <w:t xml:space="preserve"> </w:t>
      </w:r>
      <w:r>
        <w:t xml:space="preserve">(2)</w:t>
      </w:r>
      <w:r>
        <w:t xml:space="preserve">. In that study, we observed a clear separation</w:t>
      </w:r>
      <w:r>
        <w:t xml:space="preserve"> </w:t>
      </w:r>
      <w:r>
        <w:t xml:space="preserve">between murine fecal samples obtained from 8 C57BL/6 mice at 0 to 9 (early)</w:t>
      </w:r>
      <w:r>
        <w:t xml:space="preserve"> </w:t>
      </w:r>
      <w:r>
        <w:t xml:space="preserve">and 141 to 150 (late) days after weaning, and there was significantly less</w:t>
      </w:r>
      <w:r>
        <w:t xml:space="preserve"> </w:t>
      </w:r>
      <w:r>
        <w:t xml:space="preserve">variation between the late samples than the early samples. In addition to</w:t>
      </w:r>
      <w:r>
        <w:t xml:space="preserve"> </w:t>
      </w:r>
      <w:r>
        <w:t xml:space="preserve">the mouse fecal samples, we allocated 2 pairs of indices to resequence our</w:t>
      </w:r>
      <w:r>
        <w:t xml:space="preserve"> </w:t>
      </w:r>
      <w:r>
        <w:t xml:space="preserve">mock community. We generated 2.8 million pairs of sequence reads from the</w:t>
      </w:r>
      <w:r>
        <w:t xml:space="preserve"> </w:t>
      </w:r>
      <w:r>
        <w:t xml:space="preserve">16S rRNA gene with an average coverage of 7,827.1 pairs of reads per sample</w:t>
      </w:r>
      <w:r>
        <w:t xml:space="preserve"> </w:t>
      </w:r>
      <w:r>
        <w:t xml:space="preserve">(95% of the samples had more than 2,113.8 pairs of sequences) using a new</w:t>
      </w:r>
      <w:r>
        <w:t xml:space="preserve"> </w:t>
      </w:r>
      <w:r>
        <w:t xml:space="preserve">collection of 8-nt indices (see the supplemental material). Although</w:t>
      </w:r>
      <w:r>
        <w:t xml:space="preserve"> </w:t>
      </w:r>
      <w:r>
        <w:t xml:space="preserve">individual samples were expected to have various amplification efficiencies,</w:t>
      </w:r>
      <w:r>
        <w:t xml:space="preserve"> </w:t>
      </w:r>
      <w:r>
        <w:t xml:space="preserve">analysis of the number of reads per index did not suggest a systematic</w:t>
      </w:r>
      <w:r>
        <w:t xml:space="preserve"> </w:t>
      </w:r>
      <w:r>
        <w:t xml:space="preserve">positive or negative amplification bias that could be attributed to the</w:t>
      </w:r>
      <w:r>
        <w:t xml:space="preserve"> </w:t>
      </w:r>
      <w:r>
        <w:t xml:space="preserve">indices. The combined error rate for the two mock communities was 0.07%</w:t>
      </w:r>
      <w:r>
        <w:t xml:space="preserve"> </w:t>
      </w:r>
      <w:r>
        <w:t xml:space="preserve">before preclustering and 0.01% after (n = 14,094 sequences). When we used</w:t>
      </w:r>
      <w:r>
        <w:t xml:space="preserve"> </w:t>
      </w:r>
      <w:r>
        <w:t xml:space="preserve">UCHIME to remove chimeras and rarefied to 5,000 sequences, there was a</w:t>
      </w:r>
      <w:r>
        <w:t xml:space="preserve"> </w:t>
      </w:r>
      <w:r>
        <w:t xml:space="preserve">average of 30.4 OTUs (i.e., 10.4 spurious OTUs). Similar to our previous</w:t>
      </w:r>
      <w:r>
        <w:t xml:space="preserve"> </w:t>
      </w:r>
      <w:r>
        <w:t xml:space="preserve">results, ordination of the mouse fecal samples again showed the separation</w:t>
      </w:r>
      <w:r>
        <w:t xml:space="preserve"> </w:t>
      </w:r>
      <w:r>
        <w:t xml:space="preserve">between the early and late periods and increased stabilization with age</w:t>
      </w:r>
      <w:r>
        <w:t xml:space="preserve"> </w:t>
      </w:r>
      <w:r>
        <w:t xml:space="preserve">(Fig. 4) (Mantel test coefficient, 0.81; P &lt; 0.001). These results clearly</w:t>
      </w:r>
      <w:r>
        <w:t xml:space="preserve"> </w:t>
      </w:r>
      <w:r>
        <w:t xml:space="preserve">indicate that our approach can be scaled to multiplex large numbers of</w:t>
      </w:r>
      <w:r>
        <w:t xml:space="preserve"> </w:t>
      </w:r>
      <w:r>
        <w:t xml:space="preserve">samples.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results/figures/nmds_fig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rPr>
          <w:b/>
        </w:rPr>
        <w:t xml:space="preserve">FIG 4</w:t>
      </w:r>
      <w:r>
        <w:t xml:space="preserve"> </w:t>
      </w:r>
      <w:r>
        <w:t xml:space="preserve">Principal coordinate ordination of YC values (28) relating the</w:t>
      </w:r>
      <w:r>
        <w:t xml:space="preserve"> </w:t>
      </w:r>
      <w:r>
        <w:t xml:space="preserve">community structures of the fecal microbiota from 12 mice collected on days</w:t>
      </w:r>
      <w:r>
        <w:t xml:space="preserve"> </w:t>
      </w:r>
      <w:r>
        <w:t xml:space="preserve">0 through 9 (Early) and days 141 through 150 (Late) after weaning.</w:t>
      </w:r>
    </w:p>
    <w:p>
      <w:pPr>
        <w:pStyle w:val="Bibliography"/>
      </w:pPr>
      <w:r>
        <w:t xml:space="preserve">1.</w:t>
      </w:r>
      <w:r>
        <w:t xml:space="preserve"> </w:t>
      </w:r>
      <w:r>
        <w:rPr>
          <w:b/>
        </w:rPr>
        <w:t xml:space="preserve">Schloss PD</w:t>
      </w:r>
      <w:r>
        <w:t xml:space="preserve">,</w:t>
      </w:r>
      <w:r>
        <w:t xml:space="preserve"> </w:t>
      </w:r>
      <w:r>
        <w:rPr>
          <w:b/>
        </w:rPr>
        <w:t xml:space="preserve">Schubert AM</w:t>
      </w:r>
      <w:r>
        <w:t xml:space="preserve">,</w:t>
      </w:r>
      <w:r>
        <w:t xml:space="preserve"> </w:t>
      </w:r>
      <w:r>
        <w:rPr>
          <w:b/>
        </w:rPr>
        <w:t xml:space="preserve">Zackular JP</w:t>
      </w:r>
      <w:r>
        <w:t xml:space="preserve">,</w:t>
      </w:r>
      <w:r>
        <w:t xml:space="preserve"> </w:t>
      </w:r>
      <w:r>
        <w:rPr>
          <w:b/>
        </w:rPr>
        <w:t xml:space="preserve">Iverson KD</w:t>
      </w:r>
      <w:r>
        <w:t xml:space="preserve">,</w:t>
      </w:r>
      <w:r>
        <w:t xml:space="preserve"> </w:t>
      </w:r>
      <w:r>
        <w:rPr>
          <w:b/>
        </w:rPr>
        <w:t xml:space="preserve">Young VB</w:t>
      </w:r>
      <w:r>
        <w:t xml:space="preserve">,</w:t>
      </w:r>
      <w:r>
        <w:t xml:space="preserve"> </w:t>
      </w:r>
      <w:r>
        <w:rPr>
          <w:b/>
        </w:rPr>
        <w:t xml:space="preserve">Petrosino JF</w:t>
      </w:r>
      <w:r>
        <w:t xml:space="preserve">. 2012. Stabilization of the murine gut microbiome following weaning. Gut Microbes</w:t>
      </w:r>
      <w:r>
        <w:t xml:space="preserve"> </w:t>
      </w:r>
      <w:r>
        <w:rPr>
          <w:b/>
        </w:rPr>
        <w:t xml:space="preserve">3</w:t>
      </w:r>
      <w:r>
        <w:t xml:space="preserve">:383–393. doi:</w:t>
      </w:r>
      <w:hyperlink r:id="rId22">
        <w:r>
          <w:rPr>
            <w:rStyle w:val="Hyperlink"/>
          </w:rPr>
          <w:t xml:space="preserve">10.4161/gmic.21008</w:t>
        </w:r>
      </w:hyperlink>
      <w:r>
        <w:t xml:space="preserve">.</w:t>
      </w:r>
    </w:p>
    <w:p>
      <w:pPr>
        <w:pStyle w:val="Bibliography"/>
      </w:pPr>
      <w:r>
        <w:t xml:space="preserve">2.</w:t>
      </w:r>
      <w:r>
        <w:t xml:space="preserve"> </w:t>
      </w:r>
      <w:r>
        <w:rPr>
          <w:b/>
        </w:rPr>
        <w:t xml:space="preserve">Yue JC</w:t>
      </w:r>
      <w:r>
        <w:t xml:space="preserve">,</w:t>
      </w:r>
      <w:r>
        <w:t xml:space="preserve"> </w:t>
      </w:r>
      <w:r>
        <w:rPr>
          <w:b/>
        </w:rPr>
        <w:t xml:space="preserve">Clayton MK</w:t>
      </w:r>
      <w:r>
        <w:t xml:space="preserve">. 2005. A similarity measure based on species proportions. Communications in Statistics-Theory and Methods</w:t>
      </w:r>
      <w:r>
        <w:t xml:space="preserve"> </w:t>
      </w:r>
      <w:r>
        <w:rPr>
          <w:b/>
        </w:rPr>
        <w:t xml:space="preserve">34</w:t>
      </w:r>
      <w:r>
        <w:t xml:space="preserve">:2123–2131.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8e94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hyperlink" Id="rId22" Target="https://doi.org/10.4161/gmic.2100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oi.org/10.4161/gmic.210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Reproducing Kozich et al 2013</dc:title>
  <dc:creator>Casey Finnicum</dc:creator>
  <dcterms:created xsi:type="dcterms:W3CDTF">2017-05-10</dcterms:created>
  <dcterms:modified xsi:type="dcterms:W3CDTF">2017-05-10</dcterms:modified>
</cp:coreProperties>
</file>