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B9B3E" w14:textId="77777777" w:rsidR="00C26992" w:rsidRPr="00C26992" w:rsidRDefault="00C26992" w:rsidP="00C26992">
      <w:pPr>
        <w:rPr>
          <w:lang w:val="tr-TR"/>
        </w:rPr>
      </w:pPr>
      <w:r w:rsidRPr="00C26992">
        <w:rPr>
          <w:lang w:val="tr-TR"/>
        </w:rPr>
        <w:drawing>
          <wp:inline distT="0" distB="0" distL="0" distR="0" wp14:anchorId="7D3A470C" wp14:editId="244E0B25">
            <wp:extent cx="5220000" cy="38108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4F19" w14:textId="77777777" w:rsidR="00C26992" w:rsidRPr="00C26992" w:rsidRDefault="00C26992" w:rsidP="00C26992">
      <w:pPr>
        <w:rPr>
          <w:lang w:val="tr-TR"/>
        </w:rPr>
      </w:pPr>
      <w:r w:rsidRPr="00C26992">
        <w:rPr>
          <w:b/>
          <w:bCs/>
          <w:lang w:val="tr-TR"/>
        </w:rPr>
        <w:t xml:space="preserve">Figure 4. </w:t>
      </w:r>
      <w:r w:rsidRPr="00C26992">
        <w:rPr>
          <w:lang w:val="tr-TR"/>
        </w:rPr>
        <w:t>Material comparison of vortex nonlinear propagation.</w:t>
      </w:r>
      <w:r w:rsidRPr="00C26992">
        <w:rPr>
          <w:b/>
          <w:bCs/>
          <w:lang w:val="tr-TR"/>
        </w:rPr>
        <w:t xml:space="preserve"> </w:t>
      </w:r>
      <w:r w:rsidRPr="00C26992">
        <w:rPr>
          <w:lang w:val="tr-TR"/>
        </w:rPr>
        <w:t xml:space="preserve">Comparison of focused </w:t>
      </w:r>
      <w:r w:rsidRPr="00C26992">
        <w:rPr>
          <w:i/>
          <w:iCs/>
          <w:lang w:val="tr-TR"/>
        </w:rPr>
        <w:t>m</w:t>
      </w:r>
      <w:r w:rsidRPr="00C26992">
        <w:rPr>
          <w:lang w:val="tr-TR"/>
        </w:rPr>
        <w:t xml:space="preserve">=1 vortex propagation in fused silica, ordinary sapphire, and extraordinary sapphire. (a) Maximum intensity as a function of input energy. Fused silica shows stronger nonmonotonic intensity spikes, while sapphire exhibits smoother energy dependence. (b) Final-output blue-side cutoff wavelength. Fused silica reaches substantially shorter cutoff wavelengths, in some cases approaching the numerical bandwidth limit, whereas sapphire remains in the 370–410 nm range. (c) Nonlinear focus position </w:t>
      </w:r>
      <w:r w:rsidRPr="00C26992">
        <w:rPr>
          <w:i/>
          <w:iCs/>
          <w:lang w:val="tr-TR"/>
        </w:rPr>
        <w:t>z</w:t>
      </w:r>
      <w:r w:rsidRPr="00C26992">
        <w:rPr>
          <w:i/>
          <w:iCs/>
          <w:vertAlign w:val="subscript"/>
          <w:lang w:val="tr-TR"/>
        </w:rPr>
        <w:t>I</w:t>
      </w:r>
      <w:r w:rsidRPr="00C26992">
        <w:rPr>
          <w:vertAlign w:val="subscript"/>
          <w:lang w:val="tr-TR"/>
        </w:rPr>
        <w:t>max</w:t>
      </w:r>
      <w:r w:rsidRPr="00C26992">
        <w:rPr>
          <w:lang w:val="tr-TR"/>
        </w:rPr>
        <w:t xml:space="preserve"> as a function of input energy. All cases generally collapse before the geometrical focus at 15 mm, shown by the dashed horizontal line. These results demonstrate that sapphire supports vortex-ring breakup and filamentation-like propagation, but with different spectral and focusing behavior from fused silica.</w:t>
      </w:r>
    </w:p>
    <w:p w14:paraId="08C481EB" w14:textId="77777777" w:rsidR="005B1E49" w:rsidRDefault="005B1E49"/>
    <w:sectPr w:rsidR="005B1E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92"/>
    <w:rsid w:val="000D7077"/>
    <w:rsid w:val="002D3948"/>
    <w:rsid w:val="004D1477"/>
    <w:rsid w:val="005B1E49"/>
    <w:rsid w:val="00C2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B008"/>
  <w15:chartTrackingRefBased/>
  <w15:docId w15:val="{FDD47013-7E68-4205-91CD-10BF6C0A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Firat</dc:creator>
  <cp:keywords/>
  <dc:description/>
  <cp:lastModifiedBy>Coskun Firat</cp:lastModifiedBy>
  <cp:revision>1</cp:revision>
  <dcterms:created xsi:type="dcterms:W3CDTF">2026-06-25T14:39:00Z</dcterms:created>
  <dcterms:modified xsi:type="dcterms:W3CDTF">2026-06-25T14:39:00Z</dcterms:modified>
</cp:coreProperties>
</file>