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CRISPR</w:t>
      </w:r>
    </w:p>
    <w:p>
      <w:r>
        <w:t>CRISPR (; acronym of clustered regularly interspaced short palindromic repeats) is a family of DNA sequences found in the genomes of prokaryotic organisms such as bacteria and archaea. Each sequence within an individual prokaryotic CRISPR is derived from a DNA fragment of a bacteriophage that had previously infected the prokaryote or one of its ancestors. These sequences are used to detect and destroy DNA from similar bacteriophages during subsequent infections. Hence these sequences play a key role in the antiviral (i.e. anti-phage) defense system of prokaryotes and provide a form of heritable, acquired immunity. CRISPR is found in approximately 50% of sequenced bacterial genomes and nearly 90% of sequenced archaea.</w:t>
        <w:br/>
        <w:t>Cas9 (or "CRISPR-associated protein 9") is an enzyme that uses CRISPR sequences as a guide to recognize and open up specific strands of DNA that are complementary to the CRISPR sequence. Cas9 enzymes together with CRISPR sequences form the basis of a technology known as CRISPR-Cas9 that can be used to edit genes within living organisms. This editing process has a wide variety of applications including basic biological research, development of biotechnological products, and treatment of diseases. The development of the CRISPR-Cas9 genome editing technique was recognized by the Nobel Prize in Chemistry in 2020 awarded to Emmanuelle Charpentier and Jennifer Doudna.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