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Inflation</w:t>
      </w:r>
    </w:p>
    <w:p>
      <w:r>
        <w:t>In economics, inflation is an increase in the average price of goods and services in terms of money. This increase is measured using a price index, typically a consumer price index (CPI). When the general price level rises, each unit of currency buys fewer goods and services; consequently, inflation corresponds to a reduction in the purchasing power of money. The opposite of CPI inflation is deflation, a decrease in the general price level of goods and services. The common measure of inflation is the inflation rate, the annualized percentage change in a general price index.</w:t>
        <w:br/>
        <w:t>Changes in inflation are widely attributed to fluctuations in real demand for goods and services (also known as demand shocks, including changes in fiscal or monetary policy), changes in available supplies such as during energy crises (also known as supply shocks), or changes in inflation expectations, which may be self-fulfilling. Moderate inflation affects economies in both positive and negative ways. The negative effects would include an increase in the opportunity cost of holding money; uncertainty over future inflation, which may discourage investment and savings; and, if inflation were rapid enough, shortages of goods as consumers begin hoarding out of concern that prices will increase in the future. Positive effects include reducing unemployment due to nominal wage rigidity, allowing the central bank greater freedom in carrying out monetary policy, encouraging loans and investment instead of money hoarding, and avoiding the inefficiencies associated with deflation.</w:t>
        <w:br/>
        <w:t>Today, most economists favour a low and steady rate of inflation. Low (as opposed to zero or negative) inflation reduces the probability of economic recessions by enabling the labor market to adjust more quickly in a downturn and reduces the risk that a liquidity trap prevents monetary policy from stabilizing the economy while avoiding the costs associated with high inflation. The task of keeping the rate of inflation low and stable is usually given to central banks that control monetary policy, normally through the setting of interest rates and by carrying out open market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