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 (complex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w:t>
        <w:br/>
        <w:t>Some organisms also perform anoxygenic 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 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w:t>
        <w:br/>
        <w:t>While the details may differ between species, the process always begins when light energy is absorbed by the reaction centers, 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 molecules that participate in energetic processes: reduced nicotinamide adenine dinucleotide phosphate (NADPH) and ATP.</w:t>
        <w:br/>
        <w:t>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 form further carbohydrates, such as glucose. In other bacteria, different mechanisms like the reverse Krebs cycle are used to achieve the same end.</w:t>
        <w:br/>
        <w:t>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 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