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 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 corresponding French word renaissance was adopted into English as the term for this period during the 1830s.</w:t>
        <w:br/>
        <w:t>The Renaissance's intellectual basis was founded in its version of humanism, derived from the concept of Roman humanitas and the rediscovery of classical Greek philosophy, such as that of Protagoras, who said that "man is the measure of all things". Although the invention of metal movable type sped the dissemination of ideas from the later 15th century, the changes of the Renaissance were not uniform across Europe: the first traces appear in Italy as early as the late 13th century, in particular with the writings of Dante and the paintings of Giotto.</w:t>
        <w:br/>
        <w:t>As a cultural movement, the Renaissance encompassed innovative flowering of literary Latin and an explosion of vernacular literatures, beginning with the 14th-century resurgence of learning based on classical sources, which contemporaries credited to Petrarch; the development of linear perspective and other techniques of rendering a more natural reality in painting; and gradual but widespread educational reform. It saw myriad artistic developments and contributions from such polymaths as Leonardo da Vinci and Michelangelo, who inspired the term "Renaissance man". In politics, the Renaissance contributed to the development of the customs and conventions of diplomacy, and in science to an increased reliance on observation and inductive reasoning. The period also saw revolutions in other intellectual and social scientific pursuits, as well as the introduction of modern banking and the field of accounting.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