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Surrealism</w:t>
      </w:r>
    </w:p>
    <w:p>
      <w:r>
        <w:t>Surrealism is an art and cultural movement that developed in Europe in the aftermath of World War I in which artists aimed to allow the unconscious mind to express itself, often resulting in the depiction of illogical or dreamlike scenes and ideas. Its intention was, according to leader André Breton, to "resolve the previously contradictory conditions of dream and reality into an absolute reality, a super-reality", or surreality. It produced works of painting, writing, photography, theatre, filmmaking, music, comedy and other media as well.</w:t>
        <w:br/>
        <w:t>Works of Surrealism feature the element of surprise, unexpected juxtapositions and non sequitur. However, many Surrealist artists and writers regard their work as an expression of the philosophical movement first and foremost (for instance, of the "pure psychic automatism" Breton speaks of in the first Surrealist Manifesto), with the works themselves being secondary, i.e., artifacts of surrealist experimentation. Leader Breton was explicit in his assertion that Surrealism was, above all, a revolutionary movement. At the time, the movement was associated with political causes such as communism and anarchism. It was influenced by the Dada movement of the 1910s.</w:t>
        <w:br/>
        <w:t>The term "Surrealism" originated with Guillaume Apollinaire in 1917. However, the Surrealist movement was not officially established until after October 1924, when the Surrealist Manifesto published by Breton succeeded in claiming the term for his group over a rival faction led by Yvan Goll, who had published his own surrealist manifesto two weeks prior. The most important center of the movement was Paris, France. From the 1920s onward, the movement spread around the globe, impacting the visual arts, literature, theatre, film, and music of many countries and languages, as well as political thought and practice, philosophy, and social and cultural theories.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