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 half of whom were civilians. Millions died in genocides, including the Holocaust, and by massacres, starvation, and disease. After the Allied victory, Germany, Austria, Japan, and Korea were occupied, and German and Japanese leaders were tried for war crimes.</w:t>
        <w:br/>
        <w:t>The causes of World War II included unresolved tensions in the aftermath of World War I, the rise of fascism in Europe and militarism in Japan. Key events preceding the war included Japan's invasion of Manchuria in 1931, the Spanish Civil War, the outbreak of the Second Sino-Japanese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 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w:t>
        <w:br/>
        <w:t>In December 1941, Japan attacked American and British territories in 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 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 an imminent Allied invasion, the prospect of further atomic bombings, and a Soviet declaration of war and invasion of Manchuria, Japan announced its unconditional surrender on 15 August, and signed a surrender document on 2 September 1945.</w:t>
        <w:br/>
        <w:t>World War II transformed the political, economic, and social structures of the world, and established the foundation of international relations for the rest of the 20th century and into the 21st century. The United Nations was created to foster international cooperation and prevent future conflicts, with the victorious great powers—China, France, the Soviet Union, the UK, and the US—becoming the permanent members of its security council. The Soviet Union and the US emerged as rival superpowers, setting the stage for the half-century Cold War. In the wake of Europe's devastation, the influence of its great powers waned, triggering the decolonisation of Africa and of Asia. Many countries whose industries had been damaged moved towards economic recovery and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