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13131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color w:val="134f5c"/>
        </w:rPr>
      </w:pPr>
      <w:bookmarkStart w:colFirst="0" w:colLast="0" w:name="_1gfp7p2mbujc" w:id="0"/>
      <w:bookmarkEnd w:id="0"/>
      <w:r w:rsidDel="00000000" w:rsidR="00000000" w:rsidRPr="00000000">
        <w:rPr>
          <w:color w:val="134f5c"/>
          <w:rtl w:val="0"/>
        </w:rPr>
        <w:t xml:space="preserve">VMware Tanzu Spring Essentials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67063" cy="81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8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bidi w:val="1"/>
        <w:spacing w:after="80" w:lineRule="auto"/>
        <w:rPr>
          <w:b w:val="1"/>
          <w:color w:val="134f5c"/>
          <w:sz w:val="34"/>
          <w:szCs w:val="34"/>
        </w:rPr>
      </w:pPr>
      <w:bookmarkStart w:colFirst="0" w:colLast="0" w:name="_x4bl587hwnvi" w:id="1"/>
      <w:bookmarkEnd w:id="1"/>
      <w:r w:rsidDel="00000000" w:rsidR="00000000" w:rsidRPr="00000000">
        <w:rPr>
          <w:b w:val="1"/>
          <w:color w:val="134f5c"/>
          <w:sz w:val="34"/>
          <w:szCs w:val="34"/>
          <w:rtl w:val="0"/>
        </w:rPr>
        <w:t xml:space="preserve">VMware Tanzu Spring Essentials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am3bso1k79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מקצועי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יישומי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בקצב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ובסטנדרט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הענן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רחב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לאבטחה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לנתונים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אינטגרציה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מודולריות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ופשטות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VMware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Tanzu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ומציעה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חבילת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מסחרית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לשדרג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ולהתמקד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חדשנות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qs74xwcjw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תקציר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מנהלים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  <w:t xml:space="preserve">Tanzu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לארגונים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Java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טווח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LTS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OSS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OpenJDK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היישומים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br w:type="textWrapping"/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-2 </w:t>
      </w:r>
      <w:r w:rsidDel="00000000" w:rsidR="00000000" w:rsidRPr="00000000">
        <w:rPr>
          <w:rtl w:val="1"/>
        </w:rPr>
        <w:t xml:space="preserve">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Tanzu Spring Enterprise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מורחבת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עדכוני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שוטפים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ותחזוקה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מתמשכת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קריטיים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Spring Application Advisor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בסביבות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e5t56stzj5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Tanzu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Enterprise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תמיכה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ותחזוקה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רצינית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לסביבות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קריטיות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luk5i3htjgc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יתרונות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מרכזיים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14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👈 </w:t>
      </w:r>
      <w:r w:rsidDel="00000000" w:rsidR="00000000" w:rsidRPr="00000000">
        <w:rPr>
          <w:b w:val="1"/>
          <w:rtl w:val="1"/>
        </w:rPr>
        <w:t xml:space="preserve">תמיכה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ארוכת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טווח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LTS</w:t>
      </w:r>
      <w:r w:rsidDel="00000000" w:rsidR="00000000" w:rsidRPr="00000000">
        <w:rPr>
          <w:b w:val="1"/>
          <w:rtl w:val="0"/>
        </w:rPr>
        <w:t xml:space="preserve">):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לרכיבים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Framework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Apache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Tomcat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OpenJDK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👈 </w:t>
      </w:r>
      <w:r w:rsidDel="00000000" w:rsidR="00000000" w:rsidRPr="00000000">
        <w:rPr>
          <w:b w:val="1"/>
          <w:rtl w:val="1"/>
        </w:rPr>
        <w:t xml:space="preserve">עדכוני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לטווח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ארוך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הפתוח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6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👈 </w:t>
      </w:r>
      <w:r w:rsidDel="00000000" w:rsidR="00000000" w:rsidRPr="00000000">
        <w:rPr>
          <w:b w:val="1"/>
          <w:rtl w:val="1"/>
        </w:rPr>
        <w:t xml:space="preserve">תמיכה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מהיוצרים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ספרינג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הצוותים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שכותבים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👈 </w:t>
      </w:r>
      <w:r w:rsidDel="00000000" w:rsidR="00000000" w:rsidRPr="00000000">
        <w:rPr>
          <w:b w:val="1"/>
          <w:rtl w:val="1"/>
        </w:rPr>
        <w:t xml:space="preserve">כיסוי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רחב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-50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האקוסיסטם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Micrometer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Reactor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Security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8">
      <w:pPr>
        <w:bidi w:val="1"/>
        <w:spacing w:after="240" w:before="240" w:lineRule="auto"/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👈 </w:t>
      </w:r>
      <w:r w:rsidDel="00000000" w:rsidR="00000000" w:rsidRPr="00000000">
        <w:rPr>
          <w:b w:val="1"/>
          <w:rtl w:val="1"/>
        </w:rPr>
        <w:t xml:space="preserve">מאגר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ארגוני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לארטיפקטים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Gradle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Maven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ויציבות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rri47y3mv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מדיניות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תמיכה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מינימום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Boot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נתמכות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13 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Open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Source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ארגונית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למסלול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143fpheods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Spring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Application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Advisor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שדרוגי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Spring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כאבי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ראש</w:t>
      </w:r>
    </w:p>
    <w:p w:rsidR="00000000" w:rsidDel="00000000" w:rsidP="00000000" w:rsidRDefault="00000000" w:rsidRPr="00000000" w14:paraId="0000001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CI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תיאום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לגרסאות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Spring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ותלויותיו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Requests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לשדרוג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intermediate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dependencies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שקופה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עדכוני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rtl w:val="0"/>
        </w:rPr>
        <w:t xml:space="preserve">build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scripts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מבוססי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OpenRewrite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ידנית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אכיפה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עדכניות</w:t>
      </w:r>
      <w:r w:rsidDel="00000000" w:rsidR="00000000" w:rsidRPr="00000000">
        <w:rPr>
          <w:rtl w:val="1"/>
        </w:rPr>
        <w:t xml:space="preserve"> — </w:t>
      </w:r>
      <w:r w:rsidDel="00000000" w:rsidR="00000000" w:rsidRPr="00000000">
        <w:rPr>
          <w:rtl w:val="1"/>
        </w:rPr>
        <w:t xml:space="preserve">שדרוגים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קפיצות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45dj4pq6e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יתרונות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פרודוקטיביות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מוגברת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למפתחים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מבזבזים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שדרוגים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ידניים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מזעור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טכני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מדוד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דרמטי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שיפור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מתמשך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תמיכה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</w:t>
      </w:r>
      <w:r w:rsidDel="00000000" w:rsidR="00000000" w:rsidRPr="00000000">
        <w:rPr>
          <w:b w:val="1"/>
          <w:rtl w:val="1"/>
        </w:rPr>
        <w:t xml:space="preserve">־</w:t>
      </w:r>
      <w:r w:rsidDel="00000000" w:rsidR="00000000" w:rsidRPr="00000000">
        <w:rPr>
          <w:b w:val="1"/>
          <w:rtl w:val="0"/>
        </w:rPr>
        <w:t xml:space="preserve">CI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CD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pipeline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