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CA968" w14:textId="77777777" w:rsidR="005816FF" w:rsidRPr="005816FF" w:rsidRDefault="005816FF" w:rsidP="003C7762">
      <w:pPr>
        <w:jc w:val="center"/>
        <w:rPr>
          <w:b/>
          <w:bCs/>
        </w:rPr>
      </w:pPr>
      <w:r w:rsidRPr="005816FF">
        <w:rPr>
          <w:b/>
          <w:bCs/>
        </w:rPr>
        <w:t>JBS Food Production Model UI Controls Manual</w:t>
      </w:r>
    </w:p>
    <w:p w14:paraId="5F5BCDE0" w14:textId="77777777" w:rsidR="005816FF" w:rsidRPr="005816FF" w:rsidRDefault="005816FF" w:rsidP="005816FF">
      <w:pPr>
        <w:rPr>
          <w:b/>
          <w:bCs/>
        </w:rPr>
      </w:pPr>
      <w:r w:rsidRPr="005816FF">
        <w:rPr>
          <w:b/>
          <w:bCs/>
        </w:rPr>
        <w:t>Overview</w:t>
      </w:r>
    </w:p>
    <w:p w14:paraId="5FF5F512" w14:textId="0E87CFDE" w:rsidR="005816FF" w:rsidRPr="005816FF" w:rsidRDefault="005816FF" w:rsidP="005816FF">
      <w:r w:rsidRPr="005816FF">
        <w:t xml:space="preserve">This manual explains the interface controls for the </w:t>
      </w:r>
      <w:r w:rsidR="003C7762">
        <w:t>JBS</w:t>
      </w:r>
      <w:r w:rsidR="00F144F4">
        <w:t xml:space="preserve"> </w:t>
      </w:r>
      <w:proofErr w:type="gramStart"/>
      <w:r w:rsidR="00F144F4">
        <w:t xml:space="preserve">2.0 </w:t>
      </w:r>
      <w:r w:rsidR="003C7762">
        <w:t xml:space="preserve"> </w:t>
      </w:r>
      <w:proofErr w:type="spellStart"/>
      <w:r w:rsidR="003A49B0">
        <w:t>NetLogo</w:t>
      </w:r>
      <w:proofErr w:type="spellEnd"/>
      <w:proofErr w:type="gramEnd"/>
      <w:r w:rsidR="00F144F4">
        <w:t xml:space="preserve"> model</w:t>
      </w:r>
      <w:r w:rsidRPr="005816FF">
        <w:t>, which simulates the U.S. meat processing industry and its vulnerability to cyberattacks. The model demonstrates how disruptions to major meat processors can affect food security and national security.</w:t>
      </w:r>
    </w:p>
    <w:p w14:paraId="417008B5" w14:textId="77777777" w:rsidR="005816FF" w:rsidRPr="005816FF" w:rsidRDefault="005816FF" w:rsidP="005816FF">
      <w:pPr>
        <w:rPr>
          <w:b/>
          <w:bCs/>
        </w:rPr>
      </w:pPr>
      <w:r w:rsidRPr="005816FF">
        <w:rPr>
          <w:b/>
          <w:bCs/>
        </w:rPr>
        <w:t>Shock Parameters</w:t>
      </w:r>
    </w:p>
    <w:p w14:paraId="020AE5B8" w14:textId="77777777" w:rsidR="005816FF" w:rsidRPr="005816FF" w:rsidRDefault="005816FF" w:rsidP="005816FF">
      <w:pPr>
        <w:rPr>
          <w:b/>
          <w:bCs/>
        </w:rPr>
      </w:pPr>
      <w:r w:rsidRPr="005816FF">
        <w:rPr>
          <w:b/>
          <w:bCs/>
        </w:rPr>
        <w:t>Shock Scenario Chooser</w:t>
      </w:r>
    </w:p>
    <w:p w14:paraId="771B6EC6" w14:textId="77777777" w:rsidR="005816FF" w:rsidRPr="005816FF" w:rsidRDefault="005816FF" w:rsidP="005816FF">
      <w:pPr>
        <w:numPr>
          <w:ilvl w:val="0"/>
          <w:numId w:val="3"/>
        </w:numPr>
      </w:pPr>
      <w:r w:rsidRPr="005816FF">
        <w:rPr>
          <w:b/>
          <w:bCs/>
        </w:rPr>
        <w:t>Purpose</w:t>
      </w:r>
      <w:r w:rsidRPr="005816FF">
        <w:t>: Selects a predefined scenario with preset values for shock magnitude, duration, and other parameters.</w:t>
      </w:r>
    </w:p>
    <w:p w14:paraId="7275A534" w14:textId="77777777" w:rsidR="005816FF" w:rsidRPr="005816FF" w:rsidRDefault="005816FF" w:rsidP="005816FF">
      <w:pPr>
        <w:numPr>
          <w:ilvl w:val="0"/>
          <w:numId w:val="3"/>
        </w:numPr>
      </w:pPr>
      <w:r w:rsidRPr="005816FF">
        <w:rPr>
          <w:b/>
          <w:bCs/>
        </w:rPr>
        <w:t>Options</w:t>
      </w:r>
      <w:r w:rsidRPr="005816FF">
        <w:t xml:space="preserve">: </w:t>
      </w:r>
    </w:p>
    <w:p w14:paraId="264FB5CD" w14:textId="77777777" w:rsidR="005816FF" w:rsidRPr="005816FF" w:rsidRDefault="005816FF" w:rsidP="005816FF">
      <w:pPr>
        <w:numPr>
          <w:ilvl w:val="1"/>
          <w:numId w:val="3"/>
        </w:numPr>
      </w:pPr>
      <w:r w:rsidRPr="005816FF">
        <w:rPr>
          <w:b/>
          <w:bCs/>
        </w:rPr>
        <w:t>Mild Disruption</w:t>
      </w:r>
      <w:r w:rsidRPr="005816FF">
        <w:t>: A small-scale cyberattack with 10% production loss and quick recovery (5 ticks).</w:t>
      </w:r>
    </w:p>
    <w:p w14:paraId="5AFE4154" w14:textId="77777777" w:rsidR="005816FF" w:rsidRPr="005816FF" w:rsidRDefault="005816FF" w:rsidP="005816FF">
      <w:pPr>
        <w:numPr>
          <w:ilvl w:val="1"/>
          <w:numId w:val="3"/>
        </w:numPr>
      </w:pPr>
      <w:r w:rsidRPr="005816FF">
        <w:rPr>
          <w:b/>
          <w:bCs/>
        </w:rPr>
        <w:t>Severe Crisis</w:t>
      </w:r>
      <w:r w:rsidRPr="005816FF">
        <w:t>: A major cyberattack with 50% production loss and extended recovery time (30 ticks).</w:t>
      </w:r>
    </w:p>
    <w:p w14:paraId="671D14C5" w14:textId="77777777" w:rsidR="005816FF" w:rsidRPr="005816FF" w:rsidRDefault="005816FF" w:rsidP="005816FF">
      <w:pPr>
        <w:numPr>
          <w:ilvl w:val="1"/>
          <w:numId w:val="3"/>
        </w:numPr>
      </w:pPr>
      <w:r w:rsidRPr="005816FF">
        <w:rPr>
          <w:b/>
          <w:bCs/>
        </w:rPr>
        <w:t>Recovery Boost</w:t>
      </w:r>
      <w:r w:rsidRPr="005816FF">
        <w:t>: A moderate attack (30% production loss) with industry support for recovery (20 ticks).</w:t>
      </w:r>
    </w:p>
    <w:p w14:paraId="21A02B80" w14:textId="77777777" w:rsidR="005816FF" w:rsidRPr="005816FF" w:rsidRDefault="005816FF" w:rsidP="005816FF">
      <w:pPr>
        <w:rPr>
          <w:b/>
          <w:bCs/>
        </w:rPr>
      </w:pPr>
      <w:r w:rsidRPr="005816FF">
        <w:rPr>
          <w:b/>
          <w:bCs/>
        </w:rPr>
        <w:t>Target Firm Chooser</w:t>
      </w:r>
    </w:p>
    <w:p w14:paraId="18B19A74" w14:textId="77777777" w:rsidR="005816FF" w:rsidRPr="005816FF" w:rsidRDefault="005816FF" w:rsidP="005816FF">
      <w:pPr>
        <w:numPr>
          <w:ilvl w:val="0"/>
          <w:numId w:val="4"/>
        </w:numPr>
      </w:pPr>
      <w:r w:rsidRPr="005816FF">
        <w:rPr>
          <w:b/>
          <w:bCs/>
        </w:rPr>
        <w:t>Purpose</w:t>
      </w:r>
      <w:r w:rsidRPr="005816FF">
        <w:t>: Selects which meat processing firm will be targeted by the cyberattack.</w:t>
      </w:r>
    </w:p>
    <w:p w14:paraId="707F1C85" w14:textId="77777777" w:rsidR="005816FF" w:rsidRPr="005816FF" w:rsidRDefault="005816FF" w:rsidP="005816FF">
      <w:pPr>
        <w:numPr>
          <w:ilvl w:val="0"/>
          <w:numId w:val="4"/>
        </w:numPr>
      </w:pPr>
      <w:r w:rsidRPr="005816FF">
        <w:rPr>
          <w:b/>
          <w:bCs/>
        </w:rPr>
        <w:t>Options</w:t>
      </w:r>
      <w:r w:rsidRPr="005816FF">
        <w:t xml:space="preserve">: </w:t>
      </w:r>
    </w:p>
    <w:p w14:paraId="577605FD" w14:textId="77777777" w:rsidR="005816FF" w:rsidRPr="005816FF" w:rsidRDefault="005816FF" w:rsidP="005816FF">
      <w:pPr>
        <w:numPr>
          <w:ilvl w:val="1"/>
          <w:numId w:val="4"/>
        </w:numPr>
      </w:pPr>
      <w:r w:rsidRPr="005816FF">
        <w:rPr>
          <w:b/>
          <w:bCs/>
        </w:rPr>
        <w:t>JBS (24%)</w:t>
      </w:r>
      <w:r w:rsidRPr="005816FF">
        <w:t>: The largest processor with 24% market share.</w:t>
      </w:r>
    </w:p>
    <w:p w14:paraId="65D0957F" w14:textId="77777777" w:rsidR="005816FF" w:rsidRPr="005816FF" w:rsidRDefault="005816FF" w:rsidP="005816FF">
      <w:pPr>
        <w:numPr>
          <w:ilvl w:val="1"/>
          <w:numId w:val="4"/>
        </w:numPr>
      </w:pPr>
      <w:r w:rsidRPr="005816FF">
        <w:rPr>
          <w:b/>
          <w:bCs/>
        </w:rPr>
        <w:t>Tyson Foods (22%)</w:t>
      </w:r>
      <w:r w:rsidRPr="005816FF">
        <w:t>: The second-largest processor with 22% market share.</w:t>
      </w:r>
    </w:p>
    <w:p w14:paraId="0E041A22" w14:textId="77777777" w:rsidR="005816FF" w:rsidRPr="005816FF" w:rsidRDefault="005816FF" w:rsidP="005816FF">
      <w:pPr>
        <w:numPr>
          <w:ilvl w:val="1"/>
          <w:numId w:val="4"/>
        </w:numPr>
      </w:pPr>
      <w:r w:rsidRPr="005816FF">
        <w:rPr>
          <w:b/>
          <w:bCs/>
        </w:rPr>
        <w:t>Cargill (19%)</w:t>
      </w:r>
      <w:r w:rsidRPr="005816FF">
        <w:t xml:space="preserve">: The </w:t>
      </w:r>
      <w:proofErr w:type="gramStart"/>
      <w:r w:rsidRPr="005816FF">
        <w:t>third-largest</w:t>
      </w:r>
      <w:proofErr w:type="gramEnd"/>
      <w:r w:rsidRPr="005816FF">
        <w:t xml:space="preserve"> processor with 19% market share.</w:t>
      </w:r>
    </w:p>
    <w:p w14:paraId="4E6B3A88" w14:textId="77777777" w:rsidR="005816FF" w:rsidRPr="005816FF" w:rsidRDefault="005816FF" w:rsidP="005816FF">
      <w:pPr>
        <w:numPr>
          <w:ilvl w:val="1"/>
          <w:numId w:val="4"/>
        </w:numPr>
      </w:pPr>
      <w:r w:rsidRPr="005816FF">
        <w:rPr>
          <w:b/>
          <w:bCs/>
        </w:rPr>
        <w:t>National Beef (12%)</w:t>
      </w:r>
      <w:r w:rsidRPr="005816FF">
        <w:t>: The fourth-largest processor with 12% market share.</w:t>
      </w:r>
    </w:p>
    <w:p w14:paraId="02B14562" w14:textId="77777777" w:rsidR="005816FF" w:rsidRPr="005816FF" w:rsidRDefault="005816FF" w:rsidP="005816FF">
      <w:pPr>
        <w:numPr>
          <w:ilvl w:val="1"/>
          <w:numId w:val="4"/>
        </w:numPr>
      </w:pPr>
      <w:r w:rsidRPr="005816FF">
        <w:rPr>
          <w:b/>
          <w:bCs/>
        </w:rPr>
        <w:t>Random</w:t>
      </w:r>
      <w:r w:rsidRPr="005816FF">
        <w:t>: Randomly selects one of the major firms.</w:t>
      </w:r>
    </w:p>
    <w:p w14:paraId="7B3147D1" w14:textId="77777777" w:rsidR="005816FF" w:rsidRPr="005816FF" w:rsidRDefault="005816FF" w:rsidP="005816FF">
      <w:pPr>
        <w:rPr>
          <w:b/>
          <w:bCs/>
        </w:rPr>
      </w:pPr>
      <w:r w:rsidRPr="005816FF">
        <w:rPr>
          <w:b/>
          <w:bCs/>
        </w:rPr>
        <w:t>Shock Start Time Slider (0-100)</w:t>
      </w:r>
    </w:p>
    <w:p w14:paraId="2C9D278B" w14:textId="77777777" w:rsidR="005816FF" w:rsidRPr="005816FF" w:rsidRDefault="005816FF" w:rsidP="005816FF">
      <w:pPr>
        <w:numPr>
          <w:ilvl w:val="0"/>
          <w:numId w:val="5"/>
        </w:numPr>
      </w:pPr>
      <w:r w:rsidRPr="005816FF">
        <w:rPr>
          <w:b/>
          <w:bCs/>
        </w:rPr>
        <w:t>Purpose</w:t>
      </w:r>
      <w:r w:rsidRPr="005816FF">
        <w:t>: Determines when the cyberattack occurs during the simulation.</w:t>
      </w:r>
    </w:p>
    <w:p w14:paraId="2402DAD6" w14:textId="77777777" w:rsidR="005816FF" w:rsidRPr="005816FF" w:rsidRDefault="005816FF" w:rsidP="005816FF">
      <w:pPr>
        <w:numPr>
          <w:ilvl w:val="0"/>
          <w:numId w:val="5"/>
        </w:numPr>
      </w:pPr>
      <w:r w:rsidRPr="005816FF">
        <w:rPr>
          <w:b/>
          <w:bCs/>
        </w:rPr>
        <w:t>Default</w:t>
      </w:r>
      <w:r w:rsidRPr="005816FF">
        <w:t>: 10 ticks</w:t>
      </w:r>
    </w:p>
    <w:p w14:paraId="1C920754" w14:textId="77777777" w:rsidR="005816FF" w:rsidRPr="005816FF" w:rsidRDefault="005816FF" w:rsidP="005816FF">
      <w:pPr>
        <w:numPr>
          <w:ilvl w:val="0"/>
          <w:numId w:val="5"/>
        </w:numPr>
      </w:pPr>
      <w:r w:rsidRPr="005816FF">
        <w:rPr>
          <w:b/>
          <w:bCs/>
        </w:rPr>
        <w:lastRenderedPageBreak/>
        <w:t>Example Values</w:t>
      </w:r>
      <w:r w:rsidRPr="005816FF">
        <w:t xml:space="preserve">: </w:t>
      </w:r>
    </w:p>
    <w:p w14:paraId="292FF536" w14:textId="77777777" w:rsidR="005816FF" w:rsidRPr="005816FF" w:rsidRDefault="005816FF" w:rsidP="005816FF">
      <w:pPr>
        <w:numPr>
          <w:ilvl w:val="1"/>
          <w:numId w:val="5"/>
        </w:numPr>
      </w:pPr>
      <w:r w:rsidRPr="005816FF">
        <w:rPr>
          <w:b/>
          <w:bCs/>
        </w:rPr>
        <w:t>5</w:t>
      </w:r>
      <w:r w:rsidRPr="005816FF">
        <w:t>: Early disruption before the system stabilizes.</w:t>
      </w:r>
    </w:p>
    <w:p w14:paraId="2FDEEE56" w14:textId="77777777" w:rsidR="005816FF" w:rsidRPr="005816FF" w:rsidRDefault="005816FF" w:rsidP="005816FF">
      <w:pPr>
        <w:numPr>
          <w:ilvl w:val="1"/>
          <w:numId w:val="5"/>
        </w:numPr>
      </w:pPr>
      <w:r w:rsidRPr="005816FF">
        <w:rPr>
          <w:b/>
          <w:bCs/>
        </w:rPr>
        <w:t>50</w:t>
      </w:r>
      <w:r w:rsidRPr="005816FF">
        <w:t>: Mid-simulation disruption when the system is stable.</w:t>
      </w:r>
    </w:p>
    <w:p w14:paraId="166A2B4B" w14:textId="77777777" w:rsidR="005816FF" w:rsidRPr="005816FF" w:rsidRDefault="005816FF" w:rsidP="005816FF">
      <w:pPr>
        <w:numPr>
          <w:ilvl w:val="0"/>
          <w:numId w:val="5"/>
        </w:numPr>
      </w:pPr>
      <w:r w:rsidRPr="005816FF">
        <w:rPr>
          <w:b/>
          <w:bCs/>
        </w:rPr>
        <w:t>Impact</w:t>
      </w:r>
      <w:r w:rsidRPr="005816FF">
        <w:t>: Earlier shocks may cause more severe disruptions as the system hasn't had time to build resilience.</w:t>
      </w:r>
    </w:p>
    <w:p w14:paraId="020B8BC1" w14:textId="77777777" w:rsidR="005816FF" w:rsidRPr="005816FF" w:rsidRDefault="005816FF" w:rsidP="005816FF">
      <w:pPr>
        <w:rPr>
          <w:b/>
          <w:bCs/>
        </w:rPr>
      </w:pPr>
      <w:r w:rsidRPr="005816FF">
        <w:rPr>
          <w:b/>
          <w:bCs/>
        </w:rPr>
        <w:t>Apply Shock? Switch</w:t>
      </w:r>
    </w:p>
    <w:p w14:paraId="0FFD24BD" w14:textId="77777777" w:rsidR="005816FF" w:rsidRPr="005816FF" w:rsidRDefault="005816FF" w:rsidP="005816FF">
      <w:pPr>
        <w:numPr>
          <w:ilvl w:val="0"/>
          <w:numId w:val="6"/>
        </w:numPr>
      </w:pPr>
      <w:r w:rsidRPr="005816FF">
        <w:rPr>
          <w:b/>
          <w:bCs/>
        </w:rPr>
        <w:t>Purpose</w:t>
      </w:r>
      <w:r w:rsidRPr="005816FF">
        <w:t>: Toggles whether a cyberattack will occur during the simulation.</w:t>
      </w:r>
    </w:p>
    <w:p w14:paraId="7D770DEC" w14:textId="77777777" w:rsidR="005816FF" w:rsidRPr="005816FF" w:rsidRDefault="005816FF" w:rsidP="005816FF">
      <w:pPr>
        <w:numPr>
          <w:ilvl w:val="0"/>
          <w:numId w:val="6"/>
        </w:numPr>
      </w:pPr>
      <w:r w:rsidRPr="005816FF">
        <w:rPr>
          <w:b/>
          <w:bCs/>
        </w:rPr>
        <w:t>Options</w:t>
      </w:r>
      <w:r w:rsidRPr="005816FF">
        <w:t>: On/Off</w:t>
      </w:r>
    </w:p>
    <w:p w14:paraId="5B5E0E78" w14:textId="77777777" w:rsidR="005816FF" w:rsidRPr="005816FF" w:rsidRDefault="005816FF" w:rsidP="005816FF">
      <w:pPr>
        <w:numPr>
          <w:ilvl w:val="0"/>
          <w:numId w:val="6"/>
        </w:numPr>
      </w:pPr>
      <w:r w:rsidRPr="005816FF">
        <w:rPr>
          <w:b/>
          <w:bCs/>
        </w:rPr>
        <w:t>Impact</w:t>
      </w:r>
      <w:r w:rsidRPr="005816FF">
        <w:t>: When off, no shock will be applied, allowing you to observe normal market conditions.</w:t>
      </w:r>
    </w:p>
    <w:p w14:paraId="425DF5A0" w14:textId="77777777" w:rsidR="005816FF" w:rsidRPr="005816FF" w:rsidRDefault="005816FF" w:rsidP="005816FF">
      <w:pPr>
        <w:rPr>
          <w:b/>
          <w:bCs/>
        </w:rPr>
      </w:pPr>
      <w:r w:rsidRPr="005816FF">
        <w:rPr>
          <w:b/>
          <w:bCs/>
        </w:rPr>
        <w:t>Shock Duration Slider (0-100)</w:t>
      </w:r>
    </w:p>
    <w:p w14:paraId="29A4C169" w14:textId="77777777" w:rsidR="005816FF" w:rsidRPr="005816FF" w:rsidRDefault="005816FF" w:rsidP="005816FF">
      <w:pPr>
        <w:numPr>
          <w:ilvl w:val="0"/>
          <w:numId w:val="7"/>
        </w:numPr>
      </w:pPr>
      <w:r w:rsidRPr="005816FF">
        <w:rPr>
          <w:b/>
          <w:bCs/>
        </w:rPr>
        <w:t>Purpose</w:t>
      </w:r>
      <w:r w:rsidRPr="005816FF">
        <w:t>: Sets how many ticks the cyberattack actively affects the targeted firm.</w:t>
      </w:r>
    </w:p>
    <w:p w14:paraId="309C9B28" w14:textId="77777777" w:rsidR="005816FF" w:rsidRPr="005816FF" w:rsidRDefault="005816FF" w:rsidP="005816FF">
      <w:pPr>
        <w:numPr>
          <w:ilvl w:val="0"/>
          <w:numId w:val="7"/>
        </w:numPr>
      </w:pPr>
      <w:r w:rsidRPr="005816FF">
        <w:rPr>
          <w:b/>
          <w:bCs/>
        </w:rPr>
        <w:t>Default</w:t>
      </w:r>
      <w:r w:rsidRPr="005816FF">
        <w:t>: 20 ticks</w:t>
      </w:r>
    </w:p>
    <w:p w14:paraId="02F92859" w14:textId="77777777" w:rsidR="005816FF" w:rsidRPr="005816FF" w:rsidRDefault="005816FF" w:rsidP="005816FF">
      <w:pPr>
        <w:numPr>
          <w:ilvl w:val="0"/>
          <w:numId w:val="7"/>
        </w:numPr>
      </w:pPr>
      <w:r w:rsidRPr="005816FF">
        <w:rPr>
          <w:b/>
          <w:bCs/>
        </w:rPr>
        <w:t>Example Values</w:t>
      </w:r>
      <w:r w:rsidRPr="005816FF">
        <w:t xml:space="preserve">: </w:t>
      </w:r>
    </w:p>
    <w:p w14:paraId="2B8D9781" w14:textId="77777777" w:rsidR="005816FF" w:rsidRPr="005816FF" w:rsidRDefault="005816FF" w:rsidP="005816FF">
      <w:pPr>
        <w:numPr>
          <w:ilvl w:val="1"/>
          <w:numId w:val="7"/>
        </w:numPr>
      </w:pPr>
      <w:r w:rsidRPr="005816FF">
        <w:rPr>
          <w:b/>
          <w:bCs/>
        </w:rPr>
        <w:t>5</w:t>
      </w:r>
      <w:r w:rsidRPr="005816FF">
        <w:t>: A brief disruption with quick resolution.</w:t>
      </w:r>
    </w:p>
    <w:p w14:paraId="71F9FA0B" w14:textId="77777777" w:rsidR="005816FF" w:rsidRPr="005816FF" w:rsidRDefault="005816FF" w:rsidP="005816FF">
      <w:pPr>
        <w:numPr>
          <w:ilvl w:val="1"/>
          <w:numId w:val="7"/>
        </w:numPr>
      </w:pPr>
      <w:r w:rsidRPr="005816FF">
        <w:rPr>
          <w:b/>
          <w:bCs/>
        </w:rPr>
        <w:t>30</w:t>
      </w:r>
      <w:r w:rsidRPr="005816FF">
        <w:t>: An extended disruption requiring significant recovery time.</w:t>
      </w:r>
    </w:p>
    <w:p w14:paraId="1DFA6219" w14:textId="77777777" w:rsidR="005816FF" w:rsidRPr="005816FF" w:rsidRDefault="005816FF" w:rsidP="005816FF">
      <w:pPr>
        <w:numPr>
          <w:ilvl w:val="0"/>
          <w:numId w:val="7"/>
        </w:numPr>
      </w:pPr>
      <w:r w:rsidRPr="005816FF">
        <w:rPr>
          <w:b/>
          <w:bCs/>
        </w:rPr>
        <w:t>Impact</w:t>
      </w:r>
      <w:r w:rsidRPr="005816FF">
        <w:t>: Longer durations lead to greater production losses and more severe food security impacts.</w:t>
      </w:r>
    </w:p>
    <w:p w14:paraId="2992145A" w14:textId="77777777" w:rsidR="005816FF" w:rsidRPr="005816FF" w:rsidRDefault="005816FF" w:rsidP="005816FF">
      <w:pPr>
        <w:rPr>
          <w:b/>
          <w:bCs/>
        </w:rPr>
      </w:pPr>
      <w:r w:rsidRPr="005816FF">
        <w:rPr>
          <w:b/>
          <w:bCs/>
        </w:rPr>
        <w:t>Shock Percentage Slider (0-100)</w:t>
      </w:r>
    </w:p>
    <w:p w14:paraId="64238E2B" w14:textId="77777777" w:rsidR="005816FF" w:rsidRPr="005816FF" w:rsidRDefault="005816FF" w:rsidP="005816FF">
      <w:pPr>
        <w:numPr>
          <w:ilvl w:val="0"/>
          <w:numId w:val="8"/>
        </w:numPr>
      </w:pPr>
      <w:r w:rsidRPr="005816FF">
        <w:rPr>
          <w:b/>
          <w:bCs/>
        </w:rPr>
        <w:t>Purpose</w:t>
      </w:r>
      <w:r w:rsidRPr="005816FF">
        <w:t>: Determines the percentage of production capacity lost at the affected firm.</w:t>
      </w:r>
    </w:p>
    <w:p w14:paraId="431200C8" w14:textId="77777777" w:rsidR="005816FF" w:rsidRPr="005816FF" w:rsidRDefault="005816FF" w:rsidP="005816FF">
      <w:pPr>
        <w:numPr>
          <w:ilvl w:val="0"/>
          <w:numId w:val="8"/>
        </w:numPr>
      </w:pPr>
      <w:r w:rsidRPr="005816FF">
        <w:rPr>
          <w:b/>
          <w:bCs/>
        </w:rPr>
        <w:t>Default</w:t>
      </w:r>
      <w:r w:rsidRPr="005816FF">
        <w:t>: 50%</w:t>
      </w:r>
    </w:p>
    <w:p w14:paraId="24B4C77C" w14:textId="77777777" w:rsidR="005816FF" w:rsidRPr="005816FF" w:rsidRDefault="005816FF" w:rsidP="005816FF">
      <w:pPr>
        <w:numPr>
          <w:ilvl w:val="0"/>
          <w:numId w:val="8"/>
        </w:numPr>
      </w:pPr>
      <w:r w:rsidRPr="005816FF">
        <w:rPr>
          <w:b/>
          <w:bCs/>
        </w:rPr>
        <w:t>Example Values</w:t>
      </w:r>
      <w:r w:rsidRPr="005816FF">
        <w:t xml:space="preserve">: </w:t>
      </w:r>
    </w:p>
    <w:p w14:paraId="465596D2" w14:textId="77777777" w:rsidR="005816FF" w:rsidRPr="005816FF" w:rsidRDefault="005816FF" w:rsidP="005816FF">
      <w:pPr>
        <w:numPr>
          <w:ilvl w:val="1"/>
          <w:numId w:val="8"/>
        </w:numPr>
      </w:pPr>
      <w:r w:rsidRPr="005816FF">
        <w:rPr>
          <w:b/>
          <w:bCs/>
        </w:rPr>
        <w:t>10%</w:t>
      </w:r>
      <w:r w:rsidRPr="005816FF">
        <w:t>: Minor disruption to operations.</w:t>
      </w:r>
    </w:p>
    <w:p w14:paraId="5C87C7A9" w14:textId="77777777" w:rsidR="005816FF" w:rsidRPr="005816FF" w:rsidRDefault="005816FF" w:rsidP="005816FF">
      <w:pPr>
        <w:numPr>
          <w:ilvl w:val="1"/>
          <w:numId w:val="8"/>
        </w:numPr>
      </w:pPr>
      <w:r w:rsidRPr="005816FF">
        <w:rPr>
          <w:b/>
          <w:bCs/>
        </w:rPr>
        <w:t>75%</w:t>
      </w:r>
      <w:r w:rsidRPr="005816FF">
        <w:t>: Severe disruption with significant production losses.</w:t>
      </w:r>
    </w:p>
    <w:p w14:paraId="60038246" w14:textId="77777777" w:rsidR="005816FF" w:rsidRPr="005816FF" w:rsidRDefault="005816FF" w:rsidP="005816FF">
      <w:pPr>
        <w:numPr>
          <w:ilvl w:val="1"/>
          <w:numId w:val="8"/>
        </w:numPr>
      </w:pPr>
      <w:r w:rsidRPr="005816FF">
        <w:rPr>
          <w:b/>
          <w:bCs/>
        </w:rPr>
        <w:t>100%</w:t>
      </w:r>
      <w:r w:rsidRPr="005816FF">
        <w:t>: Complete shutdown of the affected facility.</w:t>
      </w:r>
    </w:p>
    <w:p w14:paraId="01A99625" w14:textId="77777777" w:rsidR="005816FF" w:rsidRPr="005816FF" w:rsidRDefault="005816FF" w:rsidP="005816FF">
      <w:pPr>
        <w:numPr>
          <w:ilvl w:val="0"/>
          <w:numId w:val="8"/>
        </w:numPr>
      </w:pPr>
      <w:r w:rsidRPr="005816FF">
        <w:rPr>
          <w:b/>
          <w:bCs/>
        </w:rPr>
        <w:lastRenderedPageBreak/>
        <w:t>Impact</w:t>
      </w:r>
      <w:r w:rsidRPr="005816FF">
        <w:t>: Higher percentages lead to greater production losses, higher prices, and more significant food security concerns.</w:t>
      </w:r>
    </w:p>
    <w:p w14:paraId="61F1AD55" w14:textId="77777777" w:rsidR="005816FF" w:rsidRPr="005816FF" w:rsidRDefault="005816FF" w:rsidP="005816FF">
      <w:pPr>
        <w:rPr>
          <w:b/>
          <w:bCs/>
        </w:rPr>
      </w:pPr>
      <w:r w:rsidRPr="005816FF">
        <w:rPr>
          <w:b/>
          <w:bCs/>
        </w:rPr>
        <w:t>Recovery Parameters</w:t>
      </w:r>
    </w:p>
    <w:p w14:paraId="0F936FF2" w14:textId="77777777" w:rsidR="005816FF" w:rsidRPr="005816FF" w:rsidRDefault="005816FF" w:rsidP="005816FF">
      <w:pPr>
        <w:rPr>
          <w:b/>
          <w:bCs/>
        </w:rPr>
      </w:pPr>
      <w:r w:rsidRPr="005816FF">
        <w:rPr>
          <w:b/>
          <w:bCs/>
        </w:rPr>
        <w:t>Recovery Rate Slider (0.01-0.5)</w:t>
      </w:r>
    </w:p>
    <w:p w14:paraId="263A6298" w14:textId="77777777" w:rsidR="005816FF" w:rsidRPr="005816FF" w:rsidRDefault="005816FF" w:rsidP="005816FF">
      <w:pPr>
        <w:numPr>
          <w:ilvl w:val="0"/>
          <w:numId w:val="9"/>
        </w:numPr>
      </w:pPr>
      <w:r w:rsidRPr="005816FF">
        <w:rPr>
          <w:b/>
          <w:bCs/>
        </w:rPr>
        <w:t>Purpose</w:t>
      </w:r>
      <w:r w:rsidRPr="005816FF">
        <w:t>: Determines how quickly affected firms recover their production capacity.</w:t>
      </w:r>
    </w:p>
    <w:p w14:paraId="28E5263B" w14:textId="77777777" w:rsidR="005816FF" w:rsidRPr="005816FF" w:rsidRDefault="005816FF" w:rsidP="005816FF">
      <w:pPr>
        <w:numPr>
          <w:ilvl w:val="0"/>
          <w:numId w:val="9"/>
        </w:numPr>
      </w:pPr>
      <w:r w:rsidRPr="005816FF">
        <w:rPr>
          <w:b/>
          <w:bCs/>
        </w:rPr>
        <w:t>Default</w:t>
      </w:r>
      <w:r w:rsidRPr="005816FF">
        <w:t>: 0.1 (10% recovery per tick)</w:t>
      </w:r>
    </w:p>
    <w:p w14:paraId="79F86412" w14:textId="77777777" w:rsidR="005816FF" w:rsidRPr="005816FF" w:rsidRDefault="005816FF" w:rsidP="005816FF">
      <w:pPr>
        <w:numPr>
          <w:ilvl w:val="0"/>
          <w:numId w:val="9"/>
        </w:numPr>
      </w:pPr>
      <w:r w:rsidRPr="005816FF">
        <w:rPr>
          <w:b/>
          <w:bCs/>
        </w:rPr>
        <w:t>Example Values</w:t>
      </w:r>
      <w:r w:rsidRPr="005816FF">
        <w:t xml:space="preserve">: </w:t>
      </w:r>
    </w:p>
    <w:p w14:paraId="4924010C" w14:textId="77777777" w:rsidR="005816FF" w:rsidRPr="005816FF" w:rsidRDefault="005816FF" w:rsidP="005816FF">
      <w:pPr>
        <w:numPr>
          <w:ilvl w:val="1"/>
          <w:numId w:val="9"/>
        </w:numPr>
      </w:pPr>
      <w:r w:rsidRPr="005816FF">
        <w:rPr>
          <w:b/>
          <w:bCs/>
        </w:rPr>
        <w:t>0.05</w:t>
      </w:r>
      <w:r w:rsidRPr="005816FF">
        <w:t>: Slow recovery (20 ticks to full recovery).</w:t>
      </w:r>
    </w:p>
    <w:p w14:paraId="0549029A" w14:textId="77777777" w:rsidR="005816FF" w:rsidRPr="005816FF" w:rsidRDefault="005816FF" w:rsidP="005816FF">
      <w:pPr>
        <w:numPr>
          <w:ilvl w:val="1"/>
          <w:numId w:val="9"/>
        </w:numPr>
      </w:pPr>
      <w:r w:rsidRPr="005816FF">
        <w:rPr>
          <w:b/>
          <w:bCs/>
        </w:rPr>
        <w:t>0.2</w:t>
      </w:r>
      <w:r w:rsidRPr="005816FF">
        <w:t>: Rapid recovery (5 ticks to full recovery).</w:t>
      </w:r>
    </w:p>
    <w:p w14:paraId="5CF58E3B" w14:textId="77777777" w:rsidR="005816FF" w:rsidRPr="005816FF" w:rsidRDefault="005816FF" w:rsidP="005816FF">
      <w:pPr>
        <w:numPr>
          <w:ilvl w:val="0"/>
          <w:numId w:val="9"/>
        </w:numPr>
      </w:pPr>
      <w:r w:rsidRPr="005816FF">
        <w:rPr>
          <w:b/>
          <w:bCs/>
        </w:rPr>
        <w:t>Impact</w:t>
      </w:r>
      <w:r w:rsidRPr="005816FF">
        <w:t>: Lower recovery rates extend the impact of the disruption, leading to prolonged food security concerns.</w:t>
      </w:r>
    </w:p>
    <w:p w14:paraId="535E67CA" w14:textId="77777777" w:rsidR="005816FF" w:rsidRPr="005816FF" w:rsidRDefault="005816FF" w:rsidP="005816FF">
      <w:pPr>
        <w:rPr>
          <w:b/>
          <w:bCs/>
        </w:rPr>
      </w:pPr>
      <w:r w:rsidRPr="005816FF">
        <w:rPr>
          <w:b/>
          <w:bCs/>
        </w:rPr>
        <w:t>Cascading Effects Slider (0-1)</w:t>
      </w:r>
    </w:p>
    <w:p w14:paraId="67C0A1F9" w14:textId="77777777" w:rsidR="005816FF" w:rsidRPr="005816FF" w:rsidRDefault="005816FF" w:rsidP="005816FF">
      <w:pPr>
        <w:numPr>
          <w:ilvl w:val="0"/>
          <w:numId w:val="10"/>
        </w:numPr>
      </w:pPr>
      <w:r w:rsidRPr="005816FF">
        <w:rPr>
          <w:b/>
          <w:bCs/>
        </w:rPr>
        <w:t>Purpose</w:t>
      </w:r>
      <w:r w:rsidRPr="005816FF">
        <w:t>: Determines how much the shock spreads to other firms in the industry.</w:t>
      </w:r>
    </w:p>
    <w:p w14:paraId="6412B561" w14:textId="77777777" w:rsidR="005816FF" w:rsidRPr="005816FF" w:rsidRDefault="005816FF" w:rsidP="005816FF">
      <w:pPr>
        <w:numPr>
          <w:ilvl w:val="0"/>
          <w:numId w:val="10"/>
        </w:numPr>
      </w:pPr>
      <w:r w:rsidRPr="005816FF">
        <w:rPr>
          <w:b/>
          <w:bCs/>
        </w:rPr>
        <w:t>Default</w:t>
      </w:r>
      <w:r w:rsidRPr="005816FF">
        <w:t>: 0.2 (20% impact spread)</w:t>
      </w:r>
    </w:p>
    <w:p w14:paraId="3CC547F8" w14:textId="77777777" w:rsidR="005816FF" w:rsidRPr="005816FF" w:rsidRDefault="005816FF" w:rsidP="005816FF">
      <w:pPr>
        <w:numPr>
          <w:ilvl w:val="0"/>
          <w:numId w:val="10"/>
        </w:numPr>
      </w:pPr>
      <w:r w:rsidRPr="005816FF">
        <w:rPr>
          <w:b/>
          <w:bCs/>
        </w:rPr>
        <w:t>Example Values</w:t>
      </w:r>
      <w:r w:rsidRPr="005816FF">
        <w:t xml:space="preserve">: </w:t>
      </w:r>
    </w:p>
    <w:p w14:paraId="7766C6FD" w14:textId="77777777" w:rsidR="005816FF" w:rsidRPr="005816FF" w:rsidRDefault="005816FF" w:rsidP="005816FF">
      <w:pPr>
        <w:numPr>
          <w:ilvl w:val="1"/>
          <w:numId w:val="10"/>
        </w:numPr>
      </w:pPr>
      <w:r w:rsidRPr="005816FF">
        <w:rPr>
          <w:b/>
          <w:bCs/>
        </w:rPr>
        <w:t>0.1</w:t>
      </w:r>
      <w:r w:rsidRPr="005816FF">
        <w:t>: Limited spread to other firms.</w:t>
      </w:r>
    </w:p>
    <w:p w14:paraId="3CECC635" w14:textId="77777777" w:rsidR="005816FF" w:rsidRPr="005816FF" w:rsidRDefault="005816FF" w:rsidP="005816FF">
      <w:pPr>
        <w:numPr>
          <w:ilvl w:val="1"/>
          <w:numId w:val="10"/>
        </w:numPr>
      </w:pPr>
      <w:r w:rsidRPr="005816FF">
        <w:rPr>
          <w:b/>
          <w:bCs/>
        </w:rPr>
        <w:t>0.4</w:t>
      </w:r>
      <w:r w:rsidRPr="005816FF">
        <w:t>: Significant industry-wide impact from the initial attack.</w:t>
      </w:r>
    </w:p>
    <w:p w14:paraId="627CA11D" w14:textId="77777777" w:rsidR="005816FF" w:rsidRPr="005816FF" w:rsidRDefault="005816FF" w:rsidP="005816FF">
      <w:pPr>
        <w:numPr>
          <w:ilvl w:val="0"/>
          <w:numId w:val="10"/>
        </w:numPr>
      </w:pPr>
      <w:r w:rsidRPr="005816FF">
        <w:rPr>
          <w:b/>
          <w:bCs/>
        </w:rPr>
        <w:t>Impact</w:t>
      </w:r>
      <w:r w:rsidRPr="005816FF">
        <w:t>: Higher values create greater system-wide disruption as unaffected firms also experience production losses.</w:t>
      </w:r>
    </w:p>
    <w:p w14:paraId="623DC8C6" w14:textId="77777777" w:rsidR="005816FF" w:rsidRPr="005816FF" w:rsidRDefault="005816FF" w:rsidP="005816FF">
      <w:pPr>
        <w:rPr>
          <w:b/>
          <w:bCs/>
        </w:rPr>
      </w:pPr>
      <w:r w:rsidRPr="005816FF">
        <w:rPr>
          <w:b/>
          <w:bCs/>
        </w:rPr>
        <w:t>Market Parameters</w:t>
      </w:r>
    </w:p>
    <w:p w14:paraId="774C3BB4" w14:textId="77777777" w:rsidR="005816FF" w:rsidRPr="005816FF" w:rsidRDefault="005816FF" w:rsidP="005816FF">
      <w:pPr>
        <w:rPr>
          <w:b/>
          <w:bCs/>
        </w:rPr>
      </w:pPr>
      <w:r w:rsidRPr="005816FF">
        <w:rPr>
          <w:b/>
          <w:bCs/>
        </w:rPr>
        <w:t>Price Elasticity Slider (0.5-3)</w:t>
      </w:r>
    </w:p>
    <w:p w14:paraId="429B582F" w14:textId="77777777" w:rsidR="005816FF" w:rsidRPr="005816FF" w:rsidRDefault="005816FF" w:rsidP="005816FF">
      <w:pPr>
        <w:numPr>
          <w:ilvl w:val="0"/>
          <w:numId w:val="11"/>
        </w:numPr>
      </w:pPr>
      <w:r w:rsidRPr="005816FF">
        <w:rPr>
          <w:b/>
          <w:bCs/>
        </w:rPr>
        <w:t>Purpose</w:t>
      </w:r>
      <w:r w:rsidRPr="005816FF">
        <w:t>: Determines how sensitive meat prices are to changes in supply.</w:t>
      </w:r>
    </w:p>
    <w:p w14:paraId="5C92DD36" w14:textId="77777777" w:rsidR="005816FF" w:rsidRPr="005816FF" w:rsidRDefault="005816FF" w:rsidP="005816FF">
      <w:pPr>
        <w:numPr>
          <w:ilvl w:val="0"/>
          <w:numId w:val="11"/>
        </w:numPr>
      </w:pPr>
      <w:r w:rsidRPr="005816FF">
        <w:rPr>
          <w:b/>
          <w:bCs/>
        </w:rPr>
        <w:t>Default</w:t>
      </w:r>
      <w:r w:rsidRPr="005816FF">
        <w:t>: 1.5</w:t>
      </w:r>
    </w:p>
    <w:p w14:paraId="093D4E2B" w14:textId="77777777" w:rsidR="005816FF" w:rsidRPr="005816FF" w:rsidRDefault="005816FF" w:rsidP="005816FF">
      <w:pPr>
        <w:numPr>
          <w:ilvl w:val="0"/>
          <w:numId w:val="11"/>
        </w:numPr>
      </w:pPr>
      <w:r w:rsidRPr="005816FF">
        <w:rPr>
          <w:b/>
          <w:bCs/>
        </w:rPr>
        <w:t>Example Values</w:t>
      </w:r>
      <w:r w:rsidRPr="005816FF">
        <w:t xml:space="preserve">: </w:t>
      </w:r>
    </w:p>
    <w:p w14:paraId="0FEC6A2B" w14:textId="77777777" w:rsidR="005816FF" w:rsidRPr="005816FF" w:rsidRDefault="005816FF" w:rsidP="005816FF">
      <w:pPr>
        <w:numPr>
          <w:ilvl w:val="1"/>
          <w:numId w:val="11"/>
        </w:numPr>
      </w:pPr>
      <w:r w:rsidRPr="005816FF">
        <w:rPr>
          <w:b/>
          <w:bCs/>
        </w:rPr>
        <w:t>0.8</w:t>
      </w:r>
      <w:r w:rsidRPr="005816FF">
        <w:t>: Low elasticity - prices respond weakly to supply changes.</w:t>
      </w:r>
    </w:p>
    <w:p w14:paraId="7BB19CFA" w14:textId="77777777" w:rsidR="005816FF" w:rsidRPr="005816FF" w:rsidRDefault="005816FF" w:rsidP="005816FF">
      <w:pPr>
        <w:numPr>
          <w:ilvl w:val="1"/>
          <w:numId w:val="11"/>
        </w:numPr>
      </w:pPr>
      <w:r w:rsidRPr="005816FF">
        <w:rPr>
          <w:b/>
          <w:bCs/>
        </w:rPr>
        <w:t>2.5</w:t>
      </w:r>
      <w:r w:rsidRPr="005816FF">
        <w:t>: High elasticity - prices respond strongly to supply changes.</w:t>
      </w:r>
    </w:p>
    <w:p w14:paraId="67E02D36" w14:textId="77777777" w:rsidR="005816FF" w:rsidRPr="005816FF" w:rsidRDefault="005816FF" w:rsidP="005816FF">
      <w:pPr>
        <w:numPr>
          <w:ilvl w:val="0"/>
          <w:numId w:val="11"/>
        </w:numPr>
      </w:pPr>
      <w:r w:rsidRPr="005816FF">
        <w:rPr>
          <w:b/>
          <w:bCs/>
        </w:rPr>
        <w:lastRenderedPageBreak/>
        <w:t>Impact</w:t>
      </w:r>
      <w:r w:rsidRPr="005816FF">
        <w:t>: Higher values lead to more dramatic price spikes during production shortfalls.</w:t>
      </w:r>
    </w:p>
    <w:p w14:paraId="1E335D57" w14:textId="77777777" w:rsidR="005816FF" w:rsidRPr="005816FF" w:rsidRDefault="005816FF" w:rsidP="005816FF">
      <w:pPr>
        <w:rPr>
          <w:b/>
          <w:bCs/>
        </w:rPr>
      </w:pPr>
      <w:r w:rsidRPr="005816FF">
        <w:rPr>
          <w:b/>
          <w:bCs/>
        </w:rPr>
        <w:t>National Security Threshold Slider (0-100)</w:t>
      </w:r>
    </w:p>
    <w:p w14:paraId="33909B96" w14:textId="77777777" w:rsidR="005816FF" w:rsidRPr="005816FF" w:rsidRDefault="005816FF" w:rsidP="005816FF">
      <w:pPr>
        <w:numPr>
          <w:ilvl w:val="0"/>
          <w:numId w:val="12"/>
        </w:numPr>
      </w:pPr>
      <w:r w:rsidRPr="005816FF">
        <w:rPr>
          <w:b/>
          <w:bCs/>
        </w:rPr>
        <w:t>Purpose</w:t>
      </w:r>
      <w:r w:rsidRPr="005816FF">
        <w:t>: Sets the food security index level below which national security concerns arise.</w:t>
      </w:r>
    </w:p>
    <w:p w14:paraId="4DADA02F" w14:textId="77777777" w:rsidR="005816FF" w:rsidRPr="005816FF" w:rsidRDefault="005816FF" w:rsidP="005816FF">
      <w:pPr>
        <w:numPr>
          <w:ilvl w:val="0"/>
          <w:numId w:val="12"/>
        </w:numPr>
      </w:pPr>
      <w:r w:rsidRPr="005816FF">
        <w:rPr>
          <w:b/>
          <w:bCs/>
        </w:rPr>
        <w:t>Default</w:t>
      </w:r>
      <w:r w:rsidRPr="005816FF">
        <w:t>: 25</w:t>
      </w:r>
    </w:p>
    <w:p w14:paraId="18E70AFC" w14:textId="77777777" w:rsidR="005816FF" w:rsidRPr="005816FF" w:rsidRDefault="005816FF" w:rsidP="005816FF">
      <w:pPr>
        <w:numPr>
          <w:ilvl w:val="0"/>
          <w:numId w:val="12"/>
        </w:numPr>
      </w:pPr>
      <w:r w:rsidRPr="005816FF">
        <w:rPr>
          <w:b/>
          <w:bCs/>
        </w:rPr>
        <w:t>Example Values</w:t>
      </w:r>
      <w:r w:rsidRPr="005816FF">
        <w:t xml:space="preserve">: </w:t>
      </w:r>
    </w:p>
    <w:p w14:paraId="729D2C34" w14:textId="77777777" w:rsidR="005816FF" w:rsidRPr="005816FF" w:rsidRDefault="005816FF" w:rsidP="005816FF">
      <w:pPr>
        <w:numPr>
          <w:ilvl w:val="1"/>
          <w:numId w:val="12"/>
        </w:numPr>
      </w:pPr>
      <w:r w:rsidRPr="005816FF">
        <w:rPr>
          <w:b/>
          <w:bCs/>
        </w:rPr>
        <w:t>40</w:t>
      </w:r>
      <w:r w:rsidRPr="005816FF">
        <w:t>: Conservative threshold where action is taken early.</w:t>
      </w:r>
    </w:p>
    <w:p w14:paraId="12B5ABBF" w14:textId="77777777" w:rsidR="005816FF" w:rsidRPr="005816FF" w:rsidRDefault="005816FF" w:rsidP="005816FF">
      <w:pPr>
        <w:numPr>
          <w:ilvl w:val="1"/>
          <w:numId w:val="12"/>
        </w:numPr>
      </w:pPr>
      <w:r w:rsidRPr="005816FF">
        <w:rPr>
          <w:b/>
          <w:bCs/>
        </w:rPr>
        <w:t>15</w:t>
      </w:r>
      <w:r w:rsidRPr="005816FF">
        <w:t>: Higher risk tolerance before declaring a national security issue.</w:t>
      </w:r>
    </w:p>
    <w:p w14:paraId="5E8A84BE" w14:textId="77777777" w:rsidR="005816FF" w:rsidRPr="005816FF" w:rsidRDefault="005816FF" w:rsidP="005816FF">
      <w:pPr>
        <w:numPr>
          <w:ilvl w:val="0"/>
          <w:numId w:val="12"/>
        </w:numPr>
      </w:pPr>
      <w:r w:rsidRPr="005816FF">
        <w:rPr>
          <w:b/>
          <w:bCs/>
        </w:rPr>
        <w:t>Impact</w:t>
      </w:r>
      <w:r w:rsidRPr="005816FF">
        <w:t>: Lower thresholds mean the model reports national security risks only in more severe situations.</w:t>
      </w:r>
    </w:p>
    <w:p w14:paraId="03135C5F" w14:textId="77777777" w:rsidR="005816FF" w:rsidRPr="005816FF" w:rsidRDefault="005816FF" w:rsidP="005816FF">
      <w:pPr>
        <w:rPr>
          <w:b/>
          <w:bCs/>
        </w:rPr>
      </w:pPr>
      <w:r w:rsidRPr="005816FF">
        <w:rPr>
          <w:b/>
          <w:bCs/>
        </w:rPr>
        <w:t>Output Monitors</w:t>
      </w:r>
    </w:p>
    <w:p w14:paraId="18CB58D8" w14:textId="77777777" w:rsidR="005816FF" w:rsidRPr="005816FF" w:rsidRDefault="005816FF" w:rsidP="005816FF">
      <w:pPr>
        <w:rPr>
          <w:b/>
          <w:bCs/>
        </w:rPr>
      </w:pPr>
      <w:r w:rsidRPr="005816FF">
        <w:rPr>
          <w:b/>
          <w:bCs/>
        </w:rPr>
        <w:t>HHI (Market Concentration)</w:t>
      </w:r>
    </w:p>
    <w:p w14:paraId="4C1C1004" w14:textId="77777777" w:rsidR="005816FF" w:rsidRPr="005816FF" w:rsidRDefault="005816FF" w:rsidP="005816FF">
      <w:pPr>
        <w:numPr>
          <w:ilvl w:val="0"/>
          <w:numId w:val="13"/>
        </w:numPr>
      </w:pPr>
      <w:r w:rsidRPr="005816FF">
        <w:rPr>
          <w:b/>
          <w:bCs/>
        </w:rPr>
        <w:t>Purpose</w:t>
      </w:r>
      <w:r w:rsidRPr="005816FF">
        <w:t>: Displays the Herfindahl-Hirschman Index, a measure of market concentration.</w:t>
      </w:r>
    </w:p>
    <w:p w14:paraId="6B9F471C" w14:textId="77777777" w:rsidR="005816FF" w:rsidRPr="005816FF" w:rsidRDefault="005816FF" w:rsidP="005816FF">
      <w:pPr>
        <w:numPr>
          <w:ilvl w:val="0"/>
          <w:numId w:val="13"/>
        </w:numPr>
      </w:pPr>
      <w:r w:rsidRPr="005816FF">
        <w:rPr>
          <w:b/>
          <w:bCs/>
        </w:rPr>
        <w:t>Interpretation</w:t>
      </w:r>
      <w:r w:rsidRPr="005816FF">
        <w:t>: Values above 2,500 indicate a highly concentrated market, which may be more vulnerable to disruptions.</w:t>
      </w:r>
    </w:p>
    <w:p w14:paraId="5877FF52" w14:textId="77777777" w:rsidR="005816FF" w:rsidRPr="005816FF" w:rsidRDefault="005816FF" w:rsidP="005816FF">
      <w:pPr>
        <w:rPr>
          <w:b/>
          <w:bCs/>
        </w:rPr>
      </w:pPr>
      <w:r w:rsidRPr="005816FF">
        <w:rPr>
          <w:b/>
          <w:bCs/>
        </w:rPr>
        <w:t>CR4 (%)</w:t>
      </w:r>
    </w:p>
    <w:p w14:paraId="0E8ADA43" w14:textId="77777777" w:rsidR="005816FF" w:rsidRPr="005816FF" w:rsidRDefault="005816FF" w:rsidP="005816FF">
      <w:pPr>
        <w:numPr>
          <w:ilvl w:val="0"/>
          <w:numId w:val="14"/>
        </w:numPr>
      </w:pPr>
      <w:r w:rsidRPr="005816FF">
        <w:rPr>
          <w:b/>
          <w:bCs/>
        </w:rPr>
        <w:t>Purpose</w:t>
      </w:r>
      <w:r w:rsidRPr="005816FF">
        <w:t>: Shows the Combined Ratio of the top 4 firms - the percentage of the market controlled by the four largest firms.</w:t>
      </w:r>
    </w:p>
    <w:p w14:paraId="7FE3FE46" w14:textId="77777777" w:rsidR="005816FF" w:rsidRPr="005816FF" w:rsidRDefault="005816FF" w:rsidP="005816FF">
      <w:pPr>
        <w:numPr>
          <w:ilvl w:val="0"/>
          <w:numId w:val="14"/>
        </w:numPr>
      </w:pPr>
      <w:r w:rsidRPr="005816FF">
        <w:rPr>
          <w:b/>
          <w:bCs/>
        </w:rPr>
        <w:t>Interpretation</w:t>
      </w:r>
      <w:r w:rsidRPr="005816FF">
        <w:t>: Higher values indicate greater industry concentration.</w:t>
      </w:r>
    </w:p>
    <w:p w14:paraId="689EBDA3" w14:textId="77777777" w:rsidR="005816FF" w:rsidRPr="005816FF" w:rsidRDefault="005816FF" w:rsidP="005816FF">
      <w:pPr>
        <w:rPr>
          <w:b/>
          <w:bCs/>
        </w:rPr>
      </w:pPr>
      <w:r w:rsidRPr="005816FF">
        <w:rPr>
          <w:b/>
          <w:bCs/>
        </w:rPr>
        <w:t>Production Loss (%)</w:t>
      </w:r>
    </w:p>
    <w:p w14:paraId="2CDDF9F2" w14:textId="77777777" w:rsidR="005816FF" w:rsidRPr="005816FF" w:rsidRDefault="005816FF" w:rsidP="005816FF">
      <w:pPr>
        <w:numPr>
          <w:ilvl w:val="0"/>
          <w:numId w:val="15"/>
        </w:numPr>
      </w:pPr>
      <w:r w:rsidRPr="005816FF">
        <w:rPr>
          <w:b/>
          <w:bCs/>
        </w:rPr>
        <w:t>Purpose</w:t>
      </w:r>
      <w:r w:rsidRPr="005816FF">
        <w:t>: Shows the percentage reduction in total meat production compared to pre-shock levels.</w:t>
      </w:r>
    </w:p>
    <w:p w14:paraId="5ACA89AF" w14:textId="77777777" w:rsidR="005816FF" w:rsidRPr="005816FF" w:rsidRDefault="005816FF" w:rsidP="005816FF">
      <w:pPr>
        <w:numPr>
          <w:ilvl w:val="0"/>
          <w:numId w:val="15"/>
        </w:numPr>
      </w:pPr>
      <w:r w:rsidRPr="005816FF">
        <w:rPr>
          <w:b/>
          <w:bCs/>
        </w:rPr>
        <w:t>Interpretation</w:t>
      </w:r>
      <w:r w:rsidRPr="005816FF">
        <w:t>: Higher values indicate more severe disruption to the meat supply.</w:t>
      </w:r>
    </w:p>
    <w:p w14:paraId="2710F76F" w14:textId="77777777" w:rsidR="005816FF" w:rsidRPr="005816FF" w:rsidRDefault="005816FF" w:rsidP="005816FF">
      <w:pPr>
        <w:rPr>
          <w:b/>
          <w:bCs/>
        </w:rPr>
      </w:pPr>
      <w:r w:rsidRPr="005816FF">
        <w:rPr>
          <w:b/>
          <w:bCs/>
        </w:rPr>
        <w:t>Price Increase (%)</w:t>
      </w:r>
    </w:p>
    <w:p w14:paraId="50F136A3" w14:textId="77777777" w:rsidR="005816FF" w:rsidRPr="005816FF" w:rsidRDefault="005816FF" w:rsidP="005816FF">
      <w:pPr>
        <w:numPr>
          <w:ilvl w:val="0"/>
          <w:numId w:val="16"/>
        </w:numPr>
      </w:pPr>
      <w:r w:rsidRPr="005816FF">
        <w:rPr>
          <w:b/>
          <w:bCs/>
        </w:rPr>
        <w:t>Purpose</w:t>
      </w:r>
      <w:r w:rsidRPr="005816FF">
        <w:t>: Shows the percentage increase in meat prices compared to pre-shock levels.</w:t>
      </w:r>
    </w:p>
    <w:p w14:paraId="50C9F8D6" w14:textId="77777777" w:rsidR="005816FF" w:rsidRPr="005816FF" w:rsidRDefault="005816FF" w:rsidP="005816FF">
      <w:pPr>
        <w:numPr>
          <w:ilvl w:val="0"/>
          <w:numId w:val="16"/>
        </w:numPr>
      </w:pPr>
      <w:r w:rsidRPr="005816FF">
        <w:rPr>
          <w:b/>
          <w:bCs/>
        </w:rPr>
        <w:lastRenderedPageBreak/>
        <w:t>Interpretation</w:t>
      </w:r>
      <w:r w:rsidRPr="005816FF">
        <w:t>: Higher values indicate greater economic impact on consumers.</w:t>
      </w:r>
    </w:p>
    <w:p w14:paraId="6F5BF99D" w14:textId="77777777" w:rsidR="005816FF" w:rsidRPr="005816FF" w:rsidRDefault="005816FF" w:rsidP="005816FF">
      <w:pPr>
        <w:rPr>
          <w:b/>
          <w:bCs/>
        </w:rPr>
      </w:pPr>
      <w:r w:rsidRPr="005816FF">
        <w:rPr>
          <w:b/>
          <w:bCs/>
        </w:rPr>
        <w:t>Food Security Index</w:t>
      </w:r>
    </w:p>
    <w:p w14:paraId="3683EE01" w14:textId="77777777" w:rsidR="005816FF" w:rsidRPr="005816FF" w:rsidRDefault="005816FF" w:rsidP="005816FF">
      <w:pPr>
        <w:numPr>
          <w:ilvl w:val="0"/>
          <w:numId w:val="17"/>
        </w:numPr>
      </w:pPr>
      <w:r w:rsidRPr="005816FF">
        <w:rPr>
          <w:b/>
          <w:bCs/>
        </w:rPr>
        <w:t>Purpose</w:t>
      </w:r>
      <w:r w:rsidRPr="005816FF">
        <w:t>: Measures overall food security on a scale of 0-100.</w:t>
      </w:r>
    </w:p>
    <w:p w14:paraId="7E4E5A7A" w14:textId="77777777" w:rsidR="005816FF" w:rsidRPr="005816FF" w:rsidRDefault="005816FF" w:rsidP="005816FF">
      <w:pPr>
        <w:numPr>
          <w:ilvl w:val="0"/>
          <w:numId w:val="17"/>
        </w:numPr>
      </w:pPr>
      <w:r w:rsidRPr="005816FF">
        <w:rPr>
          <w:b/>
          <w:bCs/>
        </w:rPr>
        <w:t>Interpretation</w:t>
      </w:r>
      <w:r w:rsidRPr="005816FF">
        <w:t>: Lower values indicate greater food insecurity.</w:t>
      </w:r>
    </w:p>
    <w:p w14:paraId="1EF1EA6A" w14:textId="77777777" w:rsidR="005816FF" w:rsidRPr="005816FF" w:rsidRDefault="005816FF" w:rsidP="005816FF">
      <w:pPr>
        <w:rPr>
          <w:b/>
          <w:bCs/>
        </w:rPr>
      </w:pPr>
      <w:r w:rsidRPr="005816FF">
        <w:rPr>
          <w:b/>
          <w:bCs/>
        </w:rPr>
        <w:t>National Security Risk</w:t>
      </w:r>
    </w:p>
    <w:p w14:paraId="41BAB428" w14:textId="77777777" w:rsidR="005816FF" w:rsidRPr="005816FF" w:rsidRDefault="005816FF" w:rsidP="005816FF">
      <w:pPr>
        <w:numPr>
          <w:ilvl w:val="0"/>
          <w:numId w:val="18"/>
        </w:numPr>
      </w:pPr>
      <w:r w:rsidRPr="005816FF">
        <w:rPr>
          <w:b/>
          <w:bCs/>
        </w:rPr>
        <w:t>Purpose</w:t>
      </w:r>
      <w:r w:rsidRPr="005816FF">
        <w:t>: Quantifies the risk to national security on a scale of 0-100.</w:t>
      </w:r>
    </w:p>
    <w:p w14:paraId="329E3F98" w14:textId="77777777" w:rsidR="005816FF" w:rsidRPr="005816FF" w:rsidRDefault="005816FF" w:rsidP="005816FF">
      <w:pPr>
        <w:numPr>
          <w:ilvl w:val="0"/>
          <w:numId w:val="18"/>
        </w:numPr>
      </w:pPr>
      <w:r w:rsidRPr="005816FF">
        <w:rPr>
          <w:b/>
          <w:bCs/>
        </w:rPr>
        <w:t>Interpretation</w:t>
      </w:r>
      <w:r w:rsidRPr="005816FF">
        <w:t>: Higher values indicate greater risk to national security.</w:t>
      </w:r>
    </w:p>
    <w:p w14:paraId="7BFA749F" w14:textId="77777777" w:rsidR="005816FF" w:rsidRPr="005816FF" w:rsidRDefault="005816FF" w:rsidP="005816FF">
      <w:pPr>
        <w:rPr>
          <w:b/>
          <w:bCs/>
        </w:rPr>
      </w:pPr>
      <w:r w:rsidRPr="005816FF">
        <w:rPr>
          <w:b/>
          <w:bCs/>
        </w:rPr>
        <w:t>Days of Supply</w:t>
      </w:r>
    </w:p>
    <w:p w14:paraId="5258DFC3" w14:textId="77777777" w:rsidR="005816FF" w:rsidRPr="005816FF" w:rsidRDefault="005816FF" w:rsidP="005816FF">
      <w:pPr>
        <w:numPr>
          <w:ilvl w:val="0"/>
          <w:numId w:val="19"/>
        </w:numPr>
      </w:pPr>
      <w:r w:rsidRPr="005816FF">
        <w:rPr>
          <w:b/>
          <w:bCs/>
        </w:rPr>
        <w:t>Purpose</w:t>
      </w:r>
      <w:r w:rsidRPr="005816FF">
        <w:t>: Estimates the number of days of meat supply available in the system.</w:t>
      </w:r>
    </w:p>
    <w:p w14:paraId="368D1A2D" w14:textId="77777777" w:rsidR="005816FF" w:rsidRPr="005816FF" w:rsidRDefault="005816FF" w:rsidP="005816FF">
      <w:pPr>
        <w:numPr>
          <w:ilvl w:val="0"/>
          <w:numId w:val="19"/>
        </w:numPr>
      </w:pPr>
      <w:r w:rsidRPr="005816FF">
        <w:rPr>
          <w:b/>
          <w:bCs/>
        </w:rPr>
        <w:t>Interpretation</w:t>
      </w:r>
      <w:r w:rsidRPr="005816FF">
        <w:t>: Lower values indicate potential shortages.</w:t>
      </w:r>
    </w:p>
    <w:p w14:paraId="5E31FE1F" w14:textId="77777777" w:rsidR="005816FF" w:rsidRPr="005816FF" w:rsidRDefault="005816FF" w:rsidP="005816FF">
      <w:pPr>
        <w:rPr>
          <w:b/>
          <w:bCs/>
        </w:rPr>
      </w:pPr>
      <w:r w:rsidRPr="005816FF">
        <w:rPr>
          <w:b/>
          <w:bCs/>
        </w:rPr>
        <w:t>Most Affected Region</w:t>
      </w:r>
    </w:p>
    <w:p w14:paraId="3EEED9EE" w14:textId="77777777" w:rsidR="005816FF" w:rsidRPr="005816FF" w:rsidRDefault="005816FF" w:rsidP="005816FF">
      <w:pPr>
        <w:numPr>
          <w:ilvl w:val="0"/>
          <w:numId w:val="20"/>
        </w:numPr>
      </w:pPr>
      <w:r w:rsidRPr="005816FF">
        <w:rPr>
          <w:b/>
          <w:bCs/>
        </w:rPr>
        <w:t>Purpose</w:t>
      </w:r>
      <w:r w:rsidRPr="005816FF">
        <w:t>: Identifies which geographic region is experiencing the greatest impact.</w:t>
      </w:r>
    </w:p>
    <w:p w14:paraId="6C2B642A" w14:textId="77777777" w:rsidR="005816FF" w:rsidRPr="005816FF" w:rsidRDefault="005816FF" w:rsidP="005816FF">
      <w:pPr>
        <w:numPr>
          <w:ilvl w:val="0"/>
          <w:numId w:val="20"/>
        </w:numPr>
      </w:pPr>
      <w:r w:rsidRPr="005816FF">
        <w:rPr>
          <w:b/>
          <w:bCs/>
        </w:rPr>
        <w:t>Interpretation</w:t>
      </w:r>
      <w:r w:rsidRPr="005816FF">
        <w:t>: Helps target response efforts to the most affected areas.</w:t>
      </w:r>
    </w:p>
    <w:p w14:paraId="57AE7DE4" w14:textId="77777777" w:rsidR="005816FF" w:rsidRPr="005816FF" w:rsidRDefault="005816FF" w:rsidP="005816FF">
      <w:pPr>
        <w:rPr>
          <w:b/>
          <w:bCs/>
        </w:rPr>
      </w:pPr>
      <w:r w:rsidRPr="005816FF">
        <w:rPr>
          <w:b/>
          <w:bCs/>
        </w:rPr>
        <w:t>Supply Chain Health</w:t>
      </w:r>
    </w:p>
    <w:p w14:paraId="5C207D8D" w14:textId="77777777" w:rsidR="005816FF" w:rsidRPr="005816FF" w:rsidRDefault="005816FF" w:rsidP="005816FF">
      <w:pPr>
        <w:numPr>
          <w:ilvl w:val="0"/>
          <w:numId w:val="21"/>
        </w:numPr>
      </w:pPr>
      <w:r w:rsidRPr="005816FF">
        <w:rPr>
          <w:b/>
          <w:bCs/>
        </w:rPr>
        <w:t>Purpose</w:t>
      </w:r>
      <w:r w:rsidRPr="005816FF">
        <w:t>: Measures overall supply chain function on a scale of 0-100.</w:t>
      </w:r>
    </w:p>
    <w:p w14:paraId="657D6F60" w14:textId="77777777" w:rsidR="005816FF" w:rsidRPr="005816FF" w:rsidRDefault="005816FF" w:rsidP="005816FF">
      <w:pPr>
        <w:numPr>
          <w:ilvl w:val="0"/>
          <w:numId w:val="21"/>
        </w:numPr>
      </w:pPr>
      <w:r w:rsidRPr="005816FF">
        <w:rPr>
          <w:b/>
          <w:bCs/>
        </w:rPr>
        <w:t>Interpretation</w:t>
      </w:r>
      <w:r w:rsidRPr="005816FF">
        <w:t>: Lower values indicate greater supply chain disruption.</w:t>
      </w:r>
    </w:p>
    <w:p w14:paraId="182697F5" w14:textId="77777777" w:rsidR="005816FF" w:rsidRPr="005816FF" w:rsidRDefault="005816FF" w:rsidP="005816FF">
      <w:pPr>
        <w:rPr>
          <w:b/>
          <w:bCs/>
        </w:rPr>
      </w:pPr>
      <w:r w:rsidRPr="005816FF">
        <w:rPr>
          <w:b/>
          <w:bCs/>
        </w:rPr>
        <w:t>Est. Recovery Time</w:t>
      </w:r>
    </w:p>
    <w:p w14:paraId="1BA062EE" w14:textId="77777777" w:rsidR="005816FF" w:rsidRPr="005816FF" w:rsidRDefault="005816FF" w:rsidP="005816FF">
      <w:pPr>
        <w:numPr>
          <w:ilvl w:val="0"/>
          <w:numId w:val="22"/>
        </w:numPr>
      </w:pPr>
      <w:r w:rsidRPr="005816FF">
        <w:rPr>
          <w:b/>
          <w:bCs/>
        </w:rPr>
        <w:t>Purpose</w:t>
      </w:r>
      <w:r w:rsidRPr="005816FF">
        <w:t>: Estimates the number of ticks until full recovery.</w:t>
      </w:r>
    </w:p>
    <w:p w14:paraId="72FFFE87" w14:textId="77777777" w:rsidR="005816FF" w:rsidRPr="005816FF" w:rsidRDefault="005816FF" w:rsidP="005816FF">
      <w:pPr>
        <w:numPr>
          <w:ilvl w:val="0"/>
          <w:numId w:val="22"/>
        </w:numPr>
      </w:pPr>
      <w:r w:rsidRPr="005816FF">
        <w:rPr>
          <w:b/>
          <w:bCs/>
        </w:rPr>
        <w:t>Interpretation</w:t>
      </w:r>
      <w:r w:rsidRPr="005816FF">
        <w:t>: Higher values indicate longer projected recovery periods.</w:t>
      </w:r>
    </w:p>
    <w:p w14:paraId="61D4787A" w14:textId="77777777" w:rsidR="005816FF" w:rsidRPr="005816FF" w:rsidRDefault="005816FF" w:rsidP="005816FF">
      <w:pPr>
        <w:rPr>
          <w:b/>
          <w:bCs/>
        </w:rPr>
      </w:pPr>
      <w:r w:rsidRPr="005816FF">
        <w:rPr>
          <w:b/>
          <w:bCs/>
        </w:rPr>
        <w:t>Example Scenarios</w:t>
      </w:r>
    </w:p>
    <w:p w14:paraId="2F1ECED7" w14:textId="77777777" w:rsidR="005816FF" w:rsidRPr="005816FF" w:rsidRDefault="005816FF" w:rsidP="005816FF">
      <w:pPr>
        <w:rPr>
          <w:b/>
          <w:bCs/>
        </w:rPr>
      </w:pPr>
      <w:r w:rsidRPr="005816FF">
        <w:rPr>
          <w:b/>
          <w:bCs/>
        </w:rPr>
        <w:t>Mild Localized Disruption</w:t>
      </w:r>
    </w:p>
    <w:p w14:paraId="4BF1E4DF" w14:textId="77777777" w:rsidR="005816FF" w:rsidRPr="005816FF" w:rsidRDefault="005816FF" w:rsidP="005816FF">
      <w:pPr>
        <w:numPr>
          <w:ilvl w:val="0"/>
          <w:numId w:val="23"/>
        </w:numPr>
      </w:pPr>
      <w:r w:rsidRPr="005816FF">
        <w:rPr>
          <w:b/>
          <w:bCs/>
        </w:rPr>
        <w:t>Setup</w:t>
      </w:r>
      <w:r w:rsidRPr="005816FF">
        <w:t>: Shock Percentage: 20%, Shock Duration: 10, Recovery Rate: 0.2, Cascading Effects: 0.1</w:t>
      </w:r>
    </w:p>
    <w:p w14:paraId="19E625E4" w14:textId="77777777" w:rsidR="005816FF" w:rsidRPr="005816FF" w:rsidRDefault="005816FF" w:rsidP="005816FF">
      <w:pPr>
        <w:numPr>
          <w:ilvl w:val="0"/>
          <w:numId w:val="23"/>
        </w:numPr>
      </w:pPr>
      <w:r w:rsidRPr="005816FF">
        <w:rPr>
          <w:b/>
          <w:bCs/>
        </w:rPr>
        <w:t>Expected Outcome</w:t>
      </w:r>
      <w:r w:rsidRPr="005816FF">
        <w:t>: Brief disruption with minimal national security impact.</w:t>
      </w:r>
    </w:p>
    <w:p w14:paraId="2D485E5E" w14:textId="77777777" w:rsidR="005816FF" w:rsidRPr="005816FF" w:rsidRDefault="005816FF" w:rsidP="005816FF">
      <w:pPr>
        <w:rPr>
          <w:b/>
          <w:bCs/>
        </w:rPr>
      </w:pPr>
      <w:r w:rsidRPr="005816FF">
        <w:rPr>
          <w:b/>
          <w:bCs/>
        </w:rPr>
        <w:t>Severe Systemic Crisis</w:t>
      </w:r>
    </w:p>
    <w:p w14:paraId="4C58FB03" w14:textId="77777777" w:rsidR="005816FF" w:rsidRPr="005816FF" w:rsidRDefault="005816FF" w:rsidP="005816FF">
      <w:pPr>
        <w:numPr>
          <w:ilvl w:val="0"/>
          <w:numId w:val="24"/>
        </w:numPr>
      </w:pPr>
      <w:r w:rsidRPr="005816FF">
        <w:rPr>
          <w:b/>
          <w:bCs/>
        </w:rPr>
        <w:t>Setup</w:t>
      </w:r>
      <w:r w:rsidRPr="005816FF">
        <w:t>: Shock Percentage: 80%, Shock Duration: 30, Recovery Rate: 0.05, Cascading Effects: 0.4</w:t>
      </w:r>
    </w:p>
    <w:p w14:paraId="0CA28B25" w14:textId="77777777" w:rsidR="005816FF" w:rsidRPr="005816FF" w:rsidRDefault="005816FF" w:rsidP="005816FF">
      <w:pPr>
        <w:numPr>
          <w:ilvl w:val="0"/>
          <w:numId w:val="24"/>
        </w:numPr>
      </w:pPr>
      <w:r w:rsidRPr="005816FF">
        <w:rPr>
          <w:b/>
          <w:bCs/>
        </w:rPr>
        <w:lastRenderedPageBreak/>
        <w:t>Expected Outcome</w:t>
      </w:r>
      <w:r w:rsidRPr="005816FF">
        <w:t>: Prolonged food security crisis with significant national security implications.</w:t>
      </w:r>
    </w:p>
    <w:p w14:paraId="52C0B0E1" w14:textId="77777777" w:rsidR="005816FF" w:rsidRPr="005816FF" w:rsidRDefault="005816FF" w:rsidP="005816FF">
      <w:pPr>
        <w:rPr>
          <w:b/>
          <w:bCs/>
        </w:rPr>
      </w:pPr>
      <w:r w:rsidRPr="005816FF">
        <w:rPr>
          <w:b/>
          <w:bCs/>
        </w:rPr>
        <w:t>Targeted Attack on Market Leader</w:t>
      </w:r>
    </w:p>
    <w:p w14:paraId="454E888C" w14:textId="77777777" w:rsidR="005816FF" w:rsidRPr="005816FF" w:rsidRDefault="005816FF" w:rsidP="005816FF">
      <w:pPr>
        <w:numPr>
          <w:ilvl w:val="0"/>
          <w:numId w:val="25"/>
        </w:numPr>
      </w:pPr>
      <w:r w:rsidRPr="005816FF">
        <w:rPr>
          <w:b/>
          <w:bCs/>
        </w:rPr>
        <w:t>Setup</w:t>
      </w:r>
      <w:r w:rsidRPr="005816FF">
        <w:t>: Target Firm: JBS (24%), Shock Percentage: 60%, Shock Duration: 20</w:t>
      </w:r>
    </w:p>
    <w:p w14:paraId="70D93068" w14:textId="77777777" w:rsidR="005816FF" w:rsidRPr="005816FF" w:rsidRDefault="005816FF" w:rsidP="005816FF">
      <w:pPr>
        <w:numPr>
          <w:ilvl w:val="0"/>
          <w:numId w:val="25"/>
        </w:numPr>
      </w:pPr>
      <w:r w:rsidRPr="005816FF">
        <w:rPr>
          <w:b/>
          <w:bCs/>
        </w:rPr>
        <w:t>Expected Outcome</w:t>
      </w:r>
      <w:r w:rsidRPr="005816FF">
        <w:t>: Significant but manageable disruption to the meat supply.</w:t>
      </w:r>
    </w:p>
    <w:p w14:paraId="572305E8" w14:textId="77777777" w:rsidR="005816FF" w:rsidRPr="005816FF" w:rsidRDefault="005816FF" w:rsidP="005816FF">
      <w:pPr>
        <w:rPr>
          <w:b/>
          <w:bCs/>
        </w:rPr>
      </w:pPr>
      <w:r w:rsidRPr="005816FF">
        <w:rPr>
          <w:b/>
          <w:bCs/>
        </w:rPr>
        <w:t>Multi-Regional Impact</w:t>
      </w:r>
    </w:p>
    <w:p w14:paraId="75A6867F" w14:textId="77777777" w:rsidR="005816FF" w:rsidRPr="005816FF" w:rsidRDefault="005816FF" w:rsidP="005816FF">
      <w:pPr>
        <w:numPr>
          <w:ilvl w:val="0"/>
          <w:numId w:val="26"/>
        </w:numPr>
      </w:pPr>
      <w:r w:rsidRPr="005816FF">
        <w:rPr>
          <w:b/>
          <w:bCs/>
        </w:rPr>
        <w:t>Setup</w:t>
      </w:r>
      <w:r w:rsidRPr="005816FF">
        <w:t>: Target Firm: Tyson Foods (22%), Cascading Effects: 0.5</w:t>
      </w:r>
    </w:p>
    <w:p w14:paraId="1082A196" w14:textId="77777777" w:rsidR="005816FF" w:rsidRPr="005816FF" w:rsidRDefault="005816FF" w:rsidP="005816FF">
      <w:pPr>
        <w:numPr>
          <w:ilvl w:val="0"/>
          <w:numId w:val="26"/>
        </w:numPr>
      </w:pPr>
      <w:r w:rsidRPr="005816FF">
        <w:rPr>
          <w:b/>
          <w:bCs/>
        </w:rPr>
        <w:t>Expected Outcome</w:t>
      </w:r>
      <w:r w:rsidRPr="005816FF">
        <w:t>: Widespread regional impacts due to the geographic distribution of Tyson's facilities.</w:t>
      </w:r>
    </w:p>
    <w:p w14:paraId="5D985260" w14:textId="77777777" w:rsidR="00B27675" w:rsidRDefault="00B27675"/>
    <w:sectPr w:rsidR="00B27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35188"/>
    <w:multiLevelType w:val="multilevel"/>
    <w:tmpl w:val="4B76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40AAB"/>
    <w:multiLevelType w:val="multilevel"/>
    <w:tmpl w:val="ED68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7667F"/>
    <w:multiLevelType w:val="multilevel"/>
    <w:tmpl w:val="A766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C64C6"/>
    <w:multiLevelType w:val="multilevel"/>
    <w:tmpl w:val="9A58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F25A1"/>
    <w:multiLevelType w:val="multilevel"/>
    <w:tmpl w:val="B49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56BD1"/>
    <w:multiLevelType w:val="multilevel"/>
    <w:tmpl w:val="EB50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56DBE"/>
    <w:multiLevelType w:val="multilevel"/>
    <w:tmpl w:val="9F82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24BA5"/>
    <w:multiLevelType w:val="multilevel"/>
    <w:tmpl w:val="89E0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8931B8"/>
    <w:multiLevelType w:val="multilevel"/>
    <w:tmpl w:val="27B8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FF5C63"/>
    <w:multiLevelType w:val="multilevel"/>
    <w:tmpl w:val="25D0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1C179A"/>
    <w:multiLevelType w:val="multilevel"/>
    <w:tmpl w:val="2CC0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D604F2"/>
    <w:multiLevelType w:val="multilevel"/>
    <w:tmpl w:val="ED30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13588E"/>
    <w:multiLevelType w:val="multilevel"/>
    <w:tmpl w:val="FF32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4659FC"/>
    <w:multiLevelType w:val="multilevel"/>
    <w:tmpl w:val="C936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A663E1"/>
    <w:multiLevelType w:val="multilevel"/>
    <w:tmpl w:val="11BCC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6C75FE"/>
    <w:multiLevelType w:val="multilevel"/>
    <w:tmpl w:val="A4FC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94353D"/>
    <w:multiLevelType w:val="multilevel"/>
    <w:tmpl w:val="4FF4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B34B03"/>
    <w:multiLevelType w:val="multilevel"/>
    <w:tmpl w:val="0376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C7470B"/>
    <w:multiLevelType w:val="multilevel"/>
    <w:tmpl w:val="8F46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5C337E"/>
    <w:multiLevelType w:val="multilevel"/>
    <w:tmpl w:val="26EC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8934E9"/>
    <w:multiLevelType w:val="multilevel"/>
    <w:tmpl w:val="3D1C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560A87"/>
    <w:multiLevelType w:val="multilevel"/>
    <w:tmpl w:val="2B24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3745A9"/>
    <w:multiLevelType w:val="multilevel"/>
    <w:tmpl w:val="6886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015BD0"/>
    <w:multiLevelType w:val="multilevel"/>
    <w:tmpl w:val="0F60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1B30C6"/>
    <w:multiLevelType w:val="multilevel"/>
    <w:tmpl w:val="A414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7C4EA5"/>
    <w:multiLevelType w:val="multilevel"/>
    <w:tmpl w:val="AD7E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8D4BD4"/>
    <w:multiLevelType w:val="multilevel"/>
    <w:tmpl w:val="B258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415630">
    <w:abstractNumId w:val="24"/>
  </w:num>
  <w:num w:numId="2" w16cid:durableId="1612471858">
    <w:abstractNumId w:val="17"/>
  </w:num>
  <w:num w:numId="3" w16cid:durableId="52579292">
    <w:abstractNumId w:val="23"/>
  </w:num>
  <w:num w:numId="4" w16cid:durableId="1540125533">
    <w:abstractNumId w:val="1"/>
  </w:num>
  <w:num w:numId="5" w16cid:durableId="659818162">
    <w:abstractNumId w:val="26"/>
  </w:num>
  <w:num w:numId="6" w16cid:durableId="1288972589">
    <w:abstractNumId w:val="4"/>
  </w:num>
  <w:num w:numId="7" w16cid:durableId="222298369">
    <w:abstractNumId w:val="21"/>
  </w:num>
  <w:num w:numId="8" w16cid:durableId="1163471031">
    <w:abstractNumId w:val="7"/>
  </w:num>
  <w:num w:numId="9" w16cid:durableId="2145459961">
    <w:abstractNumId w:val="10"/>
  </w:num>
  <w:num w:numId="10" w16cid:durableId="25762099">
    <w:abstractNumId w:val="15"/>
  </w:num>
  <w:num w:numId="11" w16cid:durableId="540827485">
    <w:abstractNumId w:val="16"/>
  </w:num>
  <w:num w:numId="12" w16cid:durableId="903488754">
    <w:abstractNumId w:val="9"/>
  </w:num>
  <w:num w:numId="13" w16cid:durableId="44763356">
    <w:abstractNumId w:val="6"/>
  </w:num>
  <w:num w:numId="14" w16cid:durableId="1071852753">
    <w:abstractNumId w:val="2"/>
  </w:num>
  <w:num w:numId="15" w16cid:durableId="1457410975">
    <w:abstractNumId w:val="22"/>
  </w:num>
  <w:num w:numId="16" w16cid:durableId="35588985">
    <w:abstractNumId w:val="12"/>
  </w:num>
  <w:num w:numId="17" w16cid:durableId="303313744">
    <w:abstractNumId w:val="18"/>
  </w:num>
  <w:num w:numId="18" w16cid:durableId="1258251951">
    <w:abstractNumId w:val="13"/>
  </w:num>
  <w:num w:numId="19" w16cid:durableId="1967226170">
    <w:abstractNumId w:val="3"/>
  </w:num>
  <w:num w:numId="20" w16cid:durableId="180750996">
    <w:abstractNumId w:val="25"/>
  </w:num>
  <w:num w:numId="21" w16cid:durableId="2023971939">
    <w:abstractNumId w:val="0"/>
  </w:num>
  <w:num w:numId="22" w16cid:durableId="1074402196">
    <w:abstractNumId w:val="5"/>
  </w:num>
  <w:num w:numId="23" w16cid:durableId="2032144590">
    <w:abstractNumId w:val="8"/>
  </w:num>
  <w:num w:numId="24" w16cid:durableId="1119185038">
    <w:abstractNumId w:val="19"/>
  </w:num>
  <w:num w:numId="25" w16cid:durableId="436798278">
    <w:abstractNumId w:val="20"/>
  </w:num>
  <w:num w:numId="26" w16cid:durableId="1128471908">
    <w:abstractNumId w:val="11"/>
  </w:num>
  <w:num w:numId="27" w16cid:durableId="20069783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FF"/>
    <w:rsid w:val="001C47F7"/>
    <w:rsid w:val="003A49B0"/>
    <w:rsid w:val="003C7762"/>
    <w:rsid w:val="005816FF"/>
    <w:rsid w:val="00681CF3"/>
    <w:rsid w:val="006A5BCE"/>
    <w:rsid w:val="00AE3AF4"/>
    <w:rsid w:val="00B27675"/>
    <w:rsid w:val="00B74E1D"/>
    <w:rsid w:val="00E50270"/>
    <w:rsid w:val="00F1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19061"/>
  <w15:chartTrackingRefBased/>
  <w15:docId w15:val="{BFA56A24-014C-4CC5-933A-07089C329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6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6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6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6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6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6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6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6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6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6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6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6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6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6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992</Words>
  <Characters>5655</Characters>
  <Application>Microsoft Office Word</Application>
  <DocSecurity>0</DocSecurity>
  <Lines>47</Lines>
  <Paragraphs>13</Paragraphs>
  <ScaleCrop>false</ScaleCrop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Flood</dc:creator>
  <cp:keywords/>
  <dc:description/>
  <cp:lastModifiedBy>Connor Flood</cp:lastModifiedBy>
  <cp:revision>2</cp:revision>
  <dcterms:created xsi:type="dcterms:W3CDTF">2025-04-02T23:45:00Z</dcterms:created>
  <dcterms:modified xsi:type="dcterms:W3CDTF">2025-04-02T23:45:00Z</dcterms:modified>
</cp:coreProperties>
</file>