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맑은 고딕"/>
          <w:b/>
          <w:color w:val="2E74B5"/>
          <w:sz w:val="19"/>
        </w:rPr>
        <w:t>공통 설명자료  ·  입학 단위에서 1학년 말 전공 선택까지</w:t>
      </w:r>
    </w:p>
    <w:p>
      <w:pPr>
        <w:spacing w:before="0" w:after="20"/>
      </w:pPr>
      <w:r>
        <w:rPr>
          <w:rFonts w:ascii="Calibri" w:hAnsi="Calibri" w:eastAsia="맑은 고딕"/>
          <w:b/>
          <w:color w:val="17365D"/>
          <w:sz w:val="38"/>
        </w:rPr>
        <w:t>전체 신입생은 어떤 경로로 단과대학과 전공에 진입하는가</w:t>
      </w:r>
    </w:p>
    <w:p>
      <w:pPr>
        <w:spacing w:after="100"/>
        <w:pBdr>
          <w:bottom w:val="single" w:sz="12" w:space="5" w:color="2E74B5"/>
        </w:pBdr>
      </w:pPr>
      <w:r>
        <w:rPr>
          <w:rFonts w:ascii="Calibri" w:hAnsi="Calibri" w:eastAsia="맑은 고딕"/>
          <w:b/>
          <w:color w:val="647180"/>
          <w:sz w:val="20"/>
        </w:rPr>
        <w:t>첨단융합대학·미래융합대학·자율전공 유형 I·기타 모집단위의 입학 경로와 1학년 말 전공 선택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583680" cy="6693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x_enrollment_flow_min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69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 w:line="240" w:lineRule="auto"/>
      </w:pPr>
      <w:r>
        <w:rPr>
          <w:rFonts w:ascii="Calibri" w:hAnsi="Calibri" w:eastAsia="맑은 고딕"/>
          <w:b/>
          <w:color w:val="2E74B5"/>
          <w:sz w:val="16"/>
        </w:rPr>
        <w:t xml:space="preserve">해석  </w:t>
      </w:r>
      <w:r>
        <w:rPr>
          <w:rFonts w:ascii="Calibri" w:hAnsi="Calibri" w:eastAsia="맑은 고딕"/>
          <w:b w:val="0"/>
          <w:color w:val="647180"/>
          <w:sz w:val="16"/>
        </w:rPr>
        <w:t xml:space="preserve">첨단융합대학·미래융합대학은 ‘자율전공 유형 II’와 ‘소속 학과·전공 직접입학’ 두 경로로 입학하며, 두 경로 모두 해당 대학의 전공으로 귀결됨.  </w:t>
      </w:r>
      <w:r>
        <w:rPr>
          <w:rFonts w:ascii="Calibri" w:hAnsi="Calibri" w:eastAsia="맑은 고딕"/>
          <w:b/>
          <w:color w:val="237A78"/>
          <w:sz w:val="16"/>
        </w:rPr>
        <w:t xml:space="preserve">유형 I  </w:t>
      </w:r>
      <w:r>
        <w:rPr>
          <w:rFonts w:ascii="Calibri" w:hAnsi="Calibri" w:eastAsia="맑은 고딕"/>
          <w:b w:val="0"/>
          <w:color w:val="647180"/>
          <w:sz w:val="16"/>
        </w:rPr>
        <w:t>자율전공 유형 I 학생은 1학년 말 대학 전체 전공에서 선택하며(청록 점선), 정원 숫자는 도식에 표기하지 않고 선 두께로 상대 규모만 나타냄.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05" w:right="720" w:bottom="490" w:left="720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맑은 고딕"/>
        <w:b w:val="0"/>
        <w:color w:val="647180"/>
        <w:sz w:val="16"/>
      </w:rPr>
      <w:t>국립금오공과대학교  ·  전공교육과정편성표(2026) 단과대학 편제 기준  |  2026.08.09  |  1 /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맑은 고딕"/>
        <w:b/>
        <w:color w:val="647180"/>
        <w:sz w:val="17"/>
      </w:rPr>
      <w:t>2027 학사구조 개편 안내  |  신입생 소속·전공 선택 흐름</w:t>
      <w:br/>
    </w:r>
    <w:r>
      <w:rPr>
        <w:rFonts w:ascii="Calibri" w:hAnsi="Calibri" w:eastAsia="맑은 고딕"/>
        <w:b w:val="0"/>
        <w:color w:val="647180"/>
        <w:sz w:val="15"/>
      </w:rPr>
      <w:t>github.com/cfms-lab/KIT_DX_2027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