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0183D" w14:textId="3F17C6B7" w:rsidR="0037540E" w:rsidRPr="004516A5" w:rsidRDefault="007D3F04">
      <w:pPr>
        <w:pStyle w:val="a4"/>
        <w:rPr>
          <w:sz w:val="48"/>
          <w:szCs w:val="48"/>
        </w:rPr>
      </w:pPr>
      <w:r w:rsidRPr="004516A5">
        <w:rPr>
          <w:sz w:val="48"/>
          <w:szCs w:val="48"/>
        </w:rPr>
        <w:t xml:space="preserve">Support Flow Tensor Field for Fast </w:t>
      </w:r>
      <w:r w:rsidR="004567BE">
        <w:rPr>
          <w:sz w:val="48"/>
          <w:szCs w:val="48"/>
        </w:rPr>
        <w:br/>
      </w:r>
      <w:r w:rsidRPr="004516A5">
        <w:rPr>
          <w:sz w:val="48"/>
          <w:szCs w:val="48"/>
        </w:rPr>
        <w:t xml:space="preserve">Build-Orientation Candidate Generation </w:t>
      </w:r>
      <w:r w:rsidR="00B55A73" w:rsidRPr="004516A5">
        <w:rPr>
          <w:sz w:val="48"/>
          <w:szCs w:val="48"/>
        </w:rPr>
        <w:br/>
      </w:r>
      <w:r w:rsidRPr="004516A5">
        <w:rPr>
          <w:sz w:val="48"/>
          <w:szCs w:val="48"/>
        </w:rPr>
        <w:t>in Support-Requiring Additive Manufacturing</w:t>
      </w:r>
    </w:p>
    <w:p w14:paraId="1391CBDD" w14:textId="77777777" w:rsidR="00734D98" w:rsidRDefault="00734D98" w:rsidP="00734D98">
      <w:pPr>
        <w:pStyle w:val="a0"/>
        <w:ind w:firstLine="240"/>
      </w:pPr>
    </w:p>
    <w:p w14:paraId="51179000" w14:textId="77777777" w:rsidR="00734D98" w:rsidRPr="00734D98" w:rsidRDefault="00734D98" w:rsidP="00734D98">
      <w:pPr>
        <w:pStyle w:val="a0"/>
        <w:ind w:firstLine="240"/>
      </w:pPr>
    </w:p>
    <w:p w14:paraId="41316C37" w14:textId="77777777" w:rsidR="00734D98" w:rsidRDefault="00734D98" w:rsidP="00734D98">
      <w:pPr>
        <w:pStyle w:val="a0"/>
        <w:ind w:firstLine="240"/>
      </w:pPr>
    </w:p>
    <w:p w14:paraId="16B0183E" w14:textId="5B46AB95" w:rsidR="0037540E" w:rsidRDefault="007D3F04">
      <w:pPr>
        <w:pStyle w:val="AbstractTitle"/>
      </w:pPr>
      <w:r>
        <w:t>Abstract</w:t>
      </w:r>
    </w:p>
    <w:p w14:paraId="16B0183F" w14:textId="187DEF43" w:rsidR="0037540E" w:rsidRDefault="00A968F6">
      <w:pPr>
        <w:pStyle w:val="Abstract"/>
        <w:ind w:firstLine="220"/>
      </w:pPr>
      <w:r>
        <w:t>Build orientation strongly controls the support volume in additive manufacturing; however, exhaustive orientation sweeps are costly.</w:t>
      </w:r>
      <w:r w:rsidR="007D3F04">
        <w:t xml:space="preserve"> </w:t>
      </w:r>
      <w:r w:rsidR="0010196D">
        <w:t>The proposed method targets support-requiring additive manufacturing processes in which the build orientation changes the amount of removable support material; it is not intended for inherently support-free processes.</w:t>
      </w:r>
      <w:r w:rsidR="007D3F04">
        <w:t xml:space="preserve"> </w:t>
      </w:r>
      <w:r>
        <w:t>This study proposes a Support Flow Tensor Field (SFTF), a fast candidate generator that ranks promising build directions before local verification using a support-volume grid or slicer.</w:t>
      </w:r>
      <w:r w:rsidR="007D3F04">
        <w:t xml:space="preserve"> </w:t>
      </w:r>
      <w:r>
        <w:t>For each sampled direction, the SFTF casts rays from the overhang faces to the actual receiver faces and forms a direction-dependent, asymmetric flow tensor.</w:t>
      </w:r>
      <w:r w:rsidR="007D3F04">
        <w:t xml:space="preserve"> </w:t>
      </w:r>
      <w:r>
        <w:t>The build plate support term is further interpreted as a virtual ground receiver, which makes the dominant predictive term a unified Rayleigh cost.</w:t>
      </w:r>
      <w:r w:rsidR="007D3F04">
        <w:t xml:space="preserve"> </w:t>
      </w:r>
      <w:r w:rsidR="002B314A">
        <w:t>On five benchmark meshes with a 1</w:t>
      </w:r>
      <w:r w:rsidR="002B314A" w:rsidRPr="0073347A">
        <w:rPr>
          <w:rFonts w:hint="eastAsia"/>
        </w:rPr>
        <w:t>°</w:t>
      </w:r>
      <w:r w:rsidR="002B314A">
        <w:t xml:space="preserve"> tomography grid, verifying the </w:t>
      </w:r>
      <w:r w:rsidR="002B314A" w:rsidRPr="003714E4">
        <w:rPr>
          <w:rFonts w:hint="eastAsia"/>
        </w:rPr>
        <w:t>±</w:t>
      </w:r>
      <w:r w:rsidR="002B314A">
        <w:t>10</w:t>
      </w:r>
      <w:r w:rsidR="002B314A" w:rsidRPr="003714E4">
        <w:rPr>
          <w:rFonts w:hint="eastAsia"/>
        </w:rPr>
        <w:t>°</w:t>
      </w:r>
      <w:r w:rsidR="002B314A">
        <w:t xml:space="preserve"> neighborhoods of the top-20 SFTF candidates used 3.57% of the grid on average and obtained a mean support volume ratio of 1.13 with a maximum of 1.58.</w:t>
      </w:r>
      <w:r w:rsidR="007D3F04">
        <w:t xml:space="preserve"> </w:t>
      </w:r>
      <w:r>
        <w:t>Budget-matched uniform and random local window controls were weaker, with mean/maximum ratios of 1.64/2.79 and 2.62/5.44, respectively.</w:t>
      </w:r>
      <w:r w:rsidR="007D3F04">
        <w:t xml:space="preserve"> </w:t>
      </w:r>
      <w:r>
        <w:t>This study also introduces the Adaptive Verification Escalation (AVE), an automatic hard-case escalation rule based on local-verification confidence signals.</w:t>
      </w:r>
      <w:r w:rsidR="007D3F04">
        <w:t xml:space="preserve"> </w:t>
      </w:r>
      <w:r w:rsidR="00D8367E">
        <w:t>On the five stored</w:t>
      </w:r>
      <w:r w:rsidR="00D8367E" w:rsidRPr="00AD45E2">
        <w:t xml:space="preserve"> </w:t>
      </w:r>
      <w:r w:rsidR="00D8367E">
        <w:t>1</w:t>
      </w:r>
      <w:r w:rsidR="00D8367E" w:rsidRPr="0073347A">
        <w:rPr>
          <w:rFonts w:hint="eastAsia"/>
        </w:rPr>
        <w:t>°</w:t>
      </w:r>
      <w:r w:rsidR="00D8367E">
        <w:t xml:space="preserve"> meshes, it reduced the worst ratio from 8.52 to 1.06 while using 2.99% of the full grid on average.</w:t>
      </w:r>
      <w:r>
        <w:t xml:space="preserve"> </w:t>
      </w:r>
      <w:r w:rsidR="00D8367E">
        <w:t>On a five-group cached 3</w:t>
      </w:r>
      <w:r w:rsidR="00D8367E" w:rsidRPr="0073347A">
        <w:rPr>
          <w:rFonts w:hint="eastAsia"/>
        </w:rPr>
        <w:t>°</w:t>
      </w:r>
      <w:r w:rsidR="00D8367E">
        <w:rPr>
          <w:rFonts w:hint="eastAsia"/>
          <w:lang w:eastAsia="ko-KR"/>
        </w:rPr>
        <w:t xml:space="preserve"> </w:t>
      </w:r>
      <w:r w:rsidR="00D8367E">
        <w:t>audit, it reduced the maximum ratio from 12.44 to 1.62 at a mean budget of 4.96%.</w:t>
      </w:r>
      <w:r w:rsidR="007D3F04">
        <w:t xml:space="preserve"> </w:t>
      </w:r>
      <w:r w:rsidR="00D8367E">
        <w:t>These results show that the SFTF is best viewed not as a replacement for precise support volume optimization, but as a low-cost warm start that concentrates expensive verification on a small number of likely basins.</w:t>
      </w:r>
    </w:p>
    <w:p w14:paraId="16B01840" w14:textId="77777777" w:rsidR="0037540E" w:rsidRDefault="007D3F04">
      <w:pPr>
        <w:pStyle w:val="FirstParagraph"/>
        <w:ind w:firstLine="240"/>
      </w:pPr>
      <w:r>
        <w:rPr>
          <w:b/>
          <w:bCs/>
        </w:rPr>
        <w:t>Keywords:</w:t>
      </w:r>
      <w:r>
        <w:t xml:space="preserve"> Support Flow Tensor Field (SFTF), build orientation, support volume, support-requiring additive manufacturing, local verification, candidate generation</w:t>
      </w:r>
    </w:p>
    <w:p w14:paraId="076BB819" w14:textId="4A823D38" w:rsidR="008011E7" w:rsidRDefault="008011E7">
      <w:pPr>
        <w:rPr>
          <w:rFonts w:eastAsia="DengXian"/>
        </w:rPr>
      </w:pPr>
      <w:r>
        <w:rPr>
          <w:rFonts w:eastAsia="DengXian"/>
        </w:rPr>
        <w:br w:type="page"/>
      </w:r>
    </w:p>
    <w:p w14:paraId="16B01841" w14:textId="77777777" w:rsidR="0037540E" w:rsidRDefault="007D3F04" w:rsidP="00F76D26">
      <w:pPr>
        <w:pStyle w:val="1"/>
        <w:numPr>
          <w:ilvl w:val="0"/>
          <w:numId w:val="4"/>
        </w:numPr>
      </w:pPr>
      <w:bookmarkStart w:id="0" w:name="introduction"/>
      <w:r>
        <w:lastRenderedPageBreak/>
        <w:t>Introduction</w:t>
      </w:r>
    </w:p>
    <w:p w14:paraId="16B01842" w14:textId="2041827F" w:rsidR="0037540E" w:rsidRDefault="007E7DF5">
      <w:pPr>
        <w:pStyle w:val="FirstParagraph"/>
        <w:ind w:firstLine="240"/>
      </w:pPr>
      <w:r>
        <w:t>Build orientation strongly affects the support volume, material use, print time, and post-processing quality in support-requiring additive manufacturing, especially in FDM processes, in which downward overhangs beyond a critical angle require removable support [1].</w:t>
      </w:r>
      <w:r w:rsidR="007D3F04">
        <w:t xml:space="preserve"> </w:t>
      </w:r>
      <w:r w:rsidR="002338B7">
        <w:t>Existing explicit or voxel/slicer-based orientation searches can accurately evaluate the support volume; however, exhaustive yaw–pitch sweeps remain expensive because they evaluate a dense set of directions even for simple shapes.</w:t>
      </w:r>
    </w:p>
    <w:p w14:paraId="17F2230C" w14:textId="77777777" w:rsidR="00887539" w:rsidRPr="00887539" w:rsidRDefault="00887539" w:rsidP="00887539">
      <w:pPr>
        <w:pStyle w:val="a0"/>
        <w:ind w:firstLine="240"/>
        <w:rPr>
          <w:rFonts w:eastAsia="DengXian"/>
        </w:rPr>
      </w:pPr>
    </w:p>
    <w:p w14:paraId="16B01843" w14:textId="77777777" w:rsidR="0037540E" w:rsidRDefault="007D3F04" w:rsidP="00F76D26">
      <w:pPr>
        <w:pStyle w:val="2"/>
        <w:numPr>
          <w:ilvl w:val="1"/>
          <w:numId w:val="5"/>
        </w:numPr>
      </w:pPr>
      <w:bookmarkStart w:id="1" w:name="sec:related"/>
      <w:r>
        <w:t>Related Work</w:t>
      </w:r>
    </w:p>
    <w:p w14:paraId="16B01844" w14:textId="3AA0B44D" w:rsidR="0037540E" w:rsidRDefault="007E7DF5">
      <w:pPr>
        <w:pStyle w:val="FirstParagraph"/>
        <w:ind w:firstLine="240"/>
      </w:pPr>
      <w:r>
        <w:t>Build-orientation studies include explicit support volume evaluation, voxel/depth normal acceleration, support structure design, and topology or multi-axis design approaches [2–8].</w:t>
      </w:r>
      <w:r w:rsidR="007D3F04">
        <w:t xml:space="preserve"> </w:t>
      </w:r>
      <w:r w:rsidR="00A65CA6">
        <w:t>Shadow volumes and tomographic formulations estimate the support volume without full slicer generation and can be accelerated on GPUs [9–11].</w:t>
      </w:r>
      <w:r w:rsidR="007D3F04">
        <w:t xml:space="preserve"> </w:t>
      </w:r>
      <w:r w:rsidR="00A65CA6">
        <w:t xml:space="preserve">In this study, </w:t>
      </w:r>
      <w:r w:rsidR="00A65CA6">
        <w:rPr>
          <w:i/>
          <w:iCs/>
        </w:rPr>
        <w:t>TOMO_CPU</w:t>
      </w:r>
      <w:r w:rsidR="00A65CA6">
        <w:t xml:space="preserve"> and </w:t>
      </w:r>
      <w:r w:rsidR="00A65CA6" w:rsidRPr="00025387">
        <w:rPr>
          <w:i/>
          <w:iCs/>
        </w:rPr>
        <w:t>TOMO_CUDA</w:t>
      </w:r>
      <w:r w:rsidR="00A65CA6">
        <w:t xml:space="preserve"> denote the CPU and GPU tomographic support-volume evaluators used as verification and comparison backends [11], respectively, </w:t>
      </w:r>
      <w:r w:rsidR="00A65CA6" w:rsidRPr="00025387">
        <w:rPr>
          <w:i/>
          <w:iCs/>
        </w:rPr>
        <w:t>and SFTF</w:t>
      </w:r>
      <w:r w:rsidR="00A65CA6">
        <w:t xml:space="preserve"> is a candidate generator that reduces the number of directions passed to such verifiers.</w:t>
      </w:r>
    </w:p>
    <w:p w14:paraId="16B01845" w14:textId="5CB23D88" w:rsidR="0037540E" w:rsidRDefault="007E7DF5">
      <w:pPr>
        <w:pStyle w:val="a0"/>
        <w:ind w:firstLine="240"/>
      </w:pPr>
      <w:r>
        <w:t>Tensor or anisotropic formulations have also appeared in topology optimization: overhang constraints, anisotropic interface energy, and deposition-direction-dependent stiffness can bias a redesigned part toward a self-supporting geometry [12–14].</w:t>
      </w:r>
      <w:r w:rsidR="007D3F04">
        <w:t xml:space="preserve"> </w:t>
      </w:r>
      <w:r w:rsidR="00A968F6">
        <w:t xml:space="preserve">The present work is complementary: the input shape is fixed, and the tensor is used only to rank build orientations before an accurate </w:t>
      </w:r>
      <w:r w:rsidR="00A968F6" w:rsidRPr="002309B7">
        <w:rPr>
          <w:i/>
          <w:iCs/>
        </w:rPr>
        <w:t>TOMO</w:t>
      </w:r>
      <w:r w:rsidR="00A968F6">
        <w:t xml:space="preserve"> or slicer verification step.</w:t>
      </w:r>
      <w:r w:rsidR="007D3F04">
        <w:t xml:space="preserve"> A related industrial patent seeks build orientations for fixed complex parts but does not disclose an open algorithmic procedure [15].</w:t>
      </w:r>
    </w:p>
    <w:p w14:paraId="55EFC12F" w14:textId="77777777" w:rsidR="00702619" w:rsidRDefault="00702619">
      <w:pPr>
        <w:pStyle w:val="a0"/>
        <w:ind w:firstLine="240"/>
      </w:pPr>
    </w:p>
    <w:p w14:paraId="16B01846" w14:textId="77777777" w:rsidR="0037540E" w:rsidRDefault="007D3F04" w:rsidP="00CB2B75">
      <w:pPr>
        <w:pStyle w:val="2"/>
        <w:numPr>
          <w:ilvl w:val="1"/>
          <w:numId w:val="5"/>
        </w:numPr>
      </w:pPr>
      <w:bookmarkStart w:id="2" w:name="contribution"/>
      <w:bookmarkEnd w:id="1"/>
      <w:r>
        <w:t>Contribution</w:t>
      </w:r>
    </w:p>
    <w:p w14:paraId="16B01847" w14:textId="5DB1FA31" w:rsidR="0037540E" w:rsidRDefault="00D8367E">
      <w:pPr>
        <w:pStyle w:val="FirstParagraph"/>
        <w:ind w:firstLine="240"/>
      </w:pPr>
      <w:r>
        <w:t>This study proposes the support flow tensor field (</w:t>
      </w:r>
      <w:r w:rsidRPr="003144B9">
        <w:rPr>
          <w:i/>
          <w:iCs/>
        </w:rPr>
        <w:t>SFTF</w:t>
      </w:r>
      <w:r>
        <w:t xml:space="preserve">), a low-cost candidate generator rather than a replacement for precise </w:t>
      </w:r>
      <w:r w:rsidRPr="002309B7">
        <w:rPr>
          <w:i/>
          <w:iCs/>
        </w:rPr>
        <w:t>TOMO</w:t>
      </w:r>
      <w:r>
        <w:t>/slicer optimization.</w:t>
      </w:r>
      <w:r w:rsidR="007D3F04">
        <w:t xml:space="preserve"> </w:t>
      </w:r>
      <w:r w:rsidR="007E7DF5">
        <w:t xml:space="preserve">For each sampled build direction, the </w:t>
      </w:r>
      <w:r w:rsidR="007E7DF5" w:rsidRPr="003144B9">
        <w:rPr>
          <w:i/>
          <w:iCs/>
        </w:rPr>
        <w:t>SFTF</w:t>
      </w:r>
      <w:r w:rsidR="007E7DF5">
        <w:t xml:space="preserve"> estimates the internal face-to-face support flow by ray casting, adds a build-plate contribution through a virtual ground node, and then passes only a small set of promising basins for local </w:t>
      </w:r>
      <w:r w:rsidR="007E7DF5" w:rsidRPr="003144B9">
        <w:rPr>
          <w:i/>
          <w:iCs/>
        </w:rPr>
        <w:t>TOMO</w:t>
      </w:r>
      <w:r w:rsidR="007E7DF5">
        <w:t xml:space="preserve"> verification.</w:t>
      </w:r>
      <w:r w:rsidR="000D0162">
        <w:t xml:space="preserve"> </w:t>
      </w:r>
      <w:r w:rsidR="00A65CA6" w:rsidRPr="000D0162">
        <w:t xml:space="preserve">The main contributions of this study are as follows: (i) a direction-dependent asymmetric support-flow tensor for fixed parts; (ii) a ground-node derivation showing that the build-plate term is an exact Rayleigh contribution of the augmented tensor; (iii) a local-verification budget curve demonstrating that the </w:t>
      </w:r>
      <w:r w:rsidR="00A65CA6" w:rsidRPr="008454F7">
        <w:rPr>
          <w:i/>
          <w:iCs/>
        </w:rPr>
        <w:t>SFTF</w:t>
      </w:r>
      <w:r w:rsidR="00A65CA6" w:rsidRPr="000D0162">
        <w:t xml:space="preserve"> top-20 windows recover a mean support-volume ratio of 1.13 wit</w:t>
      </w:r>
      <w:r w:rsidR="00A65CA6">
        <w:t>h</w:t>
      </w:r>
      <w:r w:rsidR="00A65CA6" w:rsidRPr="000D0162">
        <w:t xml:space="preserve"> only 3.57% of the</w:t>
      </w:r>
      <w:r w:rsidR="00A65CA6">
        <w:t xml:space="preserve"> 1</w:t>
      </w:r>
      <w:r w:rsidR="00A65CA6" w:rsidRPr="0073347A">
        <w:rPr>
          <w:rFonts w:hint="eastAsia"/>
        </w:rPr>
        <w:t>°</w:t>
      </w:r>
      <w:r w:rsidR="00A65CA6" w:rsidRPr="000D0162">
        <w:t xml:space="preserve"> grid; (iv) Adaptive Verification Escalation (AVE), an automatic escalation rule for narrow-basin hard cases; </w:t>
      </w:r>
      <w:r w:rsidR="00A65CA6" w:rsidRPr="000D0162">
        <w:lastRenderedPageBreak/>
        <w:t>and (v) a five-group timing audit showing 1.4</w:t>
      </w:r>
      <w:r w:rsidR="00A65CA6" w:rsidRPr="0090562A">
        <w:rPr>
          <w:rFonts w:hint="eastAsia"/>
        </w:rPr>
        <w:t>–</w:t>
      </w:r>
      <w:r w:rsidR="00A65CA6" w:rsidRPr="000D0162">
        <w:t>34</w:t>
      </w:r>
      <w:r w:rsidR="00A65CA6" w:rsidRPr="000D0162">
        <w:rPr>
          <w:rFonts w:ascii="Calibri" w:hAnsi="Calibri" w:cs="Calibri"/>
        </w:rPr>
        <w:t>×</w:t>
      </w:r>
      <w:r w:rsidR="00A65CA6" w:rsidRPr="000D0162">
        <w:t xml:space="preserve"> Python and 10</w:t>
      </w:r>
      <w:r w:rsidR="00A65CA6" w:rsidRPr="0090562A">
        <w:rPr>
          <w:rFonts w:hint="eastAsia"/>
        </w:rPr>
        <w:t>∼</w:t>
      </w:r>
      <w:r w:rsidR="00A65CA6" w:rsidRPr="000D0162">
        <w:t>5,160</w:t>
      </w:r>
      <w:r w:rsidR="00A65CA6" w:rsidRPr="000D0162">
        <w:rPr>
          <w:rFonts w:ascii="Calibri" w:hAnsi="Calibri" w:cs="Calibri"/>
        </w:rPr>
        <w:t>×</w:t>
      </w:r>
      <w:r w:rsidR="00A65CA6" w:rsidRPr="000D0162">
        <w:t xml:space="preserve"> C++ speedups relative to </w:t>
      </w:r>
      <w:r w:rsidR="00A65CA6">
        <w:rPr>
          <w:i/>
          <w:iCs/>
        </w:rPr>
        <w:t>TOMO_CPU</w:t>
      </w:r>
      <w:r w:rsidR="00A65CA6" w:rsidRPr="000D0162">
        <w:t xml:space="preserve"> on a</w:t>
      </w:r>
      <w:r w:rsidR="00A65CA6">
        <w:t xml:space="preserve"> </w:t>
      </w:r>
      <w:r w:rsidR="00A65CA6" w:rsidRPr="000D0162">
        <w:t>3</w:t>
      </w:r>
      <w:r w:rsidR="00A65CA6" w:rsidRPr="0073347A">
        <w:rPr>
          <w:rFonts w:hint="eastAsia"/>
        </w:rPr>
        <w:t>°</w:t>
      </w:r>
      <w:r w:rsidR="00A65CA6" w:rsidRPr="000D0162">
        <w:t xml:space="preserve"> grid sweep.</w:t>
      </w:r>
    </w:p>
    <w:p w14:paraId="16B01848" w14:textId="4AAB61DB" w:rsidR="0037540E" w:rsidRDefault="007D3F04" w:rsidP="007D3F04">
      <w:pPr>
        <w:pStyle w:val="1"/>
        <w:numPr>
          <w:ilvl w:val="0"/>
          <w:numId w:val="5"/>
        </w:numPr>
      </w:pPr>
      <w:bookmarkStart w:id="3" w:name="method"/>
      <w:bookmarkEnd w:id="2"/>
      <w:bookmarkEnd w:id="0"/>
      <w:r>
        <w:t>Method</w:t>
      </w:r>
    </w:p>
    <w:p w14:paraId="16B01849" w14:textId="77777777" w:rsidR="0037540E" w:rsidRDefault="007D3F04" w:rsidP="007D3F04">
      <w:pPr>
        <w:pStyle w:val="2"/>
        <w:numPr>
          <w:ilvl w:val="1"/>
          <w:numId w:val="5"/>
        </w:numPr>
      </w:pPr>
      <w:bookmarkStart w:id="4" w:name="sec:support-tensor-limit"/>
      <w:r>
        <w:t>From Symmetric Support Tensor to Directional Flow</w:t>
      </w:r>
    </w:p>
    <w:p w14:paraId="16B0184B" w14:textId="77777777" w:rsidR="0037540E" w:rsidRDefault="007D3F04">
      <w:pPr>
        <w:pStyle w:val="a0"/>
        <w:ind w:firstLine="240"/>
      </w:pPr>
      <w:bookmarkStart w:id="5" w:name="sec:sftf"/>
      <w:bookmarkEnd w:id="5"/>
      <w:r>
        <w:t>As a symmetric baseline, we define an area-weighted second-moment tensor of face normals</w:t>
      </w:r>
    </w:p>
    <w:p w14:paraId="16B0184C" w14:textId="77777777" w:rsidR="0037540E" w:rsidRDefault="007D3F04">
      <w:pPr>
        <w:pStyle w:val="a0"/>
        <w:ind w:firstLine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B0184D" w14:textId="726C13E8" w:rsidR="0037540E" w:rsidRDefault="00690A34">
      <w:pPr>
        <w:pStyle w:val="FirstParagraph"/>
        <w:ind w:firstLine="240"/>
      </w:pPr>
      <w:r>
        <w:t>following the general orientation/fabric tensor construction for directional data [16].</w:t>
      </w:r>
      <w:r w:rsidR="007D3F04">
        <w:t xml:space="preserve"> 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D3F04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D3F04">
        <w:t xml:space="preserve"> are the area and outward normal of triangular face </w:t>
      </w:r>
      <m:oMath>
        <m:r>
          <w:rPr>
            <w:rFonts w:ascii="Cambria Math" w:hAnsi="Cambria Math"/>
          </w:rPr>
          <m:t>i</m:t>
        </m:r>
      </m:oMath>
      <w:r w:rsidR="007D3F04">
        <w:t xml:space="preserve">. </w:t>
      </w:r>
      <w:r>
        <w:t>In this study, this tensor is used only as a support-oriented baseline: it summarizes the distribution of surface normals, but it does not encode whether a face is an overhang for a given build direction, whether another face can actually receive the support, or how far an unsupported face is from the build plate.</w:t>
      </w:r>
      <w:r w:rsidR="007D3F04">
        <w:t xml:space="preserve"> </w:t>
      </w:r>
      <w:r w:rsidR="007D3F04" w:rsidRPr="008454F7">
        <w:rPr>
          <w:i/>
          <w:iCs/>
        </w:rPr>
        <w:t>SFTF</w:t>
      </w:r>
      <w:r w:rsidR="007D3F04">
        <w:t xml:space="preserve"> therefore evaluates a direction-dependent asymmetric tensor for each unit build direction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D3F04">
        <w:t>.</w:t>
      </w:r>
    </w:p>
    <w:p w14:paraId="16B0184E" w14:textId="77777777" w:rsidR="0037540E" w:rsidRDefault="007D3F04">
      <w:pPr>
        <w:pStyle w:val="a0"/>
        <w:ind w:firstLine="240"/>
      </w:pPr>
      <w:r>
        <w:t xml:space="preserve">For face centroid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the overhang coefficient is</w:t>
      </w:r>
    </w:p>
    <w:p w14:paraId="16B0184F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6B01850" w14:textId="77777777" w:rsidR="0037540E" w:rsidRDefault="007D3F04">
      <w:pPr>
        <w:pStyle w:val="FirstParagraph"/>
        <w:ind w:firstLine="240"/>
      </w:pPr>
      <w:r>
        <w:t xml:space="preserve">For sampled overhang source faces, a ray is cast along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t xml:space="preserve">; if the first valid receiver is face </w:t>
      </w:r>
      <m:oMath>
        <m:r>
          <w:rPr>
            <w:rFonts w:ascii="Cambria Math" w:hAnsi="Cambria Math"/>
          </w:rPr>
          <m:t>j</m:t>
        </m:r>
      </m:oMath>
      <w:r>
        <w:t xml:space="preserve">, the height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n</m:t>
        </m:r>
      </m:oMath>
      <w:r>
        <w:t xml:space="preserve"> and the face-to-face influence is</w:t>
      </w:r>
    </w:p>
    <w:p w14:paraId="16B01851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B01852" w14:textId="77777777" w:rsidR="0037540E" w:rsidRDefault="007D3F04">
      <w:pPr>
        <w:pStyle w:val="FirstParagraph"/>
        <w:ind w:firstLine="240"/>
      </w:pPr>
      <w:r>
        <w:t xml:space="preserve">where </w:t>
      </w:r>
      <m:oMath>
        <m:r>
          <w:rPr>
            <w:rFonts w:ascii="Cambria Math" w:hAnsi="Cambria Math"/>
          </w:rPr>
          <m:t>D</m:t>
        </m:r>
      </m:oMath>
      <w:r>
        <w:t xml:space="preserve"> is the mesh bounding-box diagonal. The face-to-face support flow tensor is</w:t>
      </w:r>
    </w:p>
    <w:p w14:paraId="16B01853" w14:textId="77777777" w:rsidR="0037540E" w:rsidRDefault="007D3F04">
      <w:pPr>
        <w:pStyle w:val="a0"/>
        <w:ind w:firstLine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)∈R(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B01854" w14:textId="77777777" w:rsidR="0037540E" w:rsidRDefault="007D3F04">
      <w:pPr>
        <w:pStyle w:val="FirstParagraph"/>
        <w:ind w:firstLine="240"/>
      </w:pPr>
      <w:r>
        <w:t xml:space="preserve">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R(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denoting valid ray-cast support relationships. The receiver must not be the source face, must have positive height, and must face the build direction sufficiently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0.05</m:t>
        </m:r>
      </m:oMath>
      <w:r>
        <w:t xml:space="preserve">). To bound cost, source faces are sampled deterministically in proportion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</w:t>
      </w:r>
    </w:p>
    <w:p w14:paraId="16B01855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ray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=clip(</m:t>
          </m:r>
          <m:r>
            <w:rPr>
              <w:rFonts w:ascii="Cambria Math" w:hAnsi="Cambria Math"/>
            </w:rPr>
            <m:t>0.02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3000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6B01856" w14:textId="77777777" w:rsidR="0037540E" w:rsidRDefault="007D3F04">
      <w:pPr>
        <w:pStyle w:val="FirstParagraph"/>
        <w:ind w:firstLine="24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is the number of mesh faces.</w:t>
      </w:r>
    </w:p>
    <w:p w14:paraId="660BFFA7" w14:textId="6F8C1A9A" w:rsidR="002E33D9" w:rsidRPr="002E33D9" w:rsidRDefault="002E33D9" w:rsidP="002E33D9">
      <w:pPr>
        <w:pStyle w:val="a0"/>
        <w:ind w:firstLine="240"/>
        <w:rPr>
          <w:rFonts w:eastAsia="DengXian"/>
        </w:rPr>
      </w:pPr>
    </w:p>
    <w:p w14:paraId="16B01857" w14:textId="3F4CF909" w:rsidR="0037540E" w:rsidRDefault="007D3F04" w:rsidP="004D2BA9">
      <w:pPr>
        <w:pStyle w:val="2"/>
        <w:numPr>
          <w:ilvl w:val="1"/>
          <w:numId w:val="5"/>
        </w:numPr>
      </w:pPr>
      <w:bookmarkStart w:id="6" w:name="sec:groundnode"/>
      <w:bookmarkEnd w:id="4"/>
      <w:r>
        <w:lastRenderedPageBreak/>
        <w:t>Ground-Node Build-Plate Term</w:t>
      </w:r>
    </w:p>
    <w:p w14:paraId="16B01858" w14:textId="73686A46" w:rsidR="0037540E" w:rsidRDefault="00D8367E">
      <w:pPr>
        <w:pStyle w:val="FirstParagraph"/>
        <w:ind w:firstLine="240"/>
      </w:pPr>
      <w:r>
        <w:t>If no valid receiver face is found, the overhang is supported by the build plate.</w:t>
      </w:r>
      <w:r w:rsidR="007D3F04">
        <w:t xml:space="preserve"> With</w:t>
      </w:r>
    </w:p>
    <w:p w14:paraId="16B01859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plate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lim>
          </m:limLow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plate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6B0185A" w14:textId="77777777" w:rsidR="0037540E" w:rsidRDefault="007D3F04">
      <w:pPr>
        <w:pStyle w:val="FirstParagraph"/>
        <w:ind w:firstLine="240"/>
      </w:pPr>
      <w:r>
        <w:t>the scalar plate penalty is</w:t>
      </w:r>
    </w:p>
    <w:p w14:paraId="16B0185B" w14:textId="77777777" w:rsidR="0037540E" w:rsidRDefault="007D3F04">
      <w:pPr>
        <w:pStyle w:val="a0"/>
        <w:ind w:firstLine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∈B(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16B0185C" w14:textId="77777777" w:rsidR="0037540E" w:rsidRDefault="007D3F04">
      <w:pPr>
        <w:pStyle w:val="FirstParagraph"/>
        <w:ind w:firstLine="240"/>
      </w:pPr>
      <w:r>
        <w:t>This term is not ad hoc: as illustrated in Fig. </w:t>
      </w:r>
      <w:hyperlink w:anchor="fig:unified-flow">
        <w:r>
          <w:rPr>
            <w:rStyle w:val="ac"/>
          </w:rPr>
          <w:t>1</w:t>
        </w:r>
      </w:hyperlink>
      <w:r>
        <w:t xml:space="preserve">, it is exactly the Rayleigh contribution obtained by adding a virtual receiver whose normal is the build direction </w:t>
      </w:r>
      <m:oMath>
        <m:r>
          <w:rPr>
            <w:rFonts w:ascii="Cambria Math" w:hAnsi="Cambria Math"/>
          </w:rPr>
          <m:t>n</m:t>
        </m:r>
      </m:oMath>
      <w:r>
        <w:t>,</w:t>
      </w:r>
    </w:p>
    <w:p w14:paraId="16B0185D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)∈R(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∈B(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B0185E" w14:textId="77777777" w:rsidR="0037540E" w:rsidRDefault="007D3F04">
      <w:pPr>
        <w:pStyle w:val="FirstParagraph"/>
        <w:ind w:firstLine="240"/>
      </w:pPr>
      <w: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symmetric Rayleigh contraction of the ground term contributes exactly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support cost, giving</w:t>
      </w:r>
    </w:p>
    <w:p w14:paraId="16B0185F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6B01860" w14:textId="4C7BF24E" w:rsidR="0037540E" w:rsidRDefault="00D8367E">
      <w:pPr>
        <w:pStyle w:val="FirstParagraph"/>
        <w:ind w:firstLine="240"/>
      </w:pPr>
      <w:r>
        <w:t>The equality was numerically confirmed within 10</w:t>
      </w:r>
      <w:r w:rsidRPr="00121129">
        <w:rPr>
          <w:vertAlign w:val="superscript"/>
        </w:rPr>
        <w:t>–12</w:t>
      </w:r>
      <w:r>
        <w:t xml:space="preserve"> over the stored candidate pools.</w:t>
      </w:r>
    </w:p>
    <w:p w14:paraId="16B01861" w14:textId="77777777" w:rsidR="0037540E" w:rsidRDefault="007D3F04" w:rsidP="00F57210">
      <w:pPr>
        <w:pStyle w:val="CaptionedFigure"/>
        <w:jc w:val="center"/>
      </w:pPr>
      <w:bookmarkStart w:id="7" w:name="fig:unified-flow"/>
      <w:r>
        <w:rPr>
          <w:noProof/>
        </w:rPr>
        <w:drawing>
          <wp:inline distT="0" distB="0" distL="0" distR="0" wp14:anchorId="16B01A78" wp14:editId="3D9A079F">
            <wp:extent cx="4196281" cy="1982709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pics/FTree4x_fig1_unified_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28" cy="198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01862" w14:textId="635F9C14" w:rsidR="0037540E" w:rsidRDefault="0068102B">
      <w:pPr>
        <w:pStyle w:val="ImageCaption"/>
      </w:pPr>
      <w:r>
        <w:rPr>
          <w:b/>
          <w:bCs/>
        </w:rPr>
        <w:t>Fig</w:t>
      </w:r>
      <w:r w:rsidR="00312710">
        <w:rPr>
          <w:b/>
          <w:bCs/>
        </w:rPr>
        <w:t>.</w:t>
      </w:r>
      <w:r w:rsidR="00793DE9" w:rsidRPr="009320B8">
        <w:rPr>
          <w:b/>
          <w:bCs/>
        </w:rPr>
        <w:t xml:space="preserve"> 1</w:t>
      </w:r>
      <w:r w:rsidR="00793DE9">
        <w:rPr>
          <w:b/>
          <w:bCs/>
        </w:rPr>
        <w:t xml:space="preserve"> </w:t>
      </w:r>
      <w:r w:rsidR="00793DE9">
        <w:t>Unified flow interpretation.</w:t>
      </w:r>
      <w:r w:rsidR="007D3F04">
        <w:t xml:space="preserve"> Face-to-face support uses receiver normal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7D3F04">
        <w:t xml:space="preserve">, while direct build-plate support is represented by a virtual receiver with normal </w:t>
      </w:r>
      <m:oMath>
        <m:r>
          <w:rPr>
            <w:rFonts w:ascii="Cambria Math" w:hAnsi="Cambria Math"/>
          </w:rPr>
          <m:t>n</m:t>
        </m:r>
      </m:oMath>
      <w:r w:rsidR="007D3F04">
        <w:t xml:space="preserve">; the latter gives the Rayleigh contribution </w:t>
      </w:r>
      <m:oMath>
        <m:r>
          <w:rPr>
            <w:rFonts w:ascii="Cambria Math" w:hAnsi="Cambria Math"/>
          </w:rPr>
          <m:t>B(n)</m:t>
        </m:r>
      </m:oMath>
      <w:r w:rsidR="007D3F04">
        <w:t xml:space="preserve"> in Eq. </w:t>
      </w:r>
      <w:r w:rsidR="00B55569">
        <w:t>(9)</w:t>
      </w:r>
      <w:r w:rsidR="007D3F04">
        <w:t>.</w:t>
      </w:r>
    </w:p>
    <w:p w14:paraId="5E54E38E" w14:textId="79AAA695" w:rsidR="00A455A9" w:rsidRDefault="00A455A9">
      <w:bookmarkStart w:id="8" w:name="candidate-generation-and-rescoring"/>
      <w:bookmarkEnd w:id="6"/>
      <w:bookmarkEnd w:id="7"/>
      <w:r>
        <w:br w:type="page"/>
      </w:r>
    </w:p>
    <w:p w14:paraId="16B01863" w14:textId="61FDBD52" w:rsidR="0037540E" w:rsidRDefault="007D3F04" w:rsidP="000A257C">
      <w:pPr>
        <w:pStyle w:val="2"/>
        <w:numPr>
          <w:ilvl w:val="1"/>
          <w:numId w:val="5"/>
        </w:numPr>
      </w:pPr>
      <w:r>
        <w:lastRenderedPageBreak/>
        <w:t>Candidate Generation and Rescoring</w:t>
      </w:r>
    </w:p>
    <w:p w14:paraId="16B01864" w14:textId="77777777" w:rsidR="0037540E" w:rsidRDefault="007D3F04">
      <w:pPr>
        <w:pStyle w:val="FirstParagraph"/>
        <w:ind w:firstLine="240"/>
      </w:pPr>
      <w:r>
        <w:t>The deployed score is</w:t>
      </w:r>
    </w:p>
    <w:p w14:paraId="16B01865" w14:textId="77777777" w:rsidR="0037540E" w:rsidRDefault="007D3F04">
      <w:pPr>
        <w:pStyle w:val="a0"/>
        <w:ind w:firstLine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)∈R(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F3EB7A4" w14:textId="0C0965D7" w:rsidR="00BB3B02" w:rsidRPr="00F373C7" w:rsidRDefault="007D3F04" w:rsidP="00BB3B02">
      <w:pPr>
        <w:rPr>
          <w:rFonts w:ascii="Times New Roman" w:hAnsi="Times New Roman" w:cs="Times New Roman"/>
          <w:i/>
          <w:iCs/>
        </w:rPr>
      </w:pPr>
      <w:r>
        <w:t xml:space="preserve">where </w:t>
      </w:r>
      <m:oMath>
        <m:r>
          <w:rPr>
            <w:rFonts w:ascii="Cambria Math" w:hAnsi="Cambria Math"/>
          </w:rPr>
          <m:t>P</m:t>
        </m:r>
      </m:oMath>
      <w:r>
        <w:t xml:space="preserve"> is the face-to-face overhang amount after the height attenuation in</w:t>
      </w:r>
      <w:r w:rsidR="0035500F">
        <w:t xml:space="preserve"> </w:t>
      </w:r>
      <w:r w:rsidR="0035500F" w:rsidRPr="00F373C7">
        <w:rPr>
          <w:rFonts w:ascii="Times New Roman" w:hAnsi="Times New Roman" w:cs="Times New Roman"/>
          <w:i/>
          <w:iCs/>
        </w:rPr>
        <w:t>w</w:t>
      </w:r>
      <w:r w:rsidR="0035500F">
        <w:rPr>
          <w:rFonts w:ascii="Times New Roman" w:hAnsi="Times New Roman" w:cs="Times New Roman"/>
          <w:i/>
          <w:iCs/>
          <w:vertAlign w:val="subscript"/>
        </w:rPr>
        <w:t>ij</w:t>
      </w:r>
      <w:r w:rsidR="00DE2EDA">
        <w:rPr>
          <w:rFonts w:ascii="Times New Roman" w:hAnsi="Times New Roman" w:cs="Times New Roman"/>
          <w:i/>
          <w:iCs/>
          <w:vertAlign w:val="subscript"/>
        </w:rPr>
        <w:t xml:space="preserve"> </w:t>
      </w:r>
      <w:r>
        <w:t xml:space="preserve">cancels. </w:t>
      </w:r>
      <w:r w:rsidR="00AA3C7A" w:rsidRPr="00FF3F04">
        <w:t>A 512-direction Fibonacci-sphere sample was first evaluated,</w:t>
      </w:r>
      <w:r w:rsidR="00AA3C7A">
        <w:t xml:space="preserve"> </w:t>
      </w:r>
      <w:r w:rsidR="00AA3C7A" w:rsidRPr="00FF3F04">
        <w:t>and  the best directions</w:t>
      </w:r>
      <w:r w:rsidR="00AA3C7A">
        <w:t xml:space="preserve"> </w:t>
      </w:r>
      <w:r w:rsidR="00AA3C7A" w:rsidRPr="00FF3F04">
        <w:t>were locally</w:t>
      </w:r>
      <w:r w:rsidR="00AA3C7A">
        <w:t xml:space="preserve"> </w:t>
      </w:r>
      <w:r w:rsidR="00AA3C7A" w:rsidRPr="00FF3F04">
        <w:t>resampled</w:t>
      </w:r>
      <w:r w:rsidR="00AA3C7A">
        <w:t xml:space="preserve"> to </w:t>
      </w:r>
      <w:r w:rsidR="00AA3C7A" w:rsidRPr="00FF3F04">
        <w:t>2°</w:t>
      </w:r>
      <w:r w:rsidR="00AA3C7A" w:rsidRPr="0090562A">
        <w:rPr>
          <w:rFonts w:hint="eastAsia"/>
        </w:rPr>
        <w:t>∼</w:t>
      </w:r>
      <w:r w:rsidR="00AA3C7A">
        <w:t>8</w:t>
      </w:r>
      <w:r w:rsidR="00AA3C7A" w:rsidRPr="00FF3F04">
        <w:t>° cones, and angul</w:t>
      </w:r>
      <w:r w:rsidR="00AA3C7A">
        <w:t>ar non-maximu</w:t>
      </w:r>
      <w:r w:rsidR="00AA3C7A" w:rsidRPr="00FF3F04">
        <w:t>m suppressi</w:t>
      </w:r>
      <w:r w:rsidR="00AA3C7A">
        <w:t xml:space="preserve">on kept the  separated </w:t>
      </w:r>
      <w:r w:rsidR="00AA3C7A" w:rsidRPr="00FF3F04">
        <w:t>candidates.</w:t>
      </w:r>
      <w:r>
        <w:t xml:space="preserve"> To avoid treating dimensionally different quantities as directly commensurate, the final candidate order uses rank-normalized features</w:t>
      </w:r>
      <w:r>
        <w:rPr>
          <w:rStyle w:val="ab"/>
        </w:rPr>
        <w:footnoteReference w:id="1"/>
      </w:r>
      <w:r w:rsidR="00D9021B">
        <w:t xml:space="preserve"> </w:t>
      </w:r>
      <w:r w:rsidR="00D9021B" w:rsidRPr="00C30754">
        <w:rPr>
          <w:rFonts w:ascii="Times New Roman" w:hAnsi="Times New Roman" w:cs="Times New Roman"/>
          <w:i/>
          <w:iCs/>
        </w:rPr>
        <w:t>[J,R,P,B,H,S,σ</w:t>
      </w:r>
      <w:r w:rsidR="00D9021B" w:rsidRPr="00C30754">
        <w:rPr>
          <w:rFonts w:ascii="Times New Roman" w:hAnsi="Times New Roman" w:cs="Times New Roman"/>
          <w:i/>
          <w:iCs/>
          <w:vertAlign w:val="subscript"/>
        </w:rPr>
        <w:t>1</w:t>
      </w:r>
      <w:r w:rsidR="00D9021B" w:rsidRPr="00C30754">
        <w:rPr>
          <w:rFonts w:ascii="Times New Roman" w:hAnsi="Times New Roman" w:cs="Times New Roman"/>
          <w:i/>
          <w:iCs/>
        </w:rPr>
        <w:t>]</w:t>
      </w:r>
      <w:r>
        <w:t xml:space="preserve">, following the standard rank-transformation idea for scale-robust empirical modeling [17]. </w:t>
      </w:r>
      <w:r w:rsidR="00D27AF7">
        <w:t xml:space="preserve">Here, </w:t>
      </w:r>
      <w:r w:rsidR="00D27AF7" w:rsidRPr="006C4F57">
        <w:rPr>
          <w:i/>
          <w:iCs/>
        </w:rPr>
        <w:t>H</w:t>
      </w:r>
      <w:r w:rsidR="00D27AF7">
        <w:t xml:space="preserve"> is the valid-hit count, and</w:t>
      </w:r>
      <w:r w:rsidR="00D27AF7" w:rsidRPr="00B77E0D">
        <w:rPr>
          <w:rFonts w:ascii="Times New Roman" w:hAnsi="Times New Roman" w:cs="Times New Roman"/>
          <w:i/>
          <w:iCs/>
        </w:rPr>
        <w:t xml:space="preserve"> </w:t>
      </w:r>
      <w:r w:rsidR="00D27AF7" w:rsidRPr="00C30754">
        <w:rPr>
          <w:rFonts w:ascii="Times New Roman" w:hAnsi="Times New Roman" w:cs="Times New Roman"/>
          <w:i/>
          <w:iCs/>
        </w:rPr>
        <w:t>S and σ</w:t>
      </w:r>
      <w:r w:rsidR="00D27AF7" w:rsidRPr="00C30754">
        <w:rPr>
          <w:rFonts w:ascii="Times New Roman" w:hAnsi="Times New Roman" w:cs="Times New Roman"/>
          <w:i/>
          <w:iCs/>
          <w:vertAlign w:val="subscript"/>
        </w:rPr>
        <w:t>1</w:t>
      </w:r>
      <w:r w:rsidR="00D27AF7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D27AF7">
        <w:t>are singular-value features retained only for post-processing.</w:t>
      </w:r>
      <w:r>
        <w:t xml:space="preserve"> The reported calibration uses weights</w:t>
      </w:r>
      <w:r w:rsidR="00BB3B02">
        <w:t xml:space="preserve"> </w:t>
      </w:r>
      <w:r w:rsidR="00BB3B02" w:rsidRPr="00F373C7">
        <w:rPr>
          <w:rFonts w:ascii="Times New Roman" w:hAnsi="Times New Roman" w:cs="Times New Roman"/>
          <w:i/>
          <w:iCs/>
        </w:rPr>
        <w:t>(w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J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R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P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B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H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S</w:t>
      </w:r>
      <w:r w:rsidR="00BB3B02" w:rsidRPr="00F373C7">
        <w:rPr>
          <w:rFonts w:ascii="Times New Roman" w:hAnsi="Times New Roman" w:cs="Times New Roman"/>
          <w:i/>
          <w:iCs/>
        </w:rPr>
        <w:t>,w</w:t>
      </w:r>
      <w:r w:rsidR="00BB3B02" w:rsidRPr="00F373C7">
        <w:rPr>
          <w:rFonts w:ascii="Times New Roman" w:hAnsi="Times New Roman" w:cs="Times New Roman"/>
          <w:i/>
          <w:iCs/>
          <w:vertAlign w:val="subscript"/>
        </w:rPr>
        <w:t>1</w:t>
      </w:r>
      <w:r w:rsidR="00BB3B02" w:rsidRPr="00F373C7">
        <w:rPr>
          <w:rFonts w:ascii="Times New Roman" w:hAnsi="Times New Roman" w:cs="Times New Roman"/>
          <w:i/>
          <w:iCs/>
        </w:rPr>
        <w:t>)=(0,0.731,-2.3897,2.1447,2.3109,-2.2922,1.6363)</w:t>
      </w:r>
    </w:p>
    <w:p w14:paraId="16B01866" w14:textId="2CCF1AD1" w:rsidR="0037540E" w:rsidRDefault="00D8367E">
      <w:pPr>
        <w:pStyle w:val="FirstParagraph"/>
        <w:ind w:firstLine="240"/>
      </w:pPr>
      <w:r>
        <w:t>Cross-validation reports the expected loss when these weights are not fitted to a sample.</w:t>
      </w:r>
      <w:r w:rsidR="007D3F04">
        <w:t xml:space="preserve"> </w:t>
      </w:r>
      <w:r w:rsidR="007E2F31">
        <w:t xml:space="preserve">Implementation optimizations, including first-hit fallback and per-mesh cached geometry, reduced a 1k-direction evaluation of </w:t>
      </w:r>
      <w:r w:rsidR="007E2F31">
        <w:rPr>
          <w:i/>
          <w:iCs/>
        </w:rPr>
        <w:t>Bunny 69k</w:t>
      </w:r>
      <w:r w:rsidR="007E2F31">
        <w:t xml:space="preserve"> from approximately 15.7s to 1.5s without changing the selected </w:t>
      </w:r>
      <w:r w:rsidR="006145D2">
        <w:t>directions</w:t>
      </w:r>
      <w:r w:rsidR="007E2F31">
        <w:t>.</w:t>
      </w:r>
    </w:p>
    <w:p w14:paraId="16B01867" w14:textId="77777777" w:rsidR="0037540E" w:rsidRDefault="007D3F04" w:rsidP="005202B0">
      <w:pPr>
        <w:pStyle w:val="1"/>
        <w:numPr>
          <w:ilvl w:val="0"/>
          <w:numId w:val="5"/>
        </w:numPr>
      </w:pPr>
      <w:bookmarkStart w:id="9" w:name="evaluation-protocol-and-datasets"/>
      <w:bookmarkEnd w:id="3"/>
      <w:bookmarkEnd w:id="8"/>
      <w:r>
        <w:t>Evaluation Protocol and Datasets</w:t>
      </w:r>
    </w:p>
    <w:p w14:paraId="16B01868" w14:textId="77777777" w:rsidR="0037540E" w:rsidRDefault="007D3F04" w:rsidP="00C47B8E">
      <w:pPr>
        <w:pStyle w:val="2"/>
        <w:numPr>
          <w:ilvl w:val="1"/>
          <w:numId w:val="5"/>
        </w:numPr>
      </w:pPr>
      <w:bookmarkStart w:id="10" w:name="sec:datasets"/>
      <w:r>
        <w:t>Datasets and Experimental Environment</w:t>
      </w:r>
    </w:p>
    <w:p w14:paraId="16B01869" w14:textId="2B2E0AA0" w:rsidR="0037540E" w:rsidRDefault="00C37285">
      <w:pPr>
        <w:pStyle w:val="FirstParagraph"/>
        <w:ind w:firstLine="240"/>
      </w:pPr>
      <w:r>
        <w:t xml:space="preserve">The dataset consists of five groups that deliberately separate and control the two axes of </w:t>
      </w:r>
      <w:r>
        <w:rPr>
          <w:i/>
          <w:iCs/>
        </w:rPr>
        <w:t>shape difficulty</w:t>
      </w:r>
      <w:r>
        <w:t xml:space="preserve"> and </w:t>
      </w:r>
      <w:r>
        <w:rPr>
          <w:i/>
          <w:iCs/>
        </w:rPr>
        <w:t>the mesh scale</w:t>
      </w:r>
      <w:r>
        <w:t>.</w:t>
      </w:r>
      <w:r w:rsidR="007D3F04">
        <w:t xml:space="preserve"> </w:t>
      </w:r>
      <w:r w:rsidR="00D8367E">
        <w:t>A–C set the scale in the 10</w:t>
      </w:r>
      <w:r w:rsidR="00D8367E" w:rsidRPr="00D05B17">
        <w:rPr>
          <w:vertAlign w:val="superscript"/>
        </w:rPr>
        <w:t>1</w:t>
      </w:r>
      <w:r w:rsidR="00D8367E" w:rsidRPr="0090562A">
        <w:rPr>
          <w:rFonts w:hint="eastAsia"/>
        </w:rPr>
        <w:t>–</w:t>
      </w:r>
      <w:r w:rsidR="00D8367E">
        <w:t>10</w:t>
      </w:r>
      <w:r w:rsidR="00D8367E" w:rsidRPr="00D05B17">
        <w:rPr>
          <w:vertAlign w:val="superscript"/>
        </w:rPr>
        <w:t>5</w:t>
      </w:r>
      <w:r w:rsidR="00D8367E">
        <w:t xml:space="preserve">-face range and varied the difficulty axis from basic shapes to freeform organic shapes, revealing the </w:t>
      </w:r>
      <w:r w:rsidR="00D8367E">
        <w:rPr>
          <w:i/>
          <w:iCs/>
        </w:rPr>
        <w:t>fixed-cost floor</w:t>
      </w:r>
      <w:r w:rsidR="00D8367E">
        <w:t xml:space="preserve"> of the exhaustive sweep (a cost almost independent of the mesh complexity).</w:t>
      </w:r>
      <w:r w:rsidR="007D3F04">
        <w:t xml:space="preserve"> </w:t>
      </w:r>
      <w:r w:rsidR="00633D1E" w:rsidRPr="00F46E93">
        <w:t>D an</w:t>
      </w:r>
      <w:r w:rsidR="00633D1E">
        <w:t xml:space="preserve">d E </w:t>
      </w:r>
      <w:r w:rsidR="00633D1E" w:rsidRPr="00F46E93">
        <w:t>fixed the difficulty as real manufacturing parts while pushing the scale axis from 256 faces to 1.04×10</w:t>
      </w:r>
      <w:r w:rsidR="00633D1E" w:rsidRPr="00F32425">
        <w:rPr>
          <w:vertAlign w:val="superscript"/>
        </w:rPr>
        <w:t>-6</w:t>
      </w:r>
      <w:r w:rsidR="00633D1E" w:rsidRPr="00F46E93">
        <w:t xml:space="preserve"> </w:t>
      </w:r>
      <w:r w:rsidR="00F32425">
        <w:t xml:space="preserve"> </w:t>
      </w:r>
      <w:r w:rsidR="00633D1E" w:rsidRPr="00F46E93">
        <w:t>faces, revealing the adaptive cost by which the</w:t>
      </w:r>
      <w:r w:rsidR="00633D1E">
        <w:t xml:space="preserve"> </w:t>
      </w:r>
      <w:r w:rsidR="00633D1E" w:rsidRPr="00F46E93">
        <w:t>candidate evaluation cost increases with mesh complexity.</w:t>
      </w:r>
      <w:r w:rsidR="007D3F04">
        <w:t xml:space="preserve"> </w:t>
      </w:r>
      <w:r w:rsidR="00633D1E">
        <w:t>Therefore, A–E is not a single-size ramp, and the partial overlap of the face-count ranges of groups C and D is the result of a design that separates and controls the two axes, not an ordering error.</w:t>
      </w:r>
    </w:p>
    <w:p w14:paraId="16B0186A" w14:textId="4F48589D" w:rsidR="0037540E" w:rsidRDefault="00D8367E">
      <w:pPr>
        <w:numPr>
          <w:ilvl w:val="0"/>
          <w:numId w:val="2"/>
        </w:numPr>
      </w:pPr>
      <w:r>
        <w:rPr>
          <w:b/>
          <w:bCs/>
        </w:rPr>
        <w:lastRenderedPageBreak/>
        <w:t>A (basic shapes, 5; lower difficulty)</w:t>
      </w:r>
      <w:r>
        <w:t>: cube, sphere, cylinder, cone, and torus (face count 10</w:t>
      </w:r>
      <w:r w:rsidRPr="00F0426E">
        <w:rPr>
          <w:vertAlign w:val="superscript"/>
        </w:rPr>
        <w:t>1</w:t>
      </w:r>
      <w:r w:rsidRPr="0090562A">
        <w:rPr>
          <w:rFonts w:hint="eastAsia"/>
        </w:rPr>
        <w:t>–</w:t>
      </w:r>
      <w:r>
        <w:rPr>
          <w:rFonts w:hint="eastAsia"/>
          <w:lang w:eastAsia="ko-KR"/>
        </w:rPr>
        <w:t>1</w:t>
      </w:r>
      <w:r>
        <w:rPr>
          <w:lang w:eastAsia="ko-KR"/>
        </w:rPr>
        <w:t>0</w:t>
      </w:r>
      <w:r w:rsidRPr="00F0426E">
        <w:rPr>
          <w:vertAlign w:val="superscript"/>
          <w:lang w:eastAsia="ko-KR"/>
        </w:rPr>
        <w:t>3</w:t>
      </w:r>
      <w:r>
        <w:t>).</w:t>
      </w:r>
    </w:p>
    <w:p w14:paraId="16B0186B" w14:textId="5A5E70CD" w:rsidR="0037540E" w:rsidRDefault="00633D1E">
      <w:pPr>
        <w:numPr>
          <w:ilvl w:val="0"/>
          <w:numId w:val="2"/>
        </w:numPr>
      </w:pPr>
      <w:r>
        <w:rPr>
          <w:b/>
          <w:bCs/>
        </w:rPr>
        <w:t>B (simple functional parts, 5; mid difficulty)</w:t>
      </w:r>
      <w:r>
        <w:t>: u_bracket, hook, c_clamp, pipe_elbow, and hollow_box.</w:t>
      </w:r>
    </w:p>
    <w:p w14:paraId="16B0186C" w14:textId="5A35BF5F" w:rsidR="0037540E" w:rsidRDefault="00633D1E">
      <w:pPr>
        <w:numPr>
          <w:ilvl w:val="0"/>
          <w:numId w:val="2"/>
        </w:numPr>
      </w:pPr>
      <w:r>
        <w:rPr>
          <w:b/>
          <w:bCs/>
        </w:rPr>
        <w:t>C (organic/freeform benchmarks, 5; upper difficulty)</w:t>
      </w:r>
      <w:r>
        <w:t xml:space="preserve">: standard scan/sculpture meshes, such as </w:t>
      </w:r>
      <w:r>
        <w:rPr>
          <w:i/>
          <w:iCs/>
        </w:rPr>
        <w:t>Bunny 69k</w:t>
      </w:r>
      <w:r>
        <w:t xml:space="preserve">, </w:t>
      </w:r>
      <w:r>
        <w:rPr>
          <w:i/>
          <w:iCs/>
        </w:rPr>
        <w:t>Manikin 13k</w:t>
      </w:r>
      <w:r>
        <w:t xml:space="preserve">, </w:t>
      </w:r>
      <w:r>
        <w:rPr>
          <w:i/>
          <w:iCs/>
        </w:rPr>
        <w:t>Dragon 100k</w:t>
      </w:r>
      <w:r>
        <w:t xml:space="preserve">, </w:t>
      </w:r>
      <w:r>
        <w:rPr>
          <w:i/>
          <w:iCs/>
        </w:rPr>
        <w:t>Happy 50k</w:t>
      </w:r>
      <w:r>
        <w:t xml:space="preserve">, and </w:t>
      </w:r>
      <w:r>
        <w:rPr>
          <w:i/>
          <w:iCs/>
        </w:rPr>
        <w:t>Lucy 50k</w:t>
      </w:r>
      <w:r>
        <w:t>.</w:t>
      </w:r>
      <w:r w:rsidR="007D3F04">
        <w:t xml:space="preserve"> </w:t>
      </w:r>
      <w:r w:rsidR="00A65CA6">
        <w:t xml:space="preserve">The Stanford grid meshes used in Section </w:t>
      </w:r>
      <w:hyperlink w:anchor="_Feature_Contribution_and" w:history="1">
        <w:r w:rsidR="00A65CA6" w:rsidRPr="00CF1DBD">
          <w:rPr>
            <w:rStyle w:val="ac"/>
          </w:rPr>
          <w:t>4.3</w:t>
        </w:r>
      </w:hyperlink>
      <w:r w:rsidR="00A65CA6">
        <w:t xml:space="preserve"> are exactly this group.</w:t>
      </w:r>
    </w:p>
    <w:p w14:paraId="16B0186D" w14:textId="255CBF9B" w:rsidR="0037540E" w:rsidRDefault="005341EE">
      <w:pPr>
        <w:numPr>
          <w:ilvl w:val="0"/>
          <w:numId w:val="2"/>
        </w:numPr>
      </w:pPr>
      <w:r>
        <w:rPr>
          <w:b/>
          <w:bCs/>
        </w:rPr>
        <w:t>D (Thingi10K set 1, 10; lower scale)</w:t>
      </w:r>
      <w:r>
        <w:t>: real manufacturing parts with 256</w:t>
      </w:r>
      <w:r w:rsidRPr="0090562A">
        <w:rPr>
          <w:rFonts w:hint="eastAsia"/>
        </w:rPr>
        <w:t>–</w:t>
      </w:r>
      <w:r>
        <w:rPr>
          <w:rFonts w:hint="eastAsia"/>
          <w:lang w:eastAsia="ko-KR"/>
        </w:rPr>
        <w:t>8</w:t>
      </w:r>
      <w:r>
        <w:rPr>
          <w:lang w:eastAsia="ko-KR"/>
        </w:rPr>
        <w:t xml:space="preserve">8,106 </w:t>
      </w:r>
      <w:r>
        <w:t>faces [18].</w:t>
      </w:r>
    </w:p>
    <w:p w14:paraId="16B0186E" w14:textId="30899503" w:rsidR="0037540E" w:rsidRDefault="005341EE">
      <w:pPr>
        <w:numPr>
          <w:ilvl w:val="0"/>
          <w:numId w:val="2"/>
        </w:numPr>
      </w:pPr>
      <w:r>
        <w:rPr>
          <w:b/>
          <w:bCs/>
        </w:rPr>
        <w:t>E (Thingi10K set 2, 10; upper scale)</w:t>
      </w:r>
      <w:r>
        <w:t>: large high-resolution meshes with approximately 5.1 × 10</w:t>
      </w:r>
      <w:r w:rsidRPr="00016290">
        <w:rPr>
          <w:vertAlign w:val="superscript"/>
        </w:rPr>
        <w:t>5</w:t>
      </w:r>
      <w:r>
        <w:t>–1.04 × 10</w:t>
      </w:r>
      <w:r w:rsidRPr="00DF5CEF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>faces.</w:t>
      </w:r>
    </w:p>
    <w:p w14:paraId="16B0186F" w14:textId="2C81A1E5" w:rsidR="0037540E" w:rsidRDefault="005341EE">
      <w:pPr>
        <w:pStyle w:val="FirstParagraph"/>
        <w:ind w:firstLine="240"/>
      </w:pPr>
      <w:r>
        <w:t>All timing experiments were performed on a Windows 11 Education 64-bit workstation with an AMD Ryzen 9 9950X3D CPU (16 cores, 32 logical threads), 128 GB of RAM, and an NVIDIA GeForce RTX 5080 GPU (16 GB, driver 595.79).</w:t>
      </w:r>
      <w:r w:rsidR="007D3F04">
        <w:t xml:space="preserve"> </w:t>
      </w:r>
      <w:r w:rsidR="007C0EB7">
        <w:t>The Python implementation used Python 3.12.13 with NumPy 1.26.4, SciPy 1.17.1, Trimesh 4.4.0, Matplotlib 3.11.0, and Scikit-learn 1.9.0.</w:t>
      </w:r>
      <w:r w:rsidR="007D3F04">
        <w:t xml:space="preserve"> </w:t>
      </w:r>
      <w:r w:rsidR="00A65CA6">
        <w:rPr>
          <w:i/>
          <w:iCs/>
        </w:rPr>
        <w:t>TOMO_CPU</w:t>
      </w:r>
      <w:r w:rsidR="00A65CA6">
        <w:t xml:space="preserve"> and </w:t>
      </w:r>
      <w:r w:rsidR="00A65CA6" w:rsidRPr="00934513">
        <w:rPr>
          <w:i/>
          <w:iCs/>
        </w:rPr>
        <w:t>TOMO_CUDA</w:t>
      </w:r>
      <w:r w:rsidR="00A65CA6">
        <w:t xml:space="preserve"> were called through Windows dynamic-link library (DLL) interfaces, and the </w:t>
      </w:r>
      <w:r w:rsidR="00A65CA6" w:rsidRPr="008454F7">
        <w:rPr>
          <w:i/>
          <w:iCs/>
        </w:rPr>
        <w:t>SFTF</w:t>
      </w:r>
      <w:r w:rsidR="00A65CA6">
        <w:t>_C++ implementation was built as a Windows x64 C++ DLL using the Visual Studio 2022/MSVC toolchain with OpenMP parallelization.</w:t>
      </w:r>
    </w:p>
    <w:p w14:paraId="16B01870" w14:textId="2234458B" w:rsidR="0037540E" w:rsidRDefault="007D3F04" w:rsidP="00D26884">
      <w:pPr>
        <w:pStyle w:val="2"/>
        <w:numPr>
          <w:ilvl w:val="1"/>
          <w:numId w:val="5"/>
        </w:numPr>
      </w:pPr>
      <w:bookmarkStart w:id="11" w:name="sec:protocol"/>
      <w:bookmarkEnd w:id="10"/>
      <w:r>
        <w:t>Comparison Targets and Evaluation Protocol</w:t>
      </w:r>
    </w:p>
    <w:p w14:paraId="16B01871" w14:textId="4E206E96" w:rsidR="0037540E" w:rsidRDefault="00D8367E">
      <w:pPr>
        <w:pStyle w:val="FirstParagraph"/>
        <w:ind w:firstLine="240"/>
      </w:pPr>
      <w:r>
        <w:t xml:space="preserve">First, we define the comparison targets and evaluation procedure used in the quantitative analyses </w:t>
      </w:r>
      <w:r w:rsidR="004118C8">
        <w:t>up</w:t>
      </w:r>
      <w:r w:rsidR="003359C9">
        <w:t xml:space="preserve"> </w:t>
      </w:r>
      <w:r w:rsidR="004118C8">
        <w:t>to</w:t>
      </w:r>
      <w:r>
        <w:t xml:space="preserve"> Section </w:t>
      </w:r>
      <w:hyperlink w:anchor="sec:fivegroup">
        <w:r>
          <w:rPr>
            <w:rStyle w:val="ac"/>
          </w:rPr>
          <w:t>4.4</w:t>
        </w:r>
      </w:hyperlink>
      <w:r>
        <w:t>.</w:t>
      </w:r>
      <w:r w:rsidR="007D3F04">
        <w:t xml:space="preserve"> </w:t>
      </w:r>
      <w:r w:rsidR="008A160C">
        <w:t>The comparison targets were as follows:</w:t>
      </w:r>
    </w:p>
    <w:p w14:paraId="16B01872" w14:textId="77777777" w:rsidR="0037540E" w:rsidRDefault="007D3F04">
      <w:pPr>
        <w:numPr>
          <w:ilvl w:val="0"/>
          <w:numId w:val="3"/>
        </w:numPr>
      </w:pPr>
      <w:r>
        <w:t>PCA-based direction</w:t>
      </w:r>
    </w:p>
    <w:p w14:paraId="16B01873" w14:textId="77777777" w:rsidR="0037540E" w:rsidRDefault="007D3F04">
      <w:pPr>
        <w:numPr>
          <w:ilvl w:val="0"/>
          <w:numId w:val="3"/>
        </w:numPr>
      </w:pPr>
      <w:r>
        <w:t>Existing Support Tensor eigenvector direction</w:t>
      </w:r>
    </w:p>
    <w:p w14:paraId="16B01874" w14:textId="77777777" w:rsidR="0037540E" w:rsidRDefault="007D3F04">
      <w:pPr>
        <w:numPr>
          <w:ilvl w:val="0"/>
          <w:numId w:val="3"/>
        </w:numPr>
      </w:pPr>
      <w:r>
        <w:t>Initial eigenvector-based concave direction</w:t>
      </w:r>
    </w:p>
    <w:p w14:paraId="16B01875" w14:textId="77777777" w:rsidR="0037540E" w:rsidRDefault="007D3F04">
      <w:pPr>
        <w:numPr>
          <w:ilvl w:val="0"/>
          <w:numId w:val="3"/>
        </w:numPr>
      </w:pPr>
      <w:r>
        <w:t>This study’s Support Flow Tensor Field direction</w:t>
      </w:r>
    </w:p>
    <w:p w14:paraId="16B01876" w14:textId="13EACAD4" w:rsidR="0037540E" w:rsidRDefault="00BD2125">
      <w:pPr>
        <w:numPr>
          <w:ilvl w:val="0"/>
          <w:numId w:val="3"/>
        </w:numPr>
      </w:pPr>
      <w:r>
        <w:rPr>
          <w:i/>
          <w:iCs/>
        </w:rPr>
        <w:t>TOMO_CPU</w:t>
      </w:r>
      <w:r w:rsidR="007D3F04">
        <w:t xml:space="preserve"> or commercial-slicer-based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 w:rsidR="007D3F04">
        <w:t xml:space="preserve"> optimal direction</w:t>
      </w:r>
    </w:p>
    <w:p w14:paraId="16B01877" w14:textId="26DE2CE0" w:rsidR="0037540E" w:rsidRDefault="005341EE">
      <w:pPr>
        <w:pStyle w:val="FirstParagraph"/>
        <w:ind w:firstLine="240"/>
      </w:pPr>
      <w:r>
        <w:t>For each mesh, we generated a</w:t>
      </w:r>
      <w:r w:rsidR="005170F3">
        <w:t xml:space="preserve"> support structure volume(</w:t>
      </w:r>
      <w:r w:rsidR="00AB540E" w:rsidRPr="00AB540E">
        <w:rPr>
          <w:i/>
          <w:iCs/>
        </w:rPr>
        <w:t>v</w:t>
      </w:r>
      <w:r w:rsidR="00AB540E" w:rsidRPr="00AB540E">
        <w:rPr>
          <w:i/>
          <w:iCs/>
          <w:vertAlign w:val="subscript"/>
        </w:rPr>
        <w:t>ss</w:t>
      </w:r>
      <w:r w:rsidR="005170F3">
        <w:t xml:space="preserve">) </w:t>
      </w:r>
      <w:r>
        <w:t>contour at 1</w:t>
      </w:r>
      <w:r w:rsidRPr="0073347A">
        <w:rPr>
          <w:rFonts w:hint="eastAsia"/>
        </w:rPr>
        <w:t>°</w:t>
      </w:r>
      <w:r>
        <w:t xml:space="preserve"> intervals under a critical angle of 60</w:t>
      </w:r>
      <w:r w:rsidRPr="0073347A">
        <w:rPr>
          <w:rFonts w:hint="eastAsia"/>
        </w:rPr>
        <w:t>°</w:t>
      </w:r>
      <w:r>
        <w:t xml:space="preserve"> and evaluated how close the </w:t>
      </w:r>
      <w:r w:rsidR="00AB540E" w:rsidRPr="00AB540E">
        <w:rPr>
          <w:i/>
          <w:iCs/>
        </w:rPr>
        <w:t>v</w:t>
      </w:r>
      <w:r w:rsidR="00AB540E" w:rsidRPr="00AB540E">
        <w:rPr>
          <w:i/>
          <w:iCs/>
          <w:vertAlign w:val="subscript"/>
        </w:rPr>
        <w:t>ss</w:t>
      </w:r>
      <w:r w:rsidR="00AB540E">
        <w:t xml:space="preserve"> </w:t>
      </w:r>
      <w:r>
        <w:t>value at the top candidate directions of our method was to the global optimum.</w:t>
      </w:r>
      <w:r w:rsidR="007D3F04">
        <w:t xml:space="preserve"> </w:t>
      </w:r>
      <w:r>
        <w:t xml:space="preserve">Even if the direction coordinates do not match exactly, if the </w:t>
      </w:r>
      <w:r w:rsidR="008F607D" w:rsidRPr="00AB540E">
        <w:rPr>
          <w:i/>
          <w:iCs/>
        </w:rPr>
        <w:t>v</w:t>
      </w:r>
      <w:r w:rsidR="008F607D" w:rsidRPr="00AB540E">
        <w:rPr>
          <w:i/>
          <w:iCs/>
          <w:vertAlign w:val="subscript"/>
        </w:rPr>
        <w:t>ss</w:t>
      </w:r>
      <w:r w:rsidR="008F607D">
        <w:t xml:space="preserve"> </w:t>
      </w:r>
      <w:r>
        <w:t>values are similar, we regard them as optimal orientations of the same level.</w:t>
      </w:r>
      <w:r w:rsidR="007D3F04">
        <w:t xml:space="preserve"> Also, considering the case where the global optimum appears scattered across multiple basins, we </w:t>
      </w:r>
      <w:r w:rsidR="007D3F04">
        <w:lastRenderedPageBreak/>
        <w:t>compare angularly separated top-</w:t>
      </w:r>
      <m:oMath>
        <m:r>
          <w:rPr>
            <w:rFonts w:ascii="Cambria Math" w:hAnsi="Cambria Math"/>
          </w:rPr>
          <m:t>k</m:t>
        </m:r>
      </m:oMath>
      <w:r w:rsidR="007D3F04">
        <w:t xml:space="preserve"> basin representatives rather than simple top-</w:t>
      </w:r>
      <m:oMath>
        <m:r>
          <w:rPr>
            <w:rFonts w:ascii="Cambria Math" w:hAnsi="Cambria Math"/>
          </w:rPr>
          <m:t>k</m:t>
        </m:r>
      </m:oMath>
      <w:r w:rsidR="007D3F04">
        <w:t xml:space="preserve"> grid points. </w:t>
      </w:r>
      <w:r w:rsidR="0063445A">
        <w:t xml:space="preserve">The candidate basins proposed by the </w:t>
      </w:r>
      <w:r w:rsidR="007C3148" w:rsidRPr="008454F7">
        <w:rPr>
          <w:i/>
          <w:iCs/>
        </w:rPr>
        <w:t>SFTF</w:t>
      </w:r>
      <w:r w:rsidR="007C3148">
        <w:t xml:space="preserve"> </w:t>
      </w:r>
      <w:r w:rsidR="0063445A">
        <w:t xml:space="preserve">were re-input to </w:t>
      </w:r>
      <w:r w:rsidR="00BD2125">
        <w:rPr>
          <w:i/>
          <w:iCs/>
        </w:rPr>
        <w:t>TOMO_CPU</w:t>
      </w:r>
      <w:r w:rsidR="0063445A">
        <w:t xml:space="preserve"> to directly measure the support structure mass (</w:t>
      </w:r>
      <w:r w:rsidR="008F607D">
        <w:rPr>
          <w:i/>
          <w:iCs/>
        </w:rPr>
        <w:t>M</w:t>
      </w:r>
      <w:r w:rsidR="008F607D" w:rsidRPr="00AB540E">
        <w:rPr>
          <w:i/>
          <w:iCs/>
          <w:vertAlign w:val="subscript"/>
        </w:rPr>
        <w:t>ss</w:t>
      </w:r>
      <w:r w:rsidR="0063445A">
        <w:t>), and based on that measured value, we marked the measured optimal and worst basins.</w:t>
      </w:r>
      <w:r w:rsidR="007D3F04">
        <w:t xml:space="preserve"> </w:t>
      </w:r>
      <w:r w:rsidR="001D4270">
        <w:t>Unless otherwise stated, the five-mesh accuracy results use the stored 1</w:t>
      </w:r>
      <w:r w:rsidR="001D4270" w:rsidRPr="00794D77">
        <w:rPr>
          <w:rFonts w:hint="eastAsia"/>
        </w:rPr>
        <w:t>°</w:t>
      </w:r>
      <w:r w:rsidR="001D4270">
        <w:rPr>
          <w:rFonts w:hint="eastAsia"/>
          <w:lang w:eastAsia="ko-KR"/>
        </w:rPr>
        <w:t xml:space="preserve"> </w:t>
      </w:r>
      <w:r w:rsidR="00BD2125">
        <w:rPr>
          <w:i/>
          <w:iCs/>
        </w:rPr>
        <w:t>TOMO_CPU</w:t>
      </w:r>
      <w:r w:rsidR="001D4270">
        <w:t xml:space="preserve"> grids; the A–E audit uses a coarser 3</w:t>
      </w:r>
      <w:r w:rsidR="001D4270" w:rsidRPr="00100DAB">
        <w:rPr>
          <w:rFonts w:hint="eastAsia"/>
        </w:rPr>
        <w:t>°</w:t>
      </w:r>
      <w:r w:rsidR="001D4270">
        <w:rPr>
          <w:rFonts w:hint="eastAsia"/>
          <w:lang w:eastAsia="ko-KR"/>
        </w:rPr>
        <w:t xml:space="preserve"> </w:t>
      </w:r>
      <w:r w:rsidR="001D4270">
        <w:t>grid only for scalability and held-out implementation checks; therefore, its ratios are not mixed with the 1</w:t>
      </w:r>
      <w:r w:rsidR="001D4270" w:rsidRPr="00100DAB">
        <w:rPr>
          <w:rFonts w:hint="eastAsia"/>
        </w:rPr>
        <w:t>°</w:t>
      </w:r>
      <w:r w:rsidR="001D4270">
        <w:rPr>
          <w:rFonts w:hint="eastAsia"/>
          <w:lang w:eastAsia="ko-KR"/>
        </w:rPr>
        <w:t xml:space="preserve"> </w:t>
      </w:r>
      <w:r w:rsidR="001D4270">
        <w:t>headline accuracy claims.</w:t>
      </w:r>
    </w:p>
    <w:p w14:paraId="16B01878" w14:textId="77777777" w:rsidR="0037540E" w:rsidRDefault="007D3F04" w:rsidP="008468FB">
      <w:pPr>
        <w:pStyle w:val="1"/>
        <w:numPr>
          <w:ilvl w:val="0"/>
          <w:numId w:val="5"/>
        </w:numPr>
      </w:pPr>
      <w:bookmarkStart w:id="12" w:name="results-and-discussion"/>
      <w:bookmarkEnd w:id="9"/>
      <w:bookmarkEnd w:id="11"/>
      <w:r>
        <w:t>Results and Discussion</w:t>
      </w:r>
    </w:p>
    <w:p w14:paraId="16B01879" w14:textId="77777777" w:rsidR="0037540E" w:rsidRDefault="007D3F04" w:rsidP="0015059B">
      <w:pPr>
        <w:pStyle w:val="2"/>
        <w:numPr>
          <w:ilvl w:val="1"/>
          <w:numId w:val="5"/>
        </w:numPr>
      </w:pPr>
      <w:bookmarkStart w:id="13" w:name="stored-tomo-grid-comparison"/>
      <w:r>
        <w:t xml:space="preserve">Stored </w:t>
      </w:r>
      <w:r w:rsidRPr="009E3088">
        <w:rPr>
          <w:i/>
          <w:iCs/>
        </w:rPr>
        <w:t>TOMO</w:t>
      </w:r>
      <w:r>
        <w:t xml:space="preserve"> Grid Comparison</w:t>
      </w:r>
    </w:p>
    <w:p w14:paraId="16B0187A" w14:textId="1E8546EC" w:rsidR="0037540E" w:rsidRDefault="00DB1A6E">
      <w:pPr>
        <w:pStyle w:val="FirstParagraph"/>
        <w:ind w:firstLine="240"/>
      </w:pPr>
      <w:r>
        <w:t xml:space="preserve">The stored </w:t>
      </w:r>
      <w:r w:rsidRPr="0005126E">
        <w:rPr>
          <w:rFonts w:ascii="Times New Roman" w:hAnsi="Times New Roman" w:cs="Times New Roman"/>
        </w:rPr>
        <w:t>1°</w:t>
      </w:r>
      <w:r w:rsidRPr="0005126E">
        <w:rPr>
          <w:rFonts w:ascii="Times New Roman" w:hAnsi="Times New Roman" w:cs="Times New Roman"/>
          <w:lang w:eastAsia="ko-KR"/>
        </w:rPr>
        <w:t xml:space="preserve">and </w:t>
      </w:r>
      <w:r w:rsidRPr="0005126E">
        <w:rPr>
          <w:rFonts w:ascii="Times New Roman" w:hAnsi="Times New Roman" w:cs="Times New Roman"/>
          <w:i/>
          <w:iCs/>
          <w:lang w:eastAsia="ko-KR"/>
        </w:rPr>
        <w:t>θ</w:t>
      </w:r>
      <w:r w:rsidRPr="0005126E">
        <w:rPr>
          <w:rFonts w:ascii="Times New Roman" w:hAnsi="Times New Roman" w:cs="Times New Roman"/>
          <w:i/>
          <w:iCs/>
          <w:vertAlign w:val="subscript"/>
          <w:lang w:eastAsia="ko-KR"/>
        </w:rPr>
        <w:t>c</w:t>
      </w:r>
      <w:r w:rsidRPr="0005126E">
        <w:rPr>
          <w:rFonts w:ascii="Times New Roman" w:hAnsi="Times New Roman" w:cs="Times New Roman"/>
          <w:lang w:eastAsia="ko-KR"/>
        </w:rPr>
        <w:t>=60</w:t>
      </w:r>
      <w:r w:rsidRPr="0005126E">
        <w:rPr>
          <w:rFonts w:ascii="Times New Roman" w:hAnsi="Times New Roman" w:cs="Times New Roman"/>
        </w:rPr>
        <w:t>°</w:t>
      </w:r>
      <w:r>
        <w:t xml:space="preserve"> </w:t>
      </w:r>
      <w:r>
        <w:rPr>
          <w:i/>
          <w:iCs/>
        </w:rPr>
        <w:t>TOMO_CPU</w:t>
      </w:r>
      <w:r>
        <w:t xml:space="preserve"> grids were used as accuracy references.</w:t>
      </w:r>
      <w:r w:rsidR="007D3F04">
        <w:t xml:space="preserve"> </w:t>
      </w:r>
      <w:r w:rsidR="007C3148" w:rsidRPr="008454F7">
        <w:rPr>
          <w:i/>
          <w:iCs/>
        </w:rPr>
        <w:t>SFTF</w:t>
      </w:r>
      <w:r w:rsidR="007C3148">
        <w:t xml:space="preserve"> </w:t>
      </w:r>
      <w:r w:rsidR="00553421">
        <w:t xml:space="preserve">candidates were mapped to the nearest signed </w:t>
      </w:r>
      <w:r w:rsidR="00553421" w:rsidRPr="005E29DF">
        <w:rPr>
          <w:i/>
          <w:iCs/>
        </w:rPr>
        <w:t>TOMO</w:t>
      </w:r>
      <w:r w:rsidR="00553421">
        <w:t xml:space="preserve"> yaw–pitch cell, and the ratios were computed against the global </w:t>
      </w:r>
      <w:r w:rsidR="00553421" w:rsidRPr="005E29DF">
        <w:rPr>
          <w:i/>
          <w:iCs/>
        </w:rPr>
        <w:t>TOMO</w:t>
      </w:r>
      <w:r w:rsidR="00553421">
        <w:t xml:space="preserve"> best value.</w:t>
      </w:r>
      <w:r w:rsidR="007D3F04">
        <w:t xml:space="preserve"> </w:t>
      </w:r>
      <w:r>
        <w:t>Table </w:t>
      </w:r>
      <w:hyperlink w:anchor="tab:sftf-tomo-comparison">
        <w:r>
          <w:rPr>
            <w:rStyle w:val="ac"/>
          </w:rPr>
          <w:t>1</w:t>
        </w:r>
      </w:hyperlink>
      <w:r>
        <w:t xml:space="preserve"> presents the calibration-set comparison; the rank-tuned values are intentionally treated as in-sample values and are evaluated again by cross-validation.</w:t>
      </w:r>
    </w:p>
    <w:p w14:paraId="16B0187B" w14:textId="652C4E3C" w:rsidR="0037540E" w:rsidRDefault="00DB1A6E">
      <w:pPr>
        <w:pStyle w:val="TableCaption"/>
      </w:pPr>
      <w:bookmarkStart w:id="14" w:name="tab:sftf-tomo-comparison"/>
      <w:r w:rsidRPr="00901C3C">
        <w:rPr>
          <w:b/>
          <w:bCs/>
          <w:i w:val="0"/>
          <w:iCs/>
        </w:rPr>
        <w:t>Table 1</w:t>
      </w:r>
      <w:r>
        <w:t xml:space="preserve"> Comparison of the stored TOMO_CPU </w:t>
      </w:r>
      <w:r w:rsidRPr="00AB540E">
        <w:rPr>
          <w:iCs/>
        </w:rPr>
        <w:t>v</w:t>
      </w:r>
      <w:r w:rsidRPr="00AB540E">
        <w:rPr>
          <w:iCs/>
          <w:vertAlign w:val="subscript"/>
        </w:rPr>
        <w:t>ss</w:t>
      </w:r>
      <w:r>
        <w:t xml:space="preserve"> grid with current SFTF candidates.</w:t>
      </w:r>
      <w:r w:rsidR="007D3F04">
        <w:t xml:space="preserve"> </w:t>
      </w:r>
      <w:r w:rsidR="00B1760A">
        <w:t xml:space="preserve">The ratio is the ratio of the </w:t>
      </w:r>
      <w:r w:rsidR="00AE0A7C" w:rsidRPr="00AB540E">
        <w:rPr>
          <w:i w:val="0"/>
          <w:iCs/>
        </w:rPr>
        <w:t>v</w:t>
      </w:r>
      <w:r w:rsidR="00AE0A7C" w:rsidRPr="00AB540E">
        <w:rPr>
          <w:i w:val="0"/>
          <w:iCs/>
          <w:vertAlign w:val="subscript"/>
        </w:rPr>
        <w:t>ss</w:t>
      </w:r>
      <w:r w:rsidR="00AE0A7C">
        <w:t xml:space="preserve"> </w:t>
      </w:r>
      <w:r w:rsidR="00B1760A">
        <w:t xml:space="preserve">of the SFTF candidate to the global optimal </w:t>
      </w:r>
      <w:r w:rsidR="00AE0A7C" w:rsidRPr="00AB540E">
        <w:rPr>
          <w:i w:val="0"/>
          <w:iCs/>
        </w:rPr>
        <w:t>v</w:t>
      </w:r>
      <w:r w:rsidR="00AE0A7C" w:rsidRPr="00AB540E">
        <w:rPr>
          <w:i w:val="0"/>
          <w:iCs/>
          <w:vertAlign w:val="subscript"/>
        </w:rPr>
        <w:t>ss</w:t>
      </w:r>
      <w:r w:rsidR="00AE0A7C">
        <w:t xml:space="preserve"> </w:t>
      </w:r>
      <w:r w:rsidR="00B1760A">
        <w:t>of TOMO.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1276"/>
        <w:gridCol w:w="1647"/>
        <w:gridCol w:w="1127"/>
        <w:gridCol w:w="1969"/>
        <w:gridCol w:w="1470"/>
      </w:tblGrid>
      <w:tr w:rsidR="0037540E" w14:paraId="16B01882" w14:textId="77777777" w:rsidTr="007D4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top w:val="single" w:sz="8" w:space="0" w:color="auto"/>
            </w:tcBorders>
          </w:tcPr>
          <w:p w14:paraId="16B0187C" w14:textId="77777777" w:rsidR="0037540E" w:rsidRPr="00C03C28" w:rsidRDefault="007D3F04" w:rsidP="00207C70">
            <w:pPr>
              <w:pStyle w:val="Compact"/>
              <w:ind w:rightChars="191" w:right="458" w:firstLine="220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Mesh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87D" w14:textId="16FD705F" w:rsidR="0037540E" w:rsidRPr="00C03C28" w:rsidRDefault="007D3F04" w:rsidP="00865A93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TOMO</w:t>
            </w:r>
            <w:r w:rsidR="00865A93">
              <w:rPr>
                <w:sz w:val="22"/>
                <w:szCs w:val="22"/>
              </w:rPr>
              <w:t xml:space="preserve"> </w:t>
            </w:r>
            <w:r w:rsidRPr="00C03C28">
              <w:rPr>
                <w:sz w:val="22"/>
                <w:szCs w:val="22"/>
              </w:rPr>
              <w:t>best</w:t>
            </w:r>
          </w:p>
        </w:tc>
        <w:tc>
          <w:tcPr>
            <w:tcW w:w="1647" w:type="dxa"/>
            <w:tcBorders>
              <w:top w:val="single" w:sz="8" w:space="0" w:color="auto"/>
            </w:tcBorders>
          </w:tcPr>
          <w:p w14:paraId="16B0187E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SFTF score1</w:t>
            </w:r>
          </w:p>
        </w:tc>
        <w:tc>
          <w:tcPr>
            <w:tcW w:w="1127" w:type="dxa"/>
            <w:tcBorders>
              <w:top w:val="single" w:sz="8" w:space="0" w:color="auto"/>
            </w:tcBorders>
          </w:tcPr>
          <w:p w14:paraId="16B0187F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Ratio</w:t>
            </w:r>
          </w:p>
        </w:tc>
        <w:tc>
          <w:tcPr>
            <w:tcW w:w="1969" w:type="dxa"/>
            <w:tcBorders>
              <w:top w:val="single" w:sz="8" w:space="0" w:color="auto"/>
            </w:tcBorders>
          </w:tcPr>
          <w:p w14:paraId="16B01880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SFTF best-of-3</w:t>
            </w:r>
          </w:p>
        </w:tc>
        <w:tc>
          <w:tcPr>
            <w:tcW w:w="1470" w:type="dxa"/>
            <w:tcBorders>
              <w:top w:val="single" w:sz="8" w:space="0" w:color="auto"/>
            </w:tcBorders>
          </w:tcPr>
          <w:p w14:paraId="16B01881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Ratio</w:t>
            </w:r>
          </w:p>
        </w:tc>
      </w:tr>
      <w:tr w:rsidR="0037540E" w14:paraId="16B01889" w14:textId="77777777" w:rsidTr="007D48E9">
        <w:tc>
          <w:tcPr>
            <w:tcW w:w="1951" w:type="dxa"/>
          </w:tcPr>
          <w:p w14:paraId="16B01883" w14:textId="77777777" w:rsidR="0037540E" w:rsidRPr="00C03C2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C03C28">
              <w:rPr>
                <w:i/>
                <w:iCs/>
                <w:sz w:val="22"/>
                <w:szCs w:val="22"/>
              </w:rPr>
              <w:t>Bunny 69k</w:t>
            </w:r>
          </w:p>
        </w:tc>
        <w:tc>
          <w:tcPr>
            <w:tcW w:w="1276" w:type="dxa"/>
          </w:tcPr>
          <w:p w14:paraId="16B01884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3201.39</w:t>
            </w:r>
          </w:p>
        </w:tc>
        <w:tc>
          <w:tcPr>
            <w:tcW w:w="1647" w:type="dxa"/>
          </w:tcPr>
          <w:p w14:paraId="16B01885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4665.85</w:t>
            </w:r>
          </w:p>
        </w:tc>
        <w:tc>
          <w:tcPr>
            <w:tcW w:w="1127" w:type="dxa"/>
          </w:tcPr>
          <w:p w14:paraId="16B01886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1.46</w:t>
            </w:r>
          </w:p>
        </w:tc>
        <w:tc>
          <w:tcPr>
            <w:tcW w:w="1969" w:type="dxa"/>
          </w:tcPr>
          <w:p w14:paraId="16B01887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4665.85</w:t>
            </w:r>
          </w:p>
        </w:tc>
        <w:tc>
          <w:tcPr>
            <w:tcW w:w="1470" w:type="dxa"/>
          </w:tcPr>
          <w:p w14:paraId="16B01888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1.46</w:t>
            </w:r>
          </w:p>
        </w:tc>
      </w:tr>
      <w:tr w:rsidR="0037540E" w14:paraId="16B01890" w14:textId="77777777" w:rsidTr="007D48E9">
        <w:tc>
          <w:tcPr>
            <w:tcW w:w="1951" w:type="dxa"/>
          </w:tcPr>
          <w:p w14:paraId="16B0188A" w14:textId="77777777" w:rsidR="0037540E" w:rsidRPr="00C03C2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C03C28">
              <w:rPr>
                <w:i/>
                <w:iCs/>
                <w:sz w:val="22"/>
                <w:szCs w:val="22"/>
              </w:rPr>
              <w:t>Manikin 13k</w:t>
            </w:r>
          </w:p>
        </w:tc>
        <w:tc>
          <w:tcPr>
            <w:tcW w:w="1276" w:type="dxa"/>
          </w:tcPr>
          <w:p w14:paraId="16B0188B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4657.72</w:t>
            </w:r>
          </w:p>
        </w:tc>
        <w:tc>
          <w:tcPr>
            <w:tcW w:w="1647" w:type="dxa"/>
          </w:tcPr>
          <w:p w14:paraId="16B0188C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8675.96</w:t>
            </w:r>
          </w:p>
        </w:tc>
        <w:tc>
          <w:tcPr>
            <w:tcW w:w="1127" w:type="dxa"/>
          </w:tcPr>
          <w:p w14:paraId="16B0188D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1.86</w:t>
            </w:r>
          </w:p>
        </w:tc>
        <w:tc>
          <w:tcPr>
            <w:tcW w:w="1969" w:type="dxa"/>
          </w:tcPr>
          <w:p w14:paraId="16B0188E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8675.96</w:t>
            </w:r>
          </w:p>
        </w:tc>
        <w:tc>
          <w:tcPr>
            <w:tcW w:w="1470" w:type="dxa"/>
          </w:tcPr>
          <w:p w14:paraId="16B0188F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1.86</w:t>
            </w:r>
          </w:p>
        </w:tc>
      </w:tr>
      <w:tr w:rsidR="0037540E" w14:paraId="16B01897" w14:textId="77777777" w:rsidTr="007D48E9">
        <w:tc>
          <w:tcPr>
            <w:tcW w:w="1951" w:type="dxa"/>
          </w:tcPr>
          <w:p w14:paraId="16B01891" w14:textId="77777777" w:rsidR="0037540E" w:rsidRPr="00C03C2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C03C28">
              <w:rPr>
                <w:i/>
                <w:iCs/>
                <w:sz w:val="22"/>
                <w:szCs w:val="22"/>
              </w:rPr>
              <w:t>Dragon 100k</w:t>
            </w:r>
          </w:p>
        </w:tc>
        <w:tc>
          <w:tcPr>
            <w:tcW w:w="1276" w:type="dxa"/>
          </w:tcPr>
          <w:p w14:paraId="16B01892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24446.98</w:t>
            </w:r>
          </w:p>
        </w:tc>
        <w:tc>
          <w:tcPr>
            <w:tcW w:w="1647" w:type="dxa"/>
          </w:tcPr>
          <w:p w14:paraId="16B01893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45804.41</w:t>
            </w:r>
          </w:p>
        </w:tc>
        <w:tc>
          <w:tcPr>
            <w:tcW w:w="1127" w:type="dxa"/>
          </w:tcPr>
          <w:p w14:paraId="16B01894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1.87</w:t>
            </w:r>
          </w:p>
        </w:tc>
        <w:tc>
          <w:tcPr>
            <w:tcW w:w="1969" w:type="dxa"/>
          </w:tcPr>
          <w:p w14:paraId="16B01895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39547.57</w:t>
            </w:r>
          </w:p>
        </w:tc>
        <w:tc>
          <w:tcPr>
            <w:tcW w:w="1470" w:type="dxa"/>
          </w:tcPr>
          <w:p w14:paraId="16B01896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1.62</w:t>
            </w:r>
          </w:p>
        </w:tc>
      </w:tr>
      <w:tr w:rsidR="0037540E" w14:paraId="16B0189E" w14:textId="77777777" w:rsidTr="007D48E9">
        <w:tc>
          <w:tcPr>
            <w:tcW w:w="1951" w:type="dxa"/>
          </w:tcPr>
          <w:p w14:paraId="16B01898" w14:textId="77777777" w:rsidR="0037540E" w:rsidRPr="00C03C2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C03C28">
              <w:rPr>
                <w:i/>
                <w:iCs/>
                <w:sz w:val="22"/>
                <w:szCs w:val="22"/>
              </w:rPr>
              <w:t>Happy 50k</w:t>
            </w:r>
          </w:p>
        </w:tc>
        <w:tc>
          <w:tcPr>
            <w:tcW w:w="1276" w:type="dxa"/>
          </w:tcPr>
          <w:p w14:paraId="16B01899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2112.47</w:t>
            </w:r>
          </w:p>
        </w:tc>
        <w:tc>
          <w:tcPr>
            <w:tcW w:w="1647" w:type="dxa"/>
          </w:tcPr>
          <w:p w14:paraId="16B0189A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25467.94</w:t>
            </w:r>
          </w:p>
        </w:tc>
        <w:tc>
          <w:tcPr>
            <w:tcW w:w="1127" w:type="dxa"/>
          </w:tcPr>
          <w:p w14:paraId="16B0189B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12.06</w:t>
            </w:r>
          </w:p>
        </w:tc>
        <w:tc>
          <w:tcPr>
            <w:tcW w:w="1969" w:type="dxa"/>
          </w:tcPr>
          <w:p w14:paraId="16B0189C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23727.49</w:t>
            </w:r>
          </w:p>
        </w:tc>
        <w:tc>
          <w:tcPr>
            <w:tcW w:w="1470" w:type="dxa"/>
          </w:tcPr>
          <w:p w14:paraId="16B0189D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11.23</w:t>
            </w:r>
          </w:p>
        </w:tc>
      </w:tr>
      <w:tr w:rsidR="0037540E" w14:paraId="16B018A5" w14:textId="77777777" w:rsidTr="007D48E9">
        <w:tc>
          <w:tcPr>
            <w:tcW w:w="1951" w:type="dxa"/>
            <w:tcBorders>
              <w:bottom w:val="single" w:sz="8" w:space="0" w:color="auto"/>
            </w:tcBorders>
          </w:tcPr>
          <w:p w14:paraId="16B0189F" w14:textId="77777777" w:rsidR="0037540E" w:rsidRPr="00C03C2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C03C28">
              <w:rPr>
                <w:i/>
                <w:iCs/>
                <w:sz w:val="22"/>
                <w:szCs w:val="22"/>
              </w:rPr>
              <w:t>Lucy 50k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8A0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5036.14</w:t>
            </w:r>
          </w:p>
        </w:tc>
        <w:tc>
          <w:tcPr>
            <w:tcW w:w="1647" w:type="dxa"/>
            <w:tcBorders>
              <w:bottom w:val="single" w:sz="8" w:space="0" w:color="auto"/>
            </w:tcBorders>
          </w:tcPr>
          <w:p w14:paraId="16B018A1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14192.68</w:t>
            </w:r>
          </w:p>
        </w:tc>
        <w:tc>
          <w:tcPr>
            <w:tcW w:w="1127" w:type="dxa"/>
            <w:tcBorders>
              <w:bottom w:val="single" w:sz="8" w:space="0" w:color="auto"/>
            </w:tcBorders>
          </w:tcPr>
          <w:p w14:paraId="16B018A2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2.82</w:t>
            </w:r>
          </w:p>
        </w:tc>
        <w:tc>
          <w:tcPr>
            <w:tcW w:w="1969" w:type="dxa"/>
            <w:tcBorders>
              <w:bottom w:val="single" w:sz="8" w:space="0" w:color="auto"/>
            </w:tcBorders>
          </w:tcPr>
          <w:p w14:paraId="16B018A3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14192.68</w:t>
            </w:r>
          </w:p>
        </w:tc>
        <w:tc>
          <w:tcPr>
            <w:tcW w:w="1470" w:type="dxa"/>
            <w:tcBorders>
              <w:bottom w:val="single" w:sz="8" w:space="0" w:color="auto"/>
            </w:tcBorders>
          </w:tcPr>
          <w:p w14:paraId="16B018A4" w14:textId="77777777" w:rsidR="0037540E" w:rsidRPr="00C03C2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C03C28">
              <w:rPr>
                <w:sz w:val="22"/>
                <w:szCs w:val="22"/>
              </w:rPr>
              <w:t>2.82</w:t>
            </w:r>
          </w:p>
        </w:tc>
      </w:tr>
    </w:tbl>
    <w:bookmarkEnd w:id="14"/>
    <w:p w14:paraId="16B018A6" w14:textId="1702C3AF" w:rsidR="0037540E" w:rsidRDefault="00B1760A">
      <w:pPr>
        <w:pStyle w:val="a0"/>
        <w:ind w:firstLine="240"/>
      </w:pPr>
      <w:r>
        <w:t xml:space="preserve">Raw ranking alone is insufficient for the </w:t>
      </w:r>
      <w:r>
        <w:rPr>
          <w:i/>
          <w:iCs/>
        </w:rPr>
        <w:t>Happy 50k</w:t>
      </w:r>
      <w:r>
        <w:t xml:space="preserve"> hard case; therefore, </w:t>
      </w:r>
      <w:r w:rsidR="0006255E" w:rsidRPr="008454F7">
        <w:rPr>
          <w:i/>
          <w:iCs/>
        </w:rPr>
        <w:t>SFTF</w:t>
      </w:r>
      <w:r w:rsidR="0006255E">
        <w:t xml:space="preserve"> </w:t>
      </w:r>
      <w:r>
        <w:t xml:space="preserve">is used as a warm start for local </w:t>
      </w:r>
      <w:r w:rsidRPr="0006255E">
        <w:rPr>
          <w:i/>
          <w:iCs/>
        </w:rPr>
        <w:t>TOMO</w:t>
      </w:r>
      <w:r>
        <w:t xml:space="preserve"> verification, rather than as a standalone optimizer.</w:t>
      </w:r>
    </w:p>
    <w:p w14:paraId="68251282" w14:textId="77777777" w:rsidR="0015059B" w:rsidRDefault="0015059B">
      <w:pPr>
        <w:pStyle w:val="a0"/>
        <w:ind w:firstLine="240"/>
      </w:pPr>
    </w:p>
    <w:p w14:paraId="16B018A7" w14:textId="0049E31B" w:rsidR="0037540E" w:rsidRDefault="007D3F04" w:rsidP="0015059B">
      <w:pPr>
        <w:pStyle w:val="2"/>
        <w:numPr>
          <w:ilvl w:val="1"/>
          <w:numId w:val="5"/>
        </w:numPr>
      </w:pPr>
      <w:bookmarkStart w:id="15" w:name="sec:budget-curve"/>
      <w:bookmarkEnd w:id="13"/>
      <w:r>
        <w:t>Local Verification and Adaptive Verification Escalation</w:t>
      </w:r>
    </w:p>
    <w:p w14:paraId="16B018A9" w14:textId="5DCC26F3" w:rsidR="0037540E" w:rsidRDefault="007D3F04">
      <w:pPr>
        <w:pStyle w:val="a0"/>
        <w:ind w:firstLine="240"/>
      </w:pPr>
      <w:bookmarkStart w:id="16" w:name="sec:ave"/>
      <w:bookmarkEnd w:id="16"/>
      <w:r>
        <w:t>The deployed metric is a budget curve: the top-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7B1017">
        <w:rPr>
          <w:i/>
          <w:iCs/>
        </w:rPr>
        <w:t>SFTF</w:t>
      </w:r>
      <w:r>
        <w:t xml:space="preserve"> candidates define</w:t>
      </w:r>
      <w:r w:rsidR="00AB341F">
        <w:t xml:space="preserve"> </w:t>
      </w:r>
      <w:r w:rsidR="00AB341F" w:rsidRPr="00D35887">
        <w:rPr>
          <w:rFonts w:ascii="Times New Roman" w:hAnsi="Times New Roman" w:cs="Times New Roman"/>
        </w:rPr>
        <w:t>±10°</w:t>
      </w:r>
      <w:r w:rsidR="00AB341F">
        <w:rPr>
          <w:rFonts w:ascii="Times New Roman" w:hAnsi="Times New Roman" w:cs="Times New Roman"/>
        </w:rPr>
        <w:t xml:space="preserve"> </w:t>
      </w:r>
      <w:r>
        <w:t xml:space="preserve">local windows, and the best </w:t>
      </w:r>
      <w:r w:rsidRPr="007B1017">
        <w:rPr>
          <w:i/>
          <w:iCs/>
        </w:rPr>
        <w:t>TOMO</w:t>
      </w:r>
      <w:r>
        <w:t xml:space="preserve"> grid value inside their union is selected. </w:t>
      </w:r>
      <w:r w:rsidR="00DE5B07">
        <w:t xml:space="preserve">This changes the interpretation from whether the top-3 ranking alone solves the problem to whether the </w:t>
      </w:r>
      <w:r w:rsidR="00DE5B07" w:rsidRPr="007B1017">
        <w:rPr>
          <w:i/>
          <w:iCs/>
        </w:rPr>
        <w:t>SFTF</w:t>
      </w:r>
      <w:r w:rsidR="00DE5B07">
        <w:t xml:space="preserve"> places a small verification budget near useful </w:t>
      </w:r>
      <w:r w:rsidR="00DE5B07" w:rsidRPr="007B1017">
        <w:rPr>
          <w:i/>
          <w:iCs/>
        </w:rPr>
        <w:t>TOMO</w:t>
      </w:r>
      <w:r w:rsidR="00DE5B07">
        <w:t xml:space="preserve"> basins.</w:t>
      </w:r>
      <w:r>
        <w:t xml:space="preserve"> </w:t>
      </w:r>
      <w:r w:rsidR="00DE5B07">
        <w:t>Table </w:t>
      </w:r>
      <w:hyperlink w:anchor="tab:budget-curve">
        <w:r w:rsidR="00DE5B07">
          <w:rPr>
            <w:rStyle w:val="ac"/>
          </w:rPr>
          <w:t>2</w:t>
        </w:r>
      </w:hyperlink>
      <w:r w:rsidR="00DE5B07">
        <w:t xml:space="preserve"> summarizes the budget–accuracy trade-off.</w:t>
      </w:r>
    </w:p>
    <w:p w14:paraId="16B018AA" w14:textId="64500D57" w:rsidR="0037540E" w:rsidRDefault="005E1DC4">
      <w:pPr>
        <w:pStyle w:val="TableCaption"/>
      </w:pPr>
      <w:bookmarkStart w:id="17" w:name="tab:budget-curve"/>
      <w:r w:rsidRPr="00FB7A0A">
        <w:rPr>
          <w:b/>
          <w:bCs/>
          <w:i w:val="0"/>
          <w:iCs/>
        </w:rPr>
        <w:lastRenderedPageBreak/>
        <w:t xml:space="preserve">Table </w:t>
      </w:r>
      <w:r>
        <w:rPr>
          <w:b/>
          <w:bCs/>
          <w:i w:val="0"/>
          <w:iCs/>
        </w:rPr>
        <w:t xml:space="preserve">2 </w:t>
      </w:r>
      <w:r w:rsidR="007D3F04">
        <w:t>Budget curve of top-</w:t>
      </w:r>
      <m:oMath>
        <m:r>
          <w:rPr>
            <w:rFonts w:ascii="Cambria Math" w:hAnsi="Cambria Math"/>
          </w:rPr>
          <m:t>K</m:t>
        </m:r>
      </m:oMath>
      <w:r w:rsidR="007D3F04">
        <w:t xml:space="preserve"> local TOMO verification around SFTF candidates. </w:t>
      </w:r>
      <w:r w:rsidR="00776BAF">
        <w:t xml:space="preserve">The budget is the mean fraction of the </w:t>
      </w:r>
      <w:r w:rsidR="00177D26" w:rsidRPr="00D35887">
        <w:rPr>
          <w:rFonts w:ascii="Times New Roman" w:hAnsi="Times New Roman" w:cs="Times New Roman"/>
        </w:rPr>
        <w:t>1°</w:t>
      </w:r>
      <w:r w:rsidR="00776BAF">
        <w:rPr>
          <w:rFonts w:hint="eastAsia"/>
          <w:lang w:eastAsia="ko-KR"/>
        </w:rPr>
        <w:t xml:space="preserve"> </w:t>
      </w:r>
      <w:r w:rsidR="00776BAF">
        <w:t>TOMO grid covered by the union of the local windows.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1207"/>
        <w:gridCol w:w="1373"/>
        <w:gridCol w:w="1077"/>
        <w:gridCol w:w="1814"/>
        <w:gridCol w:w="1246"/>
      </w:tblGrid>
      <w:tr w:rsidR="0037540E" w14:paraId="16B018B1" w14:textId="77777777" w:rsidTr="00FE2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top w:val="single" w:sz="8" w:space="0" w:color="auto"/>
            </w:tcBorders>
          </w:tcPr>
          <w:p w14:paraId="16B018AB" w14:textId="77778FA8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Top</w:t>
            </w:r>
            <w:r w:rsidR="009767C4">
              <w:rPr>
                <w:sz w:val="22"/>
                <w:szCs w:val="22"/>
              </w:rPr>
              <w:t>-K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8AC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Mean ratio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8AD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Median ratio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8AE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Max ratio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8AF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Mean grid budget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8B0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 xml:space="preserve">Ratio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hAnsi="Cambria Math"/>
                  <w:sz w:val="22"/>
                  <w:szCs w:val="22"/>
                </w:rPr>
                <m:t>2.0</m:t>
              </m:r>
            </m:oMath>
          </w:p>
        </w:tc>
      </w:tr>
      <w:tr w:rsidR="0037540E" w14:paraId="16B018B8" w14:textId="77777777" w:rsidTr="00FE2C80">
        <w:tc>
          <w:tcPr>
            <w:tcW w:w="959" w:type="dxa"/>
          </w:tcPr>
          <w:p w14:paraId="16B018B2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6B018B3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2.59</w:t>
            </w:r>
          </w:p>
        </w:tc>
        <w:tc>
          <w:tcPr>
            <w:tcW w:w="0" w:type="auto"/>
          </w:tcPr>
          <w:p w14:paraId="16B018B4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1.15</w:t>
            </w:r>
          </w:p>
        </w:tc>
        <w:tc>
          <w:tcPr>
            <w:tcW w:w="0" w:type="auto"/>
          </w:tcPr>
          <w:p w14:paraId="16B018B5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8.52</w:t>
            </w:r>
          </w:p>
        </w:tc>
        <w:tc>
          <w:tcPr>
            <w:tcW w:w="0" w:type="auto"/>
          </w:tcPr>
          <w:p w14:paraId="16B018B6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0.87%</w:t>
            </w:r>
          </w:p>
        </w:tc>
        <w:tc>
          <w:tcPr>
            <w:tcW w:w="0" w:type="auto"/>
          </w:tcPr>
          <w:p w14:paraId="16B018B7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4/5</w:t>
            </w:r>
          </w:p>
        </w:tc>
      </w:tr>
      <w:tr w:rsidR="0037540E" w14:paraId="16B018BF" w14:textId="77777777" w:rsidTr="00FE2C80">
        <w:tc>
          <w:tcPr>
            <w:tcW w:w="959" w:type="dxa"/>
          </w:tcPr>
          <w:p w14:paraId="16B018B9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6B018BA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2.52</w:t>
            </w:r>
          </w:p>
        </w:tc>
        <w:tc>
          <w:tcPr>
            <w:tcW w:w="0" w:type="auto"/>
          </w:tcPr>
          <w:p w14:paraId="16B018BB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1.00</w:t>
            </w:r>
          </w:p>
        </w:tc>
        <w:tc>
          <w:tcPr>
            <w:tcW w:w="0" w:type="auto"/>
          </w:tcPr>
          <w:p w14:paraId="16B018BC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8.52</w:t>
            </w:r>
          </w:p>
        </w:tc>
        <w:tc>
          <w:tcPr>
            <w:tcW w:w="0" w:type="auto"/>
          </w:tcPr>
          <w:p w14:paraId="16B018BD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2.12%</w:t>
            </w:r>
          </w:p>
        </w:tc>
        <w:tc>
          <w:tcPr>
            <w:tcW w:w="0" w:type="auto"/>
          </w:tcPr>
          <w:p w14:paraId="16B018BE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4/5</w:t>
            </w:r>
          </w:p>
        </w:tc>
      </w:tr>
      <w:tr w:rsidR="0037540E" w14:paraId="16B018C6" w14:textId="77777777" w:rsidTr="00FE2C80">
        <w:tc>
          <w:tcPr>
            <w:tcW w:w="959" w:type="dxa"/>
          </w:tcPr>
          <w:p w14:paraId="16B018C0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16B018C1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b/>
                <w:bCs/>
                <w:sz w:val="22"/>
                <w:szCs w:val="22"/>
              </w:rPr>
              <w:t>1.13</w:t>
            </w:r>
          </w:p>
        </w:tc>
        <w:tc>
          <w:tcPr>
            <w:tcW w:w="0" w:type="auto"/>
          </w:tcPr>
          <w:p w14:paraId="16B018C2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b/>
                <w:bCs/>
                <w:sz w:val="22"/>
                <w:szCs w:val="22"/>
              </w:rPr>
              <w:t>1.00</w:t>
            </w:r>
          </w:p>
        </w:tc>
        <w:tc>
          <w:tcPr>
            <w:tcW w:w="0" w:type="auto"/>
          </w:tcPr>
          <w:p w14:paraId="16B018C3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b/>
                <w:bCs/>
                <w:sz w:val="22"/>
                <w:szCs w:val="22"/>
              </w:rPr>
              <w:t>1.58</w:t>
            </w:r>
          </w:p>
        </w:tc>
        <w:tc>
          <w:tcPr>
            <w:tcW w:w="0" w:type="auto"/>
          </w:tcPr>
          <w:p w14:paraId="16B018C4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3.57%</w:t>
            </w:r>
          </w:p>
        </w:tc>
        <w:tc>
          <w:tcPr>
            <w:tcW w:w="0" w:type="auto"/>
          </w:tcPr>
          <w:p w14:paraId="16B018C5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5/5</w:t>
            </w:r>
          </w:p>
        </w:tc>
      </w:tr>
      <w:tr w:rsidR="0037540E" w14:paraId="16B018CD" w14:textId="77777777" w:rsidTr="00FE2C80">
        <w:tc>
          <w:tcPr>
            <w:tcW w:w="959" w:type="dxa"/>
            <w:tcBorders>
              <w:bottom w:val="single" w:sz="8" w:space="0" w:color="auto"/>
            </w:tcBorders>
          </w:tcPr>
          <w:p w14:paraId="16B018C7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8C8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8C9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8CA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1.06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8CB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5.43%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8CC" w14:textId="77777777" w:rsidR="0037540E" w:rsidRPr="00982689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82689">
              <w:rPr>
                <w:sz w:val="22"/>
                <w:szCs w:val="22"/>
              </w:rPr>
              <w:t>5/5</w:t>
            </w:r>
          </w:p>
        </w:tc>
      </w:tr>
      <w:bookmarkEnd w:id="17"/>
    </w:tbl>
    <w:p w14:paraId="0D997360" w14:textId="77777777" w:rsidR="00513707" w:rsidRDefault="00513707">
      <w:pPr>
        <w:pStyle w:val="a0"/>
        <w:ind w:firstLine="240"/>
      </w:pPr>
    </w:p>
    <w:p w14:paraId="16B018CE" w14:textId="62463A65" w:rsidR="009A7CCA" w:rsidRDefault="00B1760A">
      <w:pPr>
        <w:pStyle w:val="a0"/>
        <w:ind w:firstLine="240"/>
      </w:pPr>
      <w:r>
        <w:t>The budget-matched controls in Table </w:t>
      </w:r>
      <w:hyperlink w:anchor="tab:budget-matched-baseline">
        <w:r>
          <w:rPr>
            <w:rStyle w:val="ac"/>
          </w:rPr>
          <w:t>3</w:t>
        </w:r>
      </w:hyperlink>
      <w:r>
        <w:t xml:space="preserve"> show that the gain is not only the amount of grid inspected; </w:t>
      </w:r>
      <w:r w:rsidR="00A3026F" w:rsidRPr="008454F7">
        <w:rPr>
          <w:i/>
          <w:iCs/>
        </w:rPr>
        <w:t>SFTF</w:t>
      </w:r>
      <w:r w:rsidR="00A3026F">
        <w:t xml:space="preserve"> </w:t>
      </w:r>
      <w:r>
        <w:t>places the windows better than the uniform axis or random seeds.</w:t>
      </w:r>
    </w:p>
    <w:p w14:paraId="1D5D9A33" w14:textId="77777777" w:rsidR="0037540E" w:rsidRDefault="0037540E">
      <w:pPr>
        <w:pStyle w:val="a0"/>
        <w:ind w:firstLine="240"/>
      </w:pPr>
    </w:p>
    <w:p w14:paraId="16B018CF" w14:textId="5865E09E" w:rsidR="0037540E" w:rsidRDefault="00B1760A" w:rsidP="000A260B">
      <w:pPr>
        <w:pStyle w:val="TableCaption"/>
      </w:pPr>
      <w:bookmarkStart w:id="18" w:name="tab:budget-matched-baseline"/>
      <w:r w:rsidRPr="006F604E">
        <w:rPr>
          <w:b/>
          <w:bCs/>
          <w:i w:val="0"/>
        </w:rPr>
        <w:t>Table 3</w:t>
      </w:r>
      <w:r>
        <w:rPr>
          <w:b/>
          <w:bCs/>
          <w:iCs/>
        </w:rPr>
        <w:t xml:space="preserve"> </w:t>
      </w:r>
      <w:r>
        <w:t>Budget-matched local TOMO controls at the per-mesh SFTF top-20 grid cell budget.</w:t>
      </w:r>
      <w:r w:rsidR="000A260B">
        <w:t xml:space="preserve"> </w:t>
      </w:r>
      <w:r>
        <w:t>The SFTF improves both the mean and worst-case ratios, showing that the warm-start value is the placement of local windows, not only the budget size.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8"/>
        <w:gridCol w:w="1056"/>
        <w:gridCol w:w="1275"/>
        <w:gridCol w:w="993"/>
        <w:gridCol w:w="1275"/>
        <w:gridCol w:w="1276"/>
      </w:tblGrid>
      <w:tr w:rsidR="0037540E" w14:paraId="16B018D6" w14:textId="77777777" w:rsidTr="00747A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</w:tcBorders>
          </w:tcPr>
          <w:p w14:paraId="16B018D0" w14:textId="77777777" w:rsidR="0037540E" w:rsidRPr="00EE0E0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Policy</w:t>
            </w:r>
          </w:p>
        </w:tc>
        <w:tc>
          <w:tcPr>
            <w:tcW w:w="1056" w:type="dxa"/>
            <w:tcBorders>
              <w:top w:val="single" w:sz="8" w:space="0" w:color="auto"/>
            </w:tcBorders>
          </w:tcPr>
          <w:p w14:paraId="16B018D1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Mean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16B018D2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Median</w:t>
            </w:r>
          </w:p>
        </w:tc>
        <w:tc>
          <w:tcPr>
            <w:tcW w:w="993" w:type="dxa"/>
            <w:tcBorders>
              <w:top w:val="single" w:sz="8" w:space="0" w:color="auto"/>
            </w:tcBorders>
          </w:tcPr>
          <w:p w14:paraId="16B018D3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Max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16B018D4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Budget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8D5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hAnsi="Cambria Math"/>
                  <w:sz w:val="22"/>
                  <w:szCs w:val="22"/>
                </w:rPr>
                <m:t>2.0</m:t>
              </m:r>
            </m:oMath>
            <w:r w:rsidRPr="00EE0E08">
              <w:rPr>
                <w:sz w:val="22"/>
                <w:szCs w:val="22"/>
              </w:rPr>
              <w:t>​</w:t>
            </w:r>
          </w:p>
        </w:tc>
      </w:tr>
      <w:tr w:rsidR="0037540E" w14:paraId="16B018DD" w14:textId="77777777" w:rsidTr="00747AF0">
        <w:tc>
          <w:tcPr>
            <w:tcW w:w="0" w:type="auto"/>
          </w:tcPr>
          <w:p w14:paraId="16B018D7" w14:textId="77777777" w:rsidR="0037540E" w:rsidRPr="00EE0E0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SFTF top-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20</m:t>
              </m:r>
            </m:oMath>
            <w:r w:rsidRPr="00EE0E08">
              <w:rPr>
                <w:sz w:val="22"/>
                <w:szCs w:val="22"/>
              </w:rPr>
              <w:t xml:space="preserve"> local</w:t>
            </w:r>
          </w:p>
        </w:tc>
        <w:tc>
          <w:tcPr>
            <w:tcW w:w="1056" w:type="dxa"/>
          </w:tcPr>
          <w:p w14:paraId="16B018D8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b/>
                <w:bCs/>
                <w:sz w:val="22"/>
                <w:szCs w:val="22"/>
              </w:rPr>
              <w:t>1.13</w:t>
            </w:r>
          </w:p>
        </w:tc>
        <w:tc>
          <w:tcPr>
            <w:tcW w:w="1275" w:type="dxa"/>
          </w:tcPr>
          <w:p w14:paraId="16B018D9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b/>
                <w:bCs/>
                <w:sz w:val="22"/>
                <w:szCs w:val="22"/>
              </w:rPr>
              <w:t>1.00</w:t>
            </w:r>
          </w:p>
        </w:tc>
        <w:tc>
          <w:tcPr>
            <w:tcW w:w="993" w:type="dxa"/>
          </w:tcPr>
          <w:p w14:paraId="16B018DA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b/>
                <w:bCs/>
                <w:sz w:val="22"/>
                <w:szCs w:val="22"/>
              </w:rPr>
              <w:t>1.58</w:t>
            </w:r>
          </w:p>
        </w:tc>
        <w:tc>
          <w:tcPr>
            <w:tcW w:w="1275" w:type="dxa"/>
          </w:tcPr>
          <w:p w14:paraId="16B018DB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3.57%</w:t>
            </w:r>
          </w:p>
        </w:tc>
        <w:tc>
          <w:tcPr>
            <w:tcW w:w="1276" w:type="dxa"/>
          </w:tcPr>
          <w:p w14:paraId="16B018DC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5/5</w:t>
            </w:r>
          </w:p>
        </w:tc>
      </w:tr>
      <w:tr w:rsidR="0037540E" w14:paraId="16B018E4" w14:textId="77777777" w:rsidTr="00747AF0">
        <w:tc>
          <w:tcPr>
            <w:tcW w:w="0" w:type="auto"/>
          </w:tcPr>
          <w:p w14:paraId="16B018DE" w14:textId="77777777" w:rsidR="0037540E" w:rsidRPr="00EE0E0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Uniform-axis matched</w:t>
            </w:r>
          </w:p>
        </w:tc>
        <w:tc>
          <w:tcPr>
            <w:tcW w:w="1056" w:type="dxa"/>
          </w:tcPr>
          <w:p w14:paraId="16B018DF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1.64</w:t>
            </w:r>
          </w:p>
        </w:tc>
        <w:tc>
          <w:tcPr>
            <w:tcW w:w="1275" w:type="dxa"/>
          </w:tcPr>
          <w:p w14:paraId="16B018E0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1.38</w:t>
            </w:r>
          </w:p>
        </w:tc>
        <w:tc>
          <w:tcPr>
            <w:tcW w:w="993" w:type="dxa"/>
          </w:tcPr>
          <w:p w14:paraId="16B018E1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2.79</w:t>
            </w:r>
          </w:p>
        </w:tc>
        <w:tc>
          <w:tcPr>
            <w:tcW w:w="1275" w:type="dxa"/>
          </w:tcPr>
          <w:p w14:paraId="16B018E2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3.57%</w:t>
            </w:r>
          </w:p>
        </w:tc>
        <w:tc>
          <w:tcPr>
            <w:tcW w:w="1276" w:type="dxa"/>
          </w:tcPr>
          <w:p w14:paraId="16B018E3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4/5</w:t>
            </w:r>
          </w:p>
        </w:tc>
      </w:tr>
      <w:tr w:rsidR="0037540E" w14:paraId="16B018EB" w14:textId="77777777" w:rsidTr="00747AF0">
        <w:tc>
          <w:tcPr>
            <w:tcW w:w="0" w:type="auto"/>
            <w:tcBorders>
              <w:bottom w:val="single" w:sz="8" w:space="0" w:color="auto"/>
            </w:tcBorders>
          </w:tcPr>
          <w:p w14:paraId="16B018E5" w14:textId="77777777" w:rsidR="0037540E" w:rsidRPr="00EE0E08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Random matched (median)</w:t>
            </w:r>
          </w:p>
        </w:tc>
        <w:tc>
          <w:tcPr>
            <w:tcW w:w="1056" w:type="dxa"/>
            <w:tcBorders>
              <w:bottom w:val="single" w:sz="8" w:space="0" w:color="auto"/>
            </w:tcBorders>
          </w:tcPr>
          <w:p w14:paraId="16B018E6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2.62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14:paraId="16B018E7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1.75</w:t>
            </w:r>
          </w:p>
        </w:tc>
        <w:tc>
          <w:tcPr>
            <w:tcW w:w="993" w:type="dxa"/>
            <w:tcBorders>
              <w:bottom w:val="single" w:sz="8" w:space="0" w:color="auto"/>
            </w:tcBorders>
          </w:tcPr>
          <w:p w14:paraId="16B018E8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5.44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14:paraId="16B018E9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3.57%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8EA" w14:textId="77777777" w:rsidR="0037540E" w:rsidRPr="00EE0E0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EE0E08">
              <w:rPr>
                <w:sz w:val="22"/>
                <w:szCs w:val="22"/>
              </w:rPr>
              <w:t>3/5</w:t>
            </w:r>
          </w:p>
        </w:tc>
      </w:tr>
      <w:bookmarkEnd w:id="18"/>
    </w:tbl>
    <w:p w14:paraId="4ADA6FCF" w14:textId="77777777" w:rsidR="00BF5C16" w:rsidRDefault="00BF5C16">
      <w:pPr>
        <w:pStyle w:val="a0"/>
        <w:ind w:firstLine="240"/>
      </w:pPr>
    </w:p>
    <w:p w14:paraId="16B018EC" w14:textId="12E7349F" w:rsidR="0037540E" w:rsidRDefault="00B1760A">
      <w:pPr>
        <w:pStyle w:val="a0"/>
        <w:ind w:firstLine="240"/>
      </w:pPr>
      <w:r>
        <w:t>Table </w:t>
      </w:r>
      <w:hyperlink w:anchor="tab:ave">
        <w:r>
          <w:rPr>
            <w:rStyle w:val="ac"/>
          </w:rPr>
          <w:t>4</w:t>
        </w:r>
      </w:hyperlink>
      <w:r>
        <w:t xml:space="preserve"> lists the resulting automatic escalation policies.</w:t>
      </w:r>
      <w:r w:rsidR="007D3F04">
        <w:t xml:space="preserve"> Adaptive Verification Escalation (AVE) escalates only when ordinary top-</w:t>
      </w:r>
      <m:oMath>
        <m:r>
          <w:rPr>
            <w:rFonts w:ascii="Cambria Math" w:hAnsi="Cambria Math"/>
          </w:rPr>
          <m:t>10</m:t>
        </m:r>
      </m:oMath>
      <w:r w:rsidR="007D3F04">
        <w:t xml:space="preserve"> local verification is uncertain. The trigger uses local-verification quantities only,</w:t>
      </w:r>
    </w:p>
    <w:p w14:paraId="16B018ED" w14:textId="77777777" w:rsidR="0037540E" w:rsidRDefault="004C49A5">
      <w:pPr>
        <w:pStyle w:val="a0"/>
        <w:ind w:firstLine="24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trigger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AVE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0.03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]∧[edge=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∨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∨[edge=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],</m:t>
              </m:r>
            </m:e>
            <m:e>
              <m:r>
                <w:rPr>
                  <w:rFonts w:ascii="Cambria Math" w:hAnsi="Cambria Math"/>
                </w:rPr>
                <m:t>η&amp;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bbox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seed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16B018EE" w14:textId="78AF1828" w:rsidR="00BF5C16" w:rsidRDefault="00332C52">
      <w:pPr>
        <w:pStyle w:val="FirstParagraph"/>
        <w:ind w:firstLine="240"/>
      </w:pPr>
      <w:r>
        <w:t>Here, ‘edge=1’ indicates that the best local cell lies within 1</w:t>
      </w:r>
      <w:r w:rsidRPr="00F00F9E">
        <w:rPr>
          <w:rFonts w:hint="eastAsia"/>
        </w:rPr>
        <w:t>°</w:t>
      </w:r>
      <w:r>
        <w:rPr>
          <w:rFonts w:hint="eastAsia"/>
          <w:lang w:eastAsia="ko-KR"/>
        </w:rPr>
        <w:t xml:space="preserve"> </w:t>
      </w:r>
      <w:r>
        <w:t>of the window boundary.</w:t>
      </w:r>
      <w:r w:rsidR="007D3F04">
        <w:t xml:space="preserve"> The absolute threshold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0.03</m:t>
        </m:r>
      </m:oMath>
      <w:r w:rsidR="007D3F04">
        <w:t xml:space="preserve"> may also fire on genuinely support-heavy parts, but escalation only expands the verified candidate set; it can spend more budget but cannot worsen the selected verified value.</w:t>
      </w:r>
    </w:p>
    <w:p w14:paraId="703EB801" w14:textId="77777777" w:rsidR="00BF5C16" w:rsidRDefault="00BF5C16">
      <w:r>
        <w:br w:type="page"/>
      </w:r>
    </w:p>
    <w:p w14:paraId="16B018EF" w14:textId="16506ED8" w:rsidR="0037540E" w:rsidRDefault="004C35EF">
      <w:pPr>
        <w:pStyle w:val="TableCaption"/>
      </w:pPr>
      <w:bookmarkStart w:id="19" w:name="tab:ave"/>
      <w:r w:rsidRPr="000134F1">
        <w:rPr>
          <w:b/>
          <w:bCs/>
          <w:i w:val="0"/>
          <w:iCs/>
        </w:rPr>
        <w:lastRenderedPageBreak/>
        <w:t>Table 4</w:t>
      </w:r>
      <w:r>
        <w:rPr>
          <w:b/>
          <w:bCs/>
          <w:iCs/>
        </w:rPr>
        <w:t xml:space="preserve"> </w:t>
      </w:r>
      <w:r>
        <w:t>Automatic Adaptive Verification Escalation (AVE) from the top-</w:t>
      </w:r>
      <m:oMath>
        <m:r>
          <w:rPr>
            <w:rFonts w:ascii="Cambria Math" w:hAnsi="Cambria Math"/>
          </w:rPr>
          <m:t>10</m:t>
        </m:r>
      </m:oMath>
      <w:r>
        <w:t xml:space="preserve"> local TOMO verification.</w:t>
      </w:r>
      <w:r w:rsidR="007D3F04">
        <w:t xml:space="preserve"> </w:t>
      </w:r>
      <w:r>
        <w:t xml:space="preserve">The detector of Eq. </w:t>
      </w:r>
      <w:r w:rsidR="00DB1A6E">
        <w:t xml:space="preserve">(11) selected only </w:t>
      </w:r>
      <w:r w:rsidR="00DB1A6E">
        <w:rPr>
          <w:iCs/>
        </w:rPr>
        <w:t>Happy 50k</w:t>
      </w:r>
      <w:r w:rsidR="00DB1A6E">
        <w:t xml:space="preserve"> for escalation.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713"/>
        <w:gridCol w:w="1122"/>
        <w:gridCol w:w="993"/>
        <w:gridCol w:w="1275"/>
        <w:gridCol w:w="1276"/>
      </w:tblGrid>
      <w:tr w:rsidR="0037540E" w14:paraId="16B018F6" w14:textId="77777777" w:rsidTr="00A07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top w:val="single" w:sz="8" w:space="0" w:color="auto"/>
            </w:tcBorders>
          </w:tcPr>
          <w:p w14:paraId="16B018F0" w14:textId="77777777" w:rsidR="0037540E" w:rsidRPr="009C3954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Policy</w:t>
            </w:r>
          </w:p>
        </w:tc>
        <w:tc>
          <w:tcPr>
            <w:tcW w:w="1713" w:type="dxa"/>
            <w:tcBorders>
              <w:top w:val="single" w:sz="8" w:space="0" w:color="auto"/>
            </w:tcBorders>
          </w:tcPr>
          <w:p w14:paraId="16B018F1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Expanded</w:t>
            </w:r>
          </w:p>
        </w:tc>
        <w:tc>
          <w:tcPr>
            <w:tcW w:w="1122" w:type="dxa"/>
            <w:tcBorders>
              <w:top w:val="single" w:sz="8" w:space="0" w:color="auto"/>
            </w:tcBorders>
          </w:tcPr>
          <w:p w14:paraId="16B018F2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Mean</w:t>
            </w:r>
          </w:p>
        </w:tc>
        <w:tc>
          <w:tcPr>
            <w:tcW w:w="993" w:type="dxa"/>
            <w:tcBorders>
              <w:top w:val="single" w:sz="8" w:space="0" w:color="auto"/>
            </w:tcBorders>
          </w:tcPr>
          <w:p w14:paraId="16B018F3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Max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16B018F4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Budget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8F5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hAnsi="Cambria Math"/>
                  <w:sz w:val="22"/>
                  <w:szCs w:val="22"/>
                </w:rPr>
                <m:t>2.0</m:t>
              </m:r>
            </m:oMath>
            <w:r w:rsidRPr="009C3954">
              <w:rPr>
                <w:sz w:val="22"/>
                <w:szCs w:val="22"/>
              </w:rPr>
              <w:t>​</w:t>
            </w:r>
          </w:p>
        </w:tc>
      </w:tr>
      <w:tr w:rsidR="0037540E" w14:paraId="16B018FD" w14:textId="77777777" w:rsidTr="00A07FBE">
        <w:tc>
          <w:tcPr>
            <w:tcW w:w="2376" w:type="dxa"/>
          </w:tcPr>
          <w:p w14:paraId="16B018F7" w14:textId="77777777" w:rsidR="0037540E" w:rsidRPr="009C3954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Top-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oMath>
            <w:r w:rsidRPr="009C3954">
              <w:rPr>
                <w:sz w:val="22"/>
                <w:szCs w:val="22"/>
              </w:rPr>
              <w:t xml:space="preserve"> local</w:t>
            </w:r>
          </w:p>
        </w:tc>
        <w:tc>
          <w:tcPr>
            <w:tcW w:w="1713" w:type="dxa"/>
          </w:tcPr>
          <w:p w14:paraId="16B018F8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0/5</w:t>
            </w:r>
          </w:p>
        </w:tc>
        <w:tc>
          <w:tcPr>
            <w:tcW w:w="1122" w:type="dxa"/>
          </w:tcPr>
          <w:p w14:paraId="16B018F9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2.52</w:t>
            </w:r>
          </w:p>
        </w:tc>
        <w:tc>
          <w:tcPr>
            <w:tcW w:w="993" w:type="dxa"/>
          </w:tcPr>
          <w:p w14:paraId="16B018FA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8.52</w:t>
            </w:r>
          </w:p>
        </w:tc>
        <w:tc>
          <w:tcPr>
            <w:tcW w:w="1275" w:type="dxa"/>
          </w:tcPr>
          <w:p w14:paraId="16B018FB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2.12%</w:t>
            </w:r>
          </w:p>
        </w:tc>
        <w:tc>
          <w:tcPr>
            <w:tcW w:w="1276" w:type="dxa"/>
          </w:tcPr>
          <w:p w14:paraId="16B018FC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4/5</w:t>
            </w:r>
          </w:p>
        </w:tc>
      </w:tr>
      <w:tr w:rsidR="0037540E" w14:paraId="16B01904" w14:textId="77777777" w:rsidTr="00A07FBE">
        <w:tc>
          <w:tcPr>
            <w:tcW w:w="2376" w:type="dxa"/>
          </w:tcPr>
          <w:p w14:paraId="16B018FE" w14:textId="77777777" w:rsidR="0037540E" w:rsidRPr="009C3954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AVE</w:t>
            </w:r>
          </w:p>
        </w:tc>
        <w:tc>
          <w:tcPr>
            <w:tcW w:w="1713" w:type="dxa"/>
          </w:tcPr>
          <w:p w14:paraId="16B018FF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1/5</w:t>
            </w:r>
          </w:p>
        </w:tc>
        <w:tc>
          <w:tcPr>
            <w:tcW w:w="1122" w:type="dxa"/>
          </w:tcPr>
          <w:p w14:paraId="16B01900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b/>
                <w:bCs/>
                <w:sz w:val="22"/>
                <w:szCs w:val="22"/>
              </w:rPr>
              <w:t>1.01</w:t>
            </w:r>
          </w:p>
        </w:tc>
        <w:tc>
          <w:tcPr>
            <w:tcW w:w="993" w:type="dxa"/>
          </w:tcPr>
          <w:p w14:paraId="16B01901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b/>
                <w:bCs/>
                <w:sz w:val="22"/>
                <w:szCs w:val="22"/>
              </w:rPr>
              <w:t>1.06</w:t>
            </w:r>
          </w:p>
        </w:tc>
        <w:tc>
          <w:tcPr>
            <w:tcW w:w="1275" w:type="dxa"/>
          </w:tcPr>
          <w:p w14:paraId="16B01902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b/>
                <w:bCs/>
                <w:sz w:val="22"/>
                <w:szCs w:val="22"/>
              </w:rPr>
              <w:t>2.99%</w:t>
            </w:r>
          </w:p>
        </w:tc>
        <w:tc>
          <w:tcPr>
            <w:tcW w:w="1276" w:type="dxa"/>
          </w:tcPr>
          <w:p w14:paraId="16B01903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5/5</w:t>
            </w:r>
          </w:p>
        </w:tc>
      </w:tr>
      <w:tr w:rsidR="0037540E" w14:paraId="16B0190B" w14:textId="77777777" w:rsidTr="00A07FBE">
        <w:tc>
          <w:tcPr>
            <w:tcW w:w="2376" w:type="dxa"/>
          </w:tcPr>
          <w:p w14:paraId="16B01905" w14:textId="77777777" w:rsidR="0037540E" w:rsidRPr="009C3954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AVE+Pareto</w:t>
            </w:r>
          </w:p>
        </w:tc>
        <w:tc>
          <w:tcPr>
            <w:tcW w:w="1713" w:type="dxa"/>
          </w:tcPr>
          <w:p w14:paraId="16B01906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1/5</w:t>
            </w:r>
          </w:p>
        </w:tc>
        <w:tc>
          <w:tcPr>
            <w:tcW w:w="1122" w:type="dxa"/>
          </w:tcPr>
          <w:p w14:paraId="16B01907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1.01</w:t>
            </w:r>
          </w:p>
        </w:tc>
        <w:tc>
          <w:tcPr>
            <w:tcW w:w="993" w:type="dxa"/>
          </w:tcPr>
          <w:p w14:paraId="16B01908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1.06</w:t>
            </w:r>
          </w:p>
        </w:tc>
        <w:tc>
          <w:tcPr>
            <w:tcW w:w="1275" w:type="dxa"/>
          </w:tcPr>
          <w:p w14:paraId="16B01909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3.18%</w:t>
            </w:r>
          </w:p>
        </w:tc>
        <w:tc>
          <w:tcPr>
            <w:tcW w:w="1276" w:type="dxa"/>
          </w:tcPr>
          <w:p w14:paraId="16B0190A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5/5</w:t>
            </w:r>
          </w:p>
        </w:tc>
      </w:tr>
      <w:tr w:rsidR="0037540E" w14:paraId="16B01912" w14:textId="77777777" w:rsidTr="00A07FBE">
        <w:tc>
          <w:tcPr>
            <w:tcW w:w="2376" w:type="dxa"/>
            <w:tcBorders>
              <w:bottom w:val="single" w:sz="8" w:space="0" w:color="auto"/>
            </w:tcBorders>
          </w:tcPr>
          <w:p w14:paraId="16B0190C" w14:textId="77777777" w:rsidR="0037540E" w:rsidRPr="009C3954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All-mesh top-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</m:t>
              </m:r>
            </m:oMath>
          </w:p>
        </w:tc>
        <w:tc>
          <w:tcPr>
            <w:tcW w:w="1713" w:type="dxa"/>
            <w:tcBorders>
              <w:bottom w:val="single" w:sz="8" w:space="0" w:color="auto"/>
            </w:tcBorders>
          </w:tcPr>
          <w:p w14:paraId="16B0190D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5/5</w:t>
            </w:r>
          </w:p>
        </w:tc>
        <w:tc>
          <w:tcPr>
            <w:tcW w:w="1122" w:type="dxa"/>
            <w:tcBorders>
              <w:bottom w:val="single" w:sz="8" w:space="0" w:color="auto"/>
            </w:tcBorders>
          </w:tcPr>
          <w:p w14:paraId="16B0190E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1.01</w:t>
            </w:r>
          </w:p>
        </w:tc>
        <w:tc>
          <w:tcPr>
            <w:tcW w:w="993" w:type="dxa"/>
            <w:tcBorders>
              <w:bottom w:val="single" w:sz="8" w:space="0" w:color="auto"/>
            </w:tcBorders>
          </w:tcPr>
          <w:p w14:paraId="16B0190F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1.06</w:t>
            </w:r>
          </w:p>
        </w:tc>
        <w:tc>
          <w:tcPr>
            <w:tcW w:w="1275" w:type="dxa"/>
            <w:tcBorders>
              <w:bottom w:val="single" w:sz="8" w:space="0" w:color="auto"/>
            </w:tcBorders>
          </w:tcPr>
          <w:p w14:paraId="16B01910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5.43%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911" w14:textId="77777777" w:rsidR="0037540E" w:rsidRPr="009C3954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9C3954">
              <w:rPr>
                <w:sz w:val="22"/>
                <w:szCs w:val="22"/>
              </w:rPr>
              <w:t>5/5</w:t>
            </w:r>
          </w:p>
        </w:tc>
      </w:tr>
      <w:bookmarkEnd w:id="19"/>
    </w:tbl>
    <w:p w14:paraId="42955602" w14:textId="77777777" w:rsidR="00F90436" w:rsidRDefault="00F90436">
      <w:pPr>
        <w:pStyle w:val="a0"/>
        <w:ind w:firstLine="240"/>
      </w:pPr>
    </w:p>
    <w:p w14:paraId="16B01913" w14:textId="4125DD1A" w:rsidR="0037540E" w:rsidRDefault="00DB1A6E">
      <w:pPr>
        <w:pStyle w:val="a0"/>
        <w:ind w:firstLine="240"/>
        <w:rPr>
          <w:rFonts w:ascii="Times New Roman" w:hAnsi="Times New Roman" w:cs="Times New Roman"/>
          <w:i/>
          <w:iCs/>
        </w:rPr>
      </w:pPr>
      <w:r>
        <w:t>The five stored meshes are in-sample for the detector thresholds.</w:t>
      </w:r>
      <w:r w:rsidR="007D3F04">
        <w:t xml:space="preserve"> </w:t>
      </w:r>
      <w:r>
        <w:t>Table </w:t>
      </w:r>
      <w:hyperlink w:anchor="tab:ave-g5">
        <w:r>
          <w:rPr>
            <w:rStyle w:val="ac"/>
          </w:rPr>
          <w:t>5</w:t>
        </w:r>
      </w:hyperlink>
      <w:r>
        <w:t xml:space="preserve"> lists the held-out cached A–E audits, which contain </w:t>
      </w:r>
      <m:oMath>
        <m:r>
          <w:rPr>
            <w:rFonts w:ascii="Cambria Math" w:hAnsi="Cambria Math"/>
          </w:rPr>
          <m:t>16</m:t>
        </m:r>
      </m:oMath>
      <w:r>
        <w:t xml:space="preserve"> ratio-valid records after excluding </w:t>
      </w:r>
      <m:oMath>
        <m:r>
          <w:rPr>
            <w:rFonts w:ascii="Cambria Math" w:hAnsi="Cambria Math"/>
          </w:rPr>
          <m:t>19</m:t>
        </m:r>
      </m:oMath>
      <w:r>
        <w:t xml:space="preserve"> records with non-positive </w:t>
      </w:r>
      <w:r w:rsidRPr="008A1711">
        <w:rPr>
          <w:i/>
          <w:iCs/>
        </w:rPr>
        <w:t>TOMO</w:t>
      </w:r>
      <w:r>
        <w:t xml:space="preserve"> values at</w:t>
      </w:r>
      <w:r w:rsidRPr="006F4173">
        <w:rPr>
          <w:rFonts w:ascii="Times New Roman" w:hAnsi="Times New Roman" w:cs="Times New Roman"/>
          <w:i/>
          <w:iCs/>
        </w:rPr>
        <w:t xml:space="preserve"> </w:t>
      </w:r>
      <w:r w:rsidRPr="006F4173">
        <w:rPr>
          <w:rFonts w:ascii="Times New Roman" w:hAnsi="Times New Roman" w:cs="Times New Roman"/>
          <w:i/>
          <w:iCs/>
          <w:lang w:eastAsia="ko-KR"/>
        </w:rPr>
        <w:t>θ</w:t>
      </w:r>
      <w:r w:rsidRPr="006F4173">
        <w:rPr>
          <w:rFonts w:ascii="Times New Roman" w:hAnsi="Times New Roman" w:cs="Times New Roman"/>
          <w:i/>
          <w:iCs/>
          <w:vertAlign w:val="subscript"/>
          <w:lang w:eastAsia="ko-KR"/>
        </w:rPr>
        <w:t>c</w:t>
      </w:r>
      <w:r w:rsidRPr="006F4173">
        <w:rPr>
          <w:rFonts w:ascii="Times New Roman" w:hAnsi="Times New Roman" w:cs="Times New Roman"/>
          <w:i/>
          <w:iCs/>
        </w:rPr>
        <w:t>=60°.</w:t>
      </w:r>
    </w:p>
    <w:p w14:paraId="1590B1BD" w14:textId="77777777" w:rsidR="00F90436" w:rsidRDefault="00F90436">
      <w:pPr>
        <w:pStyle w:val="a0"/>
        <w:ind w:firstLine="240"/>
      </w:pPr>
    </w:p>
    <w:p w14:paraId="16B01914" w14:textId="62145943" w:rsidR="0037540E" w:rsidRDefault="004C35EF">
      <w:pPr>
        <w:pStyle w:val="TableCaption"/>
      </w:pPr>
      <w:bookmarkStart w:id="20" w:name="tab:ave-g5"/>
      <w:r w:rsidRPr="000134F1">
        <w:rPr>
          <w:b/>
          <w:bCs/>
          <w:i w:val="0"/>
          <w:iCs/>
        </w:rPr>
        <w:t>Table 5</w:t>
      </w:r>
      <w:r>
        <w:rPr>
          <w:b/>
          <w:bCs/>
        </w:rPr>
        <w:t xml:space="preserve"> </w:t>
      </w:r>
      <w:r>
        <w:t>Cached five-group audit of the tiered AVE policy on ratio-valid 3</w:t>
      </w:r>
      <w:r w:rsidRPr="00DB09EF">
        <w:rPr>
          <w:rFonts w:hint="eastAsia"/>
        </w:rPr>
        <w:t>°</w:t>
      </w:r>
      <w:r>
        <w:rPr>
          <w:rFonts w:hint="eastAsia"/>
          <w:lang w:eastAsia="ko-KR"/>
        </w:rPr>
        <w:t>,</w:t>
      </w:r>
      <w:r w:rsidRPr="007C2F1F">
        <w:rPr>
          <w:rFonts w:hint="eastAsia"/>
        </w:rPr>
        <w:t xml:space="preserve"> </w:t>
      </w:r>
      <w:r w:rsidRPr="007C2F1F">
        <w:rPr>
          <w:rFonts w:ascii="Times New Roman" w:hAnsi="Times New Roman" w:cs="Times New Roman"/>
          <w:lang w:eastAsia="ko-KR"/>
        </w:rPr>
        <w:t>θ</w:t>
      </w:r>
      <w:r w:rsidRPr="007C2F1F">
        <w:rPr>
          <w:rFonts w:ascii="Times New Roman" w:hAnsi="Times New Roman" w:cs="Times New Roman"/>
          <w:vertAlign w:val="subscript"/>
          <w:lang w:eastAsia="ko-KR"/>
        </w:rPr>
        <w:t>c</w:t>
      </w:r>
      <w:r>
        <w:rPr>
          <w:lang w:eastAsia="ko-KR"/>
        </w:rPr>
        <w:t>=60</w:t>
      </w:r>
      <w:r w:rsidRPr="00DB09EF">
        <w:rPr>
          <w:rFonts w:hint="eastAsia"/>
          <w:lang w:eastAsia="ko-KR"/>
        </w:rPr>
        <w:t>°</w:t>
      </w:r>
      <w:r>
        <w:rPr>
          <w:rFonts w:hint="eastAsia"/>
          <w:lang w:eastAsia="ko-KR"/>
        </w:rPr>
        <w:t xml:space="preserve"> </w:t>
      </w:r>
      <w:r>
        <w:t xml:space="preserve"> </w:t>
      </w:r>
      <w:r w:rsidR="00BD2125">
        <w:t>TOMO_CPU</w:t>
      </w:r>
      <w:r w:rsidR="008E75DA">
        <w:t xml:space="preserve"> </w:t>
      </w:r>
      <w:r>
        <w:t>data.</w:t>
      </w:r>
      <w:r w:rsidR="007D3F04">
        <w:t xml:space="preserve"> </w:t>
      </w:r>
      <w:r w:rsidR="00D6452C">
        <w:t>The top-</w:t>
      </w:r>
      <m:oMath>
        <m:r>
          <w:rPr>
            <w:rFonts w:ascii="Cambria Math" w:hAnsi="Cambria Math"/>
          </w:rPr>
          <m:t>10</m:t>
        </m:r>
      </m:oMath>
      <w:r w:rsidR="00D6452C">
        <w:t xml:space="preserve"> baseline over all ratio-valid records ha</w:t>
      </w:r>
      <w:r w:rsidR="00024BC1">
        <w:t xml:space="preserve">s mean ratio </w:t>
      </w:r>
      <w:r w:rsidR="00086BB4">
        <w:t>2.07</w:t>
      </w:r>
      <w:r w:rsidR="00D6452C">
        <w:t>, maximum of</w:t>
      </w:r>
      <w:r w:rsidR="00086BB4">
        <w:t xml:space="preserve"> 12.44 </w:t>
      </w:r>
      <w:r w:rsidR="00885CC5">
        <w:t>, mean budget 2.45%</w:t>
      </w:r>
      <w:r w:rsidR="00D6452C">
        <w:t>, and</w:t>
      </w:r>
      <w:r w:rsidR="00086BB4">
        <w:t xml:space="preserve"> 13/16</w:t>
      </w:r>
      <w:r w:rsidR="00D6452C">
        <w:t xml:space="preserve"> reco</w:t>
      </w:r>
      <w:r w:rsidR="00885CC5">
        <w:t xml:space="preserve">rds </w:t>
      </w:r>
      <w:r w:rsidR="00D6452C">
        <w:t xml:space="preserve">below </w:t>
      </w:r>
      <w:r w:rsidR="00885CC5">
        <w:t xml:space="preserve">ratio </w:t>
      </w:r>
      <w:r w:rsidR="00086BB4">
        <w:t>2.0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709"/>
        <w:gridCol w:w="1559"/>
        <w:gridCol w:w="1276"/>
        <w:gridCol w:w="992"/>
        <w:gridCol w:w="1276"/>
        <w:gridCol w:w="1276"/>
      </w:tblGrid>
      <w:tr w:rsidR="0037540E" w14:paraId="16B0191C" w14:textId="77777777" w:rsidTr="00E37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top w:val="single" w:sz="8" w:space="0" w:color="auto"/>
            </w:tcBorders>
          </w:tcPr>
          <w:p w14:paraId="16B01915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Group</w:t>
            </w:r>
          </w:p>
        </w:tc>
        <w:tc>
          <w:tcPr>
            <w:tcW w:w="709" w:type="dxa"/>
            <w:tcBorders>
              <w:top w:val="single" w:sz="8" w:space="0" w:color="auto"/>
            </w:tcBorders>
          </w:tcPr>
          <w:p w14:paraId="16B01916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  <w:r w:rsidRPr="0054744D">
              <w:rPr>
                <w:sz w:val="22"/>
                <w:szCs w:val="22"/>
              </w:rPr>
              <w:t>​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6B01917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Expanded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918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Mean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16B01919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Max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91A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Budget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16B0191B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hAnsi="Cambria Math"/>
                  <w:sz w:val="22"/>
                  <w:szCs w:val="22"/>
                </w:rPr>
                <m:t>2.0</m:t>
              </m:r>
            </m:oMath>
            <w:r w:rsidRPr="0054744D">
              <w:rPr>
                <w:sz w:val="22"/>
                <w:szCs w:val="22"/>
              </w:rPr>
              <w:t>​</w:t>
            </w:r>
          </w:p>
        </w:tc>
      </w:tr>
      <w:tr w:rsidR="0037540E" w14:paraId="16B01924" w14:textId="77777777" w:rsidTr="00E3732A">
        <w:tc>
          <w:tcPr>
            <w:tcW w:w="1384" w:type="dxa"/>
          </w:tcPr>
          <w:p w14:paraId="16B0191D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A</w:t>
            </w:r>
          </w:p>
        </w:tc>
        <w:tc>
          <w:tcPr>
            <w:tcW w:w="709" w:type="dxa"/>
          </w:tcPr>
          <w:p w14:paraId="16B0191E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16B0191F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16B01920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1.07</w:t>
            </w:r>
          </w:p>
        </w:tc>
        <w:tc>
          <w:tcPr>
            <w:tcW w:w="992" w:type="dxa"/>
          </w:tcPr>
          <w:p w14:paraId="16B01921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1.07</w:t>
            </w:r>
          </w:p>
        </w:tc>
        <w:tc>
          <w:tcPr>
            <w:tcW w:w="1276" w:type="dxa"/>
          </w:tcPr>
          <w:p w14:paraId="16B01922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7.25%</w:t>
            </w:r>
          </w:p>
        </w:tc>
        <w:tc>
          <w:tcPr>
            <w:tcW w:w="1276" w:type="dxa"/>
          </w:tcPr>
          <w:p w14:paraId="16B01923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1/1</w:t>
            </w:r>
          </w:p>
        </w:tc>
      </w:tr>
      <w:tr w:rsidR="0037540E" w14:paraId="16B0192C" w14:textId="77777777" w:rsidTr="00E3732A">
        <w:tc>
          <w:tcPr>
            <w:tcW w:w="1384" w:type="dxa"/>
          </w:tcPr>
          <w:p w14:paraId="16B01925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B</w:t>
            </w:r>
          </w:p>
        </w:tc>
        <w:tc>
          <w:tcPr>
            <w:tcW w:w="709" w:type="dxa"/>
          </w:tcPr>
          <w:p w14:paraId="16B01926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16B01927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0</w:t>
            </w:r>
          </w:p>
        </w:tc>
        <w:tc>
          <w:tcPr>
            <w:tcW w:w="1276" w:type="dxa"/>
          </w:tcPr>
          <w:p w14:paraId="16B01928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16B01929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1.00</w:t>
            </w:r>
          </w:p>
        </w:tc>
        <w:tc>
          <w:tcPr>
            <w:tcW w:w="1276" w:type="dxa"/>
          </w:tcPr>
          <w:p w14:paraId="16B0192A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2.74%</w:t>
            </w:r>
          </w:p>
        </w:tc>
        <w:tc>
          <w:tcPr>
            <w:tcW w:w="1276" w:type="dxa"/>
          </w:tcPr>
          <w:p w14:paraId="16B0192B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1/1</w:t>
            </w:r>
          </w:p>
        </w:tc>
      </w:tr>
      <w:tr w:rsidR="0037540E" w14:paraId="16B01934" w14:textId="77777777" w:rsidTr="00E3732A">
        <w:tc>
          <w:tcPr>
            <w:tcW w:w="1384" w:type="dxa"/>
          </w:tcPr>
          <w:p w14:paraId="16B0192D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C</w:t>
            </w:r>
          </w:p>
        </w:tc>
        <w:tc>
          <w:tcPr>
            <w:tcW w:w="709" w:type="dxa"/>
          </w:tcPr>
          <w:p w14:paraId="16B0192E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16B0192F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16B01930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1.09</w:t>
            </w:r>
          </w:p>
        </w:tc>
        <w:tc>
          <w:tcPr>
            <w:tcW w:w="992" w:type="dxa"/>
          </w:tcPr>
          <w:p w14:paraId="16B01931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1.23</w:t>
            </w:r>
          </w:p>
        </w:tc>
        <w:tc>
          <w:tcPr>
            <w:tcW w:w="1276" w:type="dxa"/>
          </w:tcPr>
          <w:p w14:paraId="16B01932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3.08%</w:t>
            </w:r>
          </w:p>
        </w:tc>
        <w:tc>
          <w:tcPr>
            <w:tcW w:w="1276" w:type="dxa"/>
          </w:tcPr>
          <w:p w14:paraId="16B01933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5/5</w:t>
            </w:r>
          </w:p>
        </w:tc>
      </w:tr>
      <w:tr w:rsidR="0037540E" w14:paraId="16B0193C" w14:textId="77777777" w:rsidTr="00E3732A">
        <w:tc>
          <w:tcPr>
            <w:tcW w:w="1384" w:type="dxa"/>
          </w:tcPr>
          <w:p w14:paraId="16B01935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D</w:t>
            </w:r>
          </w:p>
        </w:tc>
        <w:tc>
          <w:tcPr>
            <w:tcW w:w="709" w:type="dxa"/>
          </w:tcPr>
          <w:p w14:paraId="16B01936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16B01937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</w:tcPr>
          <w:p w14:paraId="16B01938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1.26</w:t>
            </w:r>
          </w:p>
        </w:tc>
        <w:tc>
          <w:tcPr>
            <w:tcW w:w="992" w:type="dxa"/>
          </w:tcPr>
          <w:p w14:paraId="16B01939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1.61</w:t>
            </w:r>
          </w:p>
        </w:tc>
        <w:tc>
          <w:tcPr>
            <w:tcW w:w="1276" w:type="dxa"/>
          </w:tcPr>
          <w:p w14:paraId="16B0193A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7.20%</w:t>
            </w:r>
          </w:p>
        </w:tc>
        <w:tc>
          <w:tcPr>
            <w:tcW w:w="1276" w:type="dxa"/>
          </w:tcPr>
          <w:p w14:paraId="16B0193B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5/5</w:t>
            </w:r>
          </w:p>
        </w:tc>
      </w:tr>
      <w:tr w:rsidR="0037540E" w14:paraId="16B01944" w14:textId="77777777" w:rsidTr="00E3732A">
        <w:tc>
          <w:tcPr>
            <w:tcW w:w="1384" w:type="dxa"/>
          </w:tcPr>
          <w:p w14:paraId="16B0193D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E</w:t>
            </w:r>
          </w:p>
        </w:tc>
        <w:tc>
          <w:tcPr>
            <w:tcW w:w="709" w:type="dxa"/>
          </w:tcPr>
          <w:p w14:paraId="16B0193E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14:paraId="16B0193F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16B01940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1.10</w:t>
            </w:r>
          </w:p>
        </w:tc>
        <w:tc>
          <w:tcPr>
            <w:tcW w:w="992" w:type="dxa"/>
          </w:tcPr>
          <w:p w14:paraId="16B01941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1.21</w:t>
            </w:r>
          </w:p>
        </w:tc>
        <w:tc>
          <w:tcPr>
            <w:tcW w:w="1276" w:type="dxa"/>
          </w:tcPr>
          <w:p w14:paraId="16B01942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4.48%</w:t>
            </w:r>
          </w:p>
        </w:tc>
        <w:tc>
          <w:tcPr>
            <w:tcW w:w="1276" w:type="dxa"/>
          </w:tcPr>
          <w:p w14:paraId="16B01943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4/4</w:t>
            </w:r>
          </w:p>
        </w:tc>
      </w:tr>
      <w:tr w:rsidR="0037540E" w14:paraId="16B0194C" w14:textId="77777777" w:rsidTr="00E3732A">
        <w:tc>
          <w:tcPr>
            <w:tcW w:w="1384" w:type="dxa"/>
            <w:tcBorders>
              <w:bottom w:val="single" w:sz="8" w:space="0" w:color="auto"/>
            </w:tcBorders>
          </w:tcPr>
          <w:p w14:paraId="16B01945" w14:textId="77777777" w:rsidR="0037540E" w:rsidRPr="0054744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All</w:t>
            </w:r>
          </w:p>
        </w:tc>
        <w:tc>
          <w:tcPr>
            <w:tcW w:w="709" w:type="dxa"/>
            <w:tcBorders>
              <w:bottom w:val="single" w:sz="8" w:space="0" w:color="auto"/>
            </w:tcBorders>
          </w:tcPr>
          <w:p w14:paraId="16B01946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16</w:t>
            </w:r>
          </w:p>
        </w:tc>
        <w:tc>
          <w:tcPr>
            <w:tcW w:w="1559" w:type="dxa"/>
            <w:tcBorders>
              <w:bottom w:val="single" w:sz="8" w:space="0" w:color="auto"/>
            </w:tcBorders>
          </w:tcPr>
          <w:p w14:paraId="16B01947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7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948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b/>
                <w:bCs/>
                <w:sz w:val="22"/>
                <w:szCs w:val="22"/>
              </w:rPr>
              <w:t>1.14</w:t>
            </w:r>
          </w:p>
        </w:tc>
        <w:tc>
          <w:tcPr>
            <w:tcW w:w="992" w:type="dxa"/>
            <w:tcBorders>
              <w:bottom w:val="single" w:sz="8" w:space="0" w:color="auto"/>
            </w:tcBorders>
          </w:tcPr>
          <w:p w14:paraId="16B01949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b/>
                <w:bCs/>
                <w:sz w:val="22"/>
                <w:szCs w:val="22"/>
              </w:rPr>
              <w:t>1.62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94A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b/>
                <w:bCs/>
                <w:sz w:val="22"/>
                <w:szCs w:val="22"/>
              </w:rPr>
              <w:t>4.96%</w:t>
            </w:r>
          </w:p>
        </w:tc>
        <w:tc>
          <w:tcPr>
            <w:tcW w:w="1276" w:type="dxa"/>
            <w:tcBorders>
              <w:bottom w:val="single" w:sz="8" w:space="0" w:color="auto"/>
            </w:tcBorders>
          </w:tcPr>
          <w:p w14:paraId="16B0194B" w14:textId="77777777" w:rsidR="0037540E" w:rsidRPr="0054744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54744D">
              <w:rPr>
                <w:sz w:val="22"/>
                <w:szCs w:val="22"/>
              </w:rPr>
              <w:t>16/16</w:t>
            </w:r>
          </w:p>
        </w:tc>
      </w:tr>
      <w:bookmarkEnd w:id="20"/>
    </w:tbl>
    <w:p w14:paraId="602EFBEF" w14:textId="77777777" w:rsidR="00E659CF" w:rsidRDefault="00E659CF">
      <w:pPr>
        <w:pStyle w:val="a0"/>
        <w:ind w:firstLine="240"/>
      </w:pPr>
    </w:p>
    <w:p w14:paraId="16B0194D" w14:textId="0A89FC53" w:rsidR="00E659CF" w:rsidRDefault="00B1760A">
      <w:pPr>
        <w:pStyle w:val="a0"/>
        <w:ind w:firstLine="240"/>
      </w:pPr>
      <w:r>
        <w:t>The audit reduced the maximum ratio from 12.44 to 1.62 and maintained all ratio-valid records below 2.0, with a mean budget of 4.96%.</w:t>
      </w:r>
    </w:p>
    <w:p w14:paraId="6AA1B53F" w14:textId="77777777" w:rsidR="00E659CF" w:rsidRDefault="00E659CF">
      <w:r>
        <w:br w:type="page"/>
      </w:r>
    </w:p>
    <w:p w14:paraId="16B0194E" w14:textId="77777777" w:rsidR="0037540E" w:rsidRDefault="007D3F04" w:rsidP="00103CE6">
      <w:pPr>
        <w:pStyle w:val="3"/>
        <w:numPr>
          <w:ilvl w:val="2"/>
          <w:numId w:val="5"/>
        </w:numPr>
      </w:pPr>
      <w:bookmarkStart w:id="21" w:name="_Representative_TOMO_Landscapes"/>
      <w:bookmarkStart w:id="22" w:name="representative-tomo-landscapes"/>
      <w:bookmarkEnd w:id="21"/>
      <w:r>
        <w:lastRenderedPageBreak/>
        <w:t xml:space="preserve">Representative </w:t>
      </w:r>
      <w:r w:rsidRPr="00490B6A">
        <w:rPr>
          <w:i/>
          <w:iCs/>
        </w:rPr>
        <w:t>TOMO</w:t>
      </w:r>
      <w:r>
        <w:t xml:space="preserve"> Landscapes</w:t>
      </w:r>
    </w:p>
    <w:p w14:paraId="16B0194F" w14:textId="2C616366" w:rsidR="0037540E" w:rsidRDefault="00BF692A">
      <w:pPr>
        <w:pStyle w:val="FirstParagraph"/>
        <w:ind w:firstLine="240"/>
      </w:pPr>
      <w:r>
        <w:t>Figures </w:t>
      </w:r>
      <w:hyperlink w:anchor="fig:dragon-landscape">
        <w:r>
          <w:rPr>
            <w:rStyle w:val="ac"/>
          </w:rPr>
          <w:t>2</w:t>
        </w:r>
      </w:hyperlink>
      <w:r>
        <w:t xml:space="preserve"> and </w:t>
      </w:r>
      <w:hyperlink w:anchor="fig:happy-landscape">
        <w:r>
          <w:rPr>
            <w:rStyle w:val="ac"/>
          </w:rPr>
          <w:t>3</w:t>
        </w:r>
      </w:hyperlink>
      <w:r>
        <w:t xml:space="preserve"> show the contrast between the broad-basin ordinary case and the </w:t>
      </w:r>
      <w:r>
        <w:rPr>
          <w:i/>
          <w:iCs/>
        </w:rPr>
        <w:t>Happy 50k</w:t>
      </w:r>
      <w:r>
        <w:t xml:space="preserve"> hard-case.</w:t>
      </w:r>
      <w:r w:rsidR="007D3F04">
        <w:t xml:space="preserve"> </w:t>
      </w:r>
      <w:r w:rsidR="000E126F">
        <w:t xml:space="preserve">Additional </w:t>
      </w:r>
      <w:r w:rsidR="000E126F">
        <w:rPr>
          <w:i/>
          <w:iCs/>
        </w:rPr>
        <w:t>Bunny 69k</w:t>
      </w:r>
      <w:r w:rsidR="000E126F">
        <w:t xml:space="preserve">, </w:t>
      </w:r>
      <w:r w:rsidR="000E126F">
        <w:rPr>
          <w:i/>
          <w:iCs/>
        </w:rPr>
        <w:t>Manikin 13k</w:t>
      </w:r>
      <w:r w:rsidR="000E126F">
        <w:t xml:space="preserve">, and </w:t>
      </w:r>
      <w:r w:rsidR="000E126F">
        <w:rPr>
          <w:i/>
          <w:iCs/>
        </w:rPr>
        <w:t>Lucy 50k</w:t>
      </w:r>
      <w:r w:rsidR="000E126F">
        <w:t xml:space="preserve"> landscapes are shown in Supplementary Figs.</w:t>
      </w:r>
      <w:r w:rsidR="007D3F04">
        <w:t> S5–S7.</w:t>
      </w:r>
    </w:p>
    <w:p w14:paraId="16B01950" w14:textId="77777777" w:rsidR="0037540E" w:rsidRDefault="007D3F04" w:rsidP="00966120">
      <w:pPr>
        <w:pStyle w:val="CaptionedFigure"/>
        <w:jc w:val="center"/>
      </w:pPr>
      <w:bookmarkStart w:id="23" w:name="fig:dragon-landscape"/>
      <w:r>
        <w:rPr>
          <w:noProof/>
        </w:rPr>
        <w:drawing>
          <wp:inline distT="0" distB="0" distL="0" distR="0" wp14:anchorId="16B01A7A" wp14:editId="18C3BB7A">
            <wp:extent cx="3017520" cy="2616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ics/appendix_contour_drag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998" cy="261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01951" w14:textId="67B1A8CC" w:rsidR="0037540E" w:rsidRDefault="00DB1A6E">
      <w:pPr>
        <w:pStyle w:val="ImageCaption"/>
      </w:pPr>
      <w:r w:rsidRPr="00776EB7">
        <w:rPr>
          <w:b/>
          <w:bCs/>
          <w:i w:val="0"/>
          <w:iCs/>
        </w:rPr>
        <w:t>Fig</w:t>
      </w:r>
      <w:r w:rsidR="00B403BC" w:rsidRPr="00776EB7">
        <w:rPr>
          <w:b/>
          <w:bCs/>
          <w:i w:val="0"/>
          <w:iCs/>
        </w:rPr>
        <w:t>.</w:t>
      </w:r>
      <w:r w:rsidRPr="00776EB7">
        <w:rPr>
          <w:b/>
          <w:bCs/>
          <w:i w:val="0"/>
          <w:iCs/>
        </w:rPr>
        <w:t xml:space="preserve"> 2</w:t>
      </w:r>
      <w:r>
        <w:rPr>
          <w:b/>
          <w:bCs/>
        </w:rPr>
        <w:t xml:space="preserve"> </w:t>
      </w:r>
      <w:r>
        <w:t xml:space="preserve">Representative TOMO_CPU </w:t>
      </w:r>
      <w:r w:rsidRPr="00AB540E">
        <w:rPr>
          <w:iCs/>
        </w:rPr>
        <w:t>v</w:t>
      </w:r>
      <w:r w:rsidRPr="003C1E2C">
        <w:rPr>
          <w:iCs/>
          <w:vertAlign w:val="subscript"/>
        </w:rPr>
        <w:t>s</w:t>
      </w:r>
      <w:r w:rsidR="003C1E2C" w:rsidRPr="003C1E2C">
        <w:rPr>
          <w:iCs/>
          <w:vertAlign w:val="subscript"/>
        </w:rPr>
        <w:t>s</w:t>
      </w:r>
      <w:r>
        <w:t xml:space="preserve"> landscape of </w:t>
      </w:r>
      <w:r>
        <w:rPr>
          <w:iCs/>
        </w:rPr>
        <w:t>Dragon 100k</w:t>
      </w:r>
      <w:r>
        <w:t>.</w:t>
      </w:r>
      <w:r w:rsidR="007D3F04">
        <w:t xml:space="preserve"> </w:t>
      </w:r>
      <w:r w:rsidR="000E126F">
        <w:t>The global optimum forms a distinct low-cost basin, illustrating a non-hard case in which coarse SFTF candidates already cover useful regions.</w:t>
      </w:r>
    </w:p>
    <w:p w14:paraId="16B01952" w14:textId="77777777" w:rsidR="0037540E" w:rsidRDefault="007D3F04">
      <w:pPr>
        <w:pStyle w:val="CaptionedFigure"/>
      </w:pPr>
      <w:bookmarkStart w:id="24" w:name="fig:happy-landscape"/>
      <w:bookmarkEnd w:id="23"/>
      <w:r>
        <w:rPr>
          <w:noProof/>
        </w:rPr>
        <w:drawing>
          <wp:inline distT="0" distB="0" distL="0" distR="0" wp14:anchorId="16B01A7C" wp14:editId="16B01A7D">
            <wp:extent cx="5334000" cy="243929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pics/appendix_contour_happ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01953" w14:textId="4199A204" w:rsidR="0037540E" w:rsidRDefault="00B45747">
      <w:pPr>
        <w:pStyle w:val="ImageCaption"/>
      </w:pPr>
      <w:r>
        <w:rPr>
          <w:b/>
          <w:bCs/>
          <w:i w:val="0"/>
        </w:rPr>
        <w:t>Fig</w:t>
      </w:r>
      <w:r w:rsidR="002B3C4A">
        <w:rPr>
          <w:b/>
          <w:bCs/>
          <w:i w:val="0"/>
        </w:rPr>
        <w:t>.</w:t>
      </w:r>
      <w:r w:rsidRPr="00657CFE">
        <w:rPr>
          <w:b/>
          <w:bCs/>
          <w:i w:val="0"/>
        </w:rPr>
        <w:t xml:space="preserve"> </w:t>
      </w:r>
      <w:r>
        <w:rPr>
          <w:b/>
          <w:bCs/>
          <w:i w:val="0"/>
        </w:rPr>
        <w:t xml:space="preserve">3 </w:t>
      </w:r>
      <w:r w:rsidR="007D3F04">
        <w:rPr>
          <w:iCs/>
        </w:rPr>
        <w:t>Happy 50k</w:t>
      </w:r>
      <w:r w:rsidR="007D3F04">
        <w:t xml:space="preserve"> before and after AVE on the same </w:t>
      </w:r>
      <w:r w:rsidR="00BD2125">
        <w:t>TOMO_CPU</w:t>
      </w:r>
      <w:r w:rsidR="00196CC4">
        <w:t xml:space="preserve"> </w:t>
      </w:r>
      <w:r w:rsidR="00BF673C" w:rsidRPr="00AB540E">
        <w:rPr>
          <w:i w:val="0"/>
          <w:iCs/>
        </w:rPr>
        <w:t>v</w:t>
      </w:r>
      <w:r w:rsidR="00BF673C" w:rsidRPr="00AB540E">
        <w:rPr>
          <w:i w:val="0"/>
          <w:iCs/>
          <w:vertAlign w:val="subscript"/>
        </w:rPr>
        <w:t>ss</w:t>
      </w:r>
      <w:r w:rsidR="00BF673C">
        <w:t xml:space="preserve"> </w:t>
      </w:r>
      <w:r w:rsidR="007D3F04">
        <w:t>landscape. The base top-</w:t>
      </w:r>
      <m:oMath>
        <m:r>
          <w:rPr>
            <w:rFonts w:ascii="Cambria Math" w:hAnsi="Cambria Math"/>
          </w:rPr>
          <m:t>10</m:t>
        </m:r>
      </m:oMath>
      <w:r w:rsidR="007D3F04">
        <w:t xml:space="preserve"> local verification selects a high-cost basin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w:rPr>
            <w:rFonts w:ascii="Cambria Math" w:hAnsi="Cambria Math"/>
          </w:rPr>
          <m:t>=17,991</m:t>
        </m:r>
      </m:oMath>
      <w:r w:rsidR="007D3F04">
        <w:t xml:space="preserve">, ratio </w:t>
      </w:r>
      <m:oMath>
        <m:r>
          <w:rPr>
            <w:rFonts w:ascii="Cambria Math" w:hAnsi="Cambria Math"/>
          </w:rPr>
          <m:t>8.52</m:t>
        </m:r>
      </m:oMath>
      <w:r w:rsidR="007D3F04">
        <w:t>), whereas AVE recovers the TOMO optimum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w:rPr>
            <w:rFonts w:ascii="Cambria Math" w:hAnsi="Cambria Math"/>
          </w:rPr>
          <m:t>=2,112</m:t>
        </m:r>
      </m:oMath>
      <w:r w:rsidR="007D3F04">
        <w:t xml:space="preserve">, ratio </w:t>
      </w:r>
      <m:oMath>
        <m:r>
          <w:rPr>
            <w:rFonts w:ascii="Cambria Math" w:hAnsi="Cambria Math"/>
          </w:rPr>
          <m:t>1.00</m:t>
        </m:r>
      </m:oMath>
      <w:r w:rsidR="007D3F04">
        <w:t>).</w:t>
      </w:r>
    </w:p>
    <w:p w14:paraId="16A494D3" w14:textId="7F166D54" w:rsidR="00FD014B" w:rsidRDefault="00FD014B">
      <w:bookmarkStart w:id="25" w:name="sec:ablation"/>
      <w:bookmarkEnd w:id="15"/>
      <w:bookmarkEnd w:id="22"/>
      <w:bookmarkEnd w:id="24"/>
      <w:r>
        <w:br w:type="page"/>
      </w:r>
    </w:p>
    <w:p w14:paraId="16B01954" w14:textId="07425431" w:rsidR="0037540E" w:rsidRDefault="007D3F04" w:rsidP="00490B6A">
      <w:pPr>
        <w:pStyle w:val="2"/>
        <w:numPr>
          <w:ilvl w:val="1"/>
          <w:numId w:val="5"/>
        </w:numPr>
      </w:pPr>
      <w:bookmarkStart w:id="26" w:name="_Feature_Contribution_and"/>
      <w:bookmarkEnd w:id="26"/>
      <w:r>
        <w:lastRenderedPageBreak/>
        <w:t>Feature Contribution and Generalization</w:t>
      </w:r>
    </w:p>
    <w:p w14:paraId="16B01956" w14:textId="0F1DCFC1" w:rsidR="0037540E" w:rsidRDefault="007D3F04" w:rsidP="00D2141B">
      <w:pPr>
        <w:pStyle w:val="FirstParagraph"/>
        <w:ind w:firstLine="240"/>
      </w:pPr>
      <w:bookmarkStart w:id="27" w:name="sec:unified"/>
      <w:bookmarkEnd w:id="27"/>
      <w:r>
        <w:t xml:space="preserve"> </w:t>
      </w:r>
      <w:bookmarkStart w:id="28" w:name="sec:cv"/>
      <w:bookmarkEnd w:id="28"/>
      <w:r>
        <w:t xml:space="preserve"> </w:t>
      </w:r>
      <w:bookmarkStart w:id="29" w:name="sec:baseline"/>
      <w:bookmarkEnd w:id="29"/>
      <w:r>
        <w:t xml:space="preserve"> </w:t>
      </w:r>
      <w:bookmarkStart w:id="30" w:name="sec:robustness"/>
      <w:bookmarkEnd w:id="30"/>
      <w:r>
        <w:t>Table </w:t>
      </w:r>
      <w:hyperlink w:anchor="tab:feature-corr">
        <w:r>
          <w:rPr>
            <w:rStyle w:val="ac"/>
          </w:rPr>
          <w:t>6</w:t>
        </w:r>
      </w:hyperlink>
      <w:r>
        <w:t xml:space="preserve"> reports Spearman rank correlations over the full candidate pools and shows that the build-plate term is the most stable single predictor of TOMO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>
        <w:t>.</w:t>
      </w:r>
    </w:p>
    <w:p w14:paraId="7A024669" w14:textId="77777777" w:rsidR="00D2141B" w:rsidRPr="00D2141B" w:rsidRDefault="00D2141B" w:rsidP="00D2141B">
      <w:pPr>
        <w:pStyle w:val="a0"/>
        <w:ind w:firstLine="240"/>
        <w:rPr>
          <w:rFonts w:eastAsia="DengXian"/>
        </w:rPr>
      </w:pPr>
    </w:p>
    <w:p w14:paraId="16B01957" w14:textId="53ACC9F0" w:rsidR="0037540E" w:rsidRDefault="00BF692A">
      <w:pPr>
        <w:pStyle w:val="TableCaption"/>
      </w:pPr>
      <w:bookmarkStart w:id="31" w:name="tab:feature-corr"/>
      <w:r w:rsidRPr="0009640D">
        <w:rPr>
          <w:b/>
          <w:bCs/>
          <w:i w:val="0"/>
          <w:iCs/>
        </w:rPr>
        <w:t>Table 6</w:t>
      </w:r>
      <w:r>
        <w:rPr>
          <w:b/>
          <w:bCs/>
        </w:rPr>
        <w:t xml:space="preserve"> </w:t>
      </w:r>
      <w:r>
        <w:t xml:space="preserve">Spearman rank correlation between features and TOMO </w:t>
      </w:r>
      <w:r w:rsidR="00BF673C" w:rsidRPr="00AB540E">
        <w:rPr>
          <w:i w:val="0"/>
          <w:iCs/>
        </w:rPr>
        <w:t>v</w:t>
      </w:r>
      <w:r w:rsidR="00BF673C" w:rsidRPr="00AB540E">
        <w:rPr>
          <w:i w:val="0"/>
          <w:iCs/>
          <w:vertAlign w:val="subscript"/>
        </w:rPr>
        <w:t>ss</w:t>
      </w:r>
      <w:r w:rsidR="00BF673C">
        <w:t xml:space="preserve"> </w:t>
      </w:r>
      <w:r>
        <w:t>for the entire candidate pool.</w:t>
      </w:r>
      <w:r w:rsidR="007D3F04">
        <w:t xml:space="preserve"> </w:t>
      </w:r>
      <w:r w:rsidR="00DB1A6E">
        <w:t>The larger the positive value, the more valid the feature is as a cost function.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1147"/>
        <w:gridCol w:w="1318"/>
        <w:gridCol w:w="1364"/>
        <w:gridCol w:w="1164"/>
        <w:gridCol w:w="985"/>
        <w:gridCol w:w="948"/>
      </w:tblGrid>
      <w:tr w:rsidR="0037540E" w14:paraId="16B0195F" w14:textId="77777777" w:rsidTr="00927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top w:val="single" w:sz="8" w:space="0" w:color="auto"/>
            </w:tcBorders>
          </w:tcPr>
          <w:p w14:paraId="16B01958" w14:textId="77777777" w:rsidR="0037540E" w:rsidRPr="00450138" w:rsidRDefault="007D3F04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9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i/>
                <w:iCs/>
                <w:sz w:val="22"/>
                <w:szCs w:val="22"/>
              </w:rPr>
              <w:t>Bunny 69k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A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i/>
                <w:iCs/>
                <w:sz w:val="22"/>
                <w:szCs w:val="22"/>
              </w:rPr>
              <w:t>Manikin 13k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B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i/>
                <w:iCs/>
                <w:sz w:val="22"/>
                <w:szCs w:val="22"/>
              </w:rPr>
              <w:t>Dragon 100k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C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i/>
                <w:iCs/>
                <w:sz w:val="22"/>
                <w:szCs w:val="22"/>
              </w:rPr>
              <w:t>Happy 50k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D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i/>
                <w:iCs/>
                <w:sz w:val="22"/>
                <w:szCs w:val="22"/>
              </w:rPr>
              <w:t>Lucy 50k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6B0195E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Average</w:t>
            </w:r>
          </w:p>
        </w:tc>
      </w:tr>
      <w:tr w:rsidR="0037540E" w14:paraId="16B01967" w14:textId="77777777" w:rsidTr="00927499">
        <w:tc>
          <w:tcPr>
            <w:tcW w:w="1951" w:type="dxa"/>
          </w:tcPr>
          <w:p w14:paraId="16B01960" w14:textId="289395E9" w:rsidR="0037540E" w:rsidRPr="00450138" w:rsidRDefault="004D2F68" w:rsidP="00450138">
            <w:pPr>
              <w:pStyle w:val="Compact"/>
              <w:ind w:firstLine="220"/>
              <w:jc w:val="center"/>
              <w:rPr>
                <w:i/>
                <w:iCs/>
                <w:sz w:val="22"/>
                <w:szCs w:val="22"/>
                <w:lang w:eastAsia="ko-KR"/>
              </w:rPr>
            </w:pPr>
            <w:r w:rsidRPr="00450138">
              <w:rPr>
                <w:rFonts w:hint="eastAsia"/>
                <w:i/>
                <w:iCs/>
                <w:sz w:val="22"/>
                <w:szCs w:val="22"/>
                <w:lang w:eastAsia="ko-KR"/>
              </w:rPr>
              <w:t>J</w:t>
            </w:r>
            <w:r w:rsidRPr="00450138">
              <w:rPr>
                <w:i/>
                <w:iCs/>
                <w:sz w:val="22"/>
                <w:szCs w:val="22"/>
                <w:lang w:eastAsia="ko-KR"/>
              </w:rPr>
              <w:t>=R+P+B</w:t>
            </w:r>
          </w:p>
        </w:tc>
        <w:tc>
          <w:tcPr>
            <w:tcW w:w="0" w:type="auto"/>
          </w:tcPr>
          <w:p w14:paraId="16B01961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0.46</w:t>
            </w:r>
          </w:p>
        </w:tc>
        <w:tc>
          <w:tcPr>
            <w:tcW w:w="0" w:type="auto"/>
          </w:tcPr>
          <w:p w14:paraId="16B01962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0.26</w:t>
            </w:r>
          </w:p>
        </w:tc>
        <w:tc>
          <w:tcPr>
            <w:tcW w:w="0" w:type="auto"/>
          </w:tcPr>
          <w:p w14:paraId="16B01963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0.80</w:t>
            </w:r>
          </w:p>
        </w:tc>
        <w:tc>
          <w:tcPr>
            <w:tcW w:w="0" w:type="auto"/>
          </w:tcPr>
          <w:p w14:paraId="16B01964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0.27</w:t>
            </w:r>
          </w:p>
        </w:tc>
        <w:tc>
          <w:tcPr>
            <w:tcW w:w="0" w:type="auto"/>
          </w:tcPr>
          <w:p w14:paraId="16B01965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0.57</w:t>
            </w:r>
          </w:p>
        </w:tc>
        <w:tc>
          <w:tcPr>
            <w:tcW w:w="0" w:type="auto"/>
          </w:tcPr>
          <w:p w14:paraId="16B01966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0.47</w:t>
            </w:r>
          </w:p>
        </w:tc>
      </w:tr>
      <w:tr w:rsidR="0037540E" w14:paraId="16B0196F" w14:textId="77777777" w:rsidTr="00927499">
        <w:tc>
          <w:tcPr>
            <w:tcW w:w="1951" w:type="dxa"/>
          </w:tcPr>
          <w:p w14:paraId="16B01968" w14:textId="6747B1AD" w:rsidR="0037540E" w:rsidRPr="00450138" w:rsidRDefault="00EA4D24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R</w:t>
            </w:r>
            <w:r w:rsidR="007D3F04" w:rsidRPr="00450138">
              <w:rPr>
                <w:sz w:val="22"/>
                <w:szCs w:val="22"/>
              </w:rPr>
              <w:t>(Rayleigh)</w:t>
            </w:r>
          </w:p>
        </w:tc>
        <w:tc>
          <w:tcPr>
            <w:tcW w:w="0" w:type="auto"/>
          </w:tcPr>
          <w:p w14:paraId="16B01969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0.40</w:t>
            </w:r>
          </w:p>
        </w:tc>
        <w:tc>
          <w:tcPr>
            <w:tcW w:w="0" w:type="auto"/>
          </w:tcPr>
          <w:p w14:paraId="16B0196A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0.33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6B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0.57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6C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0.03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6D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0.14</w:t>
            </w:r>
          </w:p>
        </w:tc>
        <w:tc>
          <w:tcPr>
            <w:tcW w:w="0" w:type="auto"/>
          </w:tcPr>
          <w:p w14:paraId="16B0196E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0.08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</w:tr>
      <w:tr w:rsidR="0037540E" w14:paraId="16B01977" w14:textId="77777777" w:rsidTr="00927499">
        <w:tc>
          <w:tcPr>
            <w:tcW w:w="1951" w:type="dxa"/>
          </w:tcPr>
          <w:p w14:paraId="16B01970" w14:textId="0184C3F5" w:rsidR="0037540E" w:rsidRPr="00450138" w:rsidRDefault="00EA4D24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P</w:t>
            </w:r>
            <w:r w:rsidR="007D3F04" w:rsidRPr="00450138">
              <w:rPr>
                <w:sz w:val="22"/>
                <w:szCs w:val="22"/>
              </w:rPr>
              <w:t>(pair flow)</w:t>
            </w:r>
          </w:p>
        </w:tc>
        <w:tc>
          <w:tcPr>
            <w:tcW w:w="0" w:type="auto"/>
          </w:tcPr>
          <w:p w14:paraId="16B01971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0.04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72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0.38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73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0.72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74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0.00</w:t>
            </w:r>
          </w:p>
        </w:tc>
        <w:tc>
          <w:tcPr>
            <w:tcW w:w="0" w:type="auto"/>
          </w:tcPr>
          <w:p w14:paraId="16B01975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0.59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76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0.34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</w:tr>
      <w:tr w:rsidR="0037540E" w14:paraId="16B0197F" w14:textId="77777777" w:rsidTr="00927499">
        <w:tc>
          <w:tcPr>
            <w:tcW w:w="1951" w:type="dxa"/>
          </w:tcPr>
          <w:p w14:paraId="16B01978" w14:textId="5D5E4034" w:rsidR="0037540E" w:rsidRPr="00450138" w:rsidRDefault="00A855EE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B</w:t>
            </w:r>
            <w:r w:rsidR="007D3F04" w:rsidRPr="00450138">
              <w:rPr>
                <w:sz w:val="22"/>
                <w:szCs w:val="22"/>
              </w:rPr>
              <w:t>(build-plate)</w:t>
            </w:r>
          </w:p>
        </w:tc>
        <w:tc>
          <w:tcPr>
            <w:tcW w:w="0" w:type="auto"/>
          </w:tcPr>
          <w:p w14:paraId="16B01979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0.50</w:t>
            </w:r>
          </w:p>
        </w:tc>
        <w:tc>
          <w:tcPr>
            <w:tcW w:w="0" w:type="auto"/>
          </w:tcPr>
          <w:p w14:paraId="16B0197A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0.66</w:t>
            </w:r>
          </w:p>
        </w:tc>
        <w:tc>
          <w:tcPr>
            <w:tcW w:w="0" w:type="auto"/>
          </w:tcPr>
          <w:p w14:paraId="16B0197B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0.85</w:t>
            </w:r>
          </w:p>
        </w:tc>
        <w:tc>
          <w:tcPr>
            <w:tcW w:w="0" w:type="auto"/>
          </w:tcPr>
          <w:p w14:paraId="16B0197C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0.29</w:t>
            </w:r>
          </w:p>
        </w:tc>
        <w:tc>
          <w:tcPr>
            <w:tcW w:w="0" w:type="auto"/>
          </w:tcPr>
          <w:p w14:paraId="16B0197D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0.62</w:t>
            </w:r>
          </w:p>
        </w:tc>
        <w:tc>
          <w:tcPr>
            <w:tcW w:w="0" w:type="auto"/>
          </w:tcPr>
          <w:p w14:paraId="16B0197E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b/>
                <w:bCs/>
                <w:sz w:val="22"/>
                <w:szCs w:val="22"/>
              </w:rPr>
              <w:t>0.58</w:t>
            </w:r>
          </w:p>
        </w:tc>
      </w:tr>
      <w:tr w:rsidR="0037540E" w14:paraId="16B01987" w14:textId="77777777" w:rsidTr="00927499">
        <w:tc>
          <w:tcPr>
            <w:tcW w:w="1951" w:type="dxa"/>
          </w:tcPr>
          <w:p w14:paraId="16B01980" w14:textId="32E73D1E" w:rsidR="0037540E" w:rsidRPr="00450138" w:rsidRDefault="003F667C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H</w:t>
            </w:r>
            <w:r w:rsidR="007D3F04" w:rsidRPr="00450138">
              <w:rPr>
                <w:sz w:val="22"/>
                <w:szCs w:val="22"/>
              </w:rPr>
              <w:t>(hit count)</w:t>
            </w:r>
          </w:p>
        </w:tc>
        <w:tc>
          <w:tcPr>
            <w:tcW w:w="0" w:type="auto"/>
          </w:tcPr>
          <w:p w14:paraId="16B01981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0.24</w:t>
            </w:r>
          </w:p>
        </w:tc>
        <w:tc>
          <w:tcPr>
            <w:tcW w:w="0" w:type="auto"/>
          </w:tcPr>
          <w:p w14:paraId="16B01982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0.53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3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0.73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4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0.00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5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0.71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6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0.35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</w:tr>
      <w:tr w:rsidR="0037540E" w14:paraId="16B0198F" w14:textId="77777777" w:rsidTr="00927499">
        <w:tc>
          <w:tcPr>
            <w:tcW w:w="1951" w:type="dxa"/>
          </w:tcPr>
          <w:p w14:paraId="16B01988" w14:textId="6C20657D" w:rsidR="0037540E" w:rsidRPr="00450138" w:rsidRDefault="00C77950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S</w:t>
            </w:r>
            <w:r w:rsidR="007D3F04" w:rsidRPr="00450138">
              <w:rPr>
                <w:sz w:val="22"/>
                <w:szCs w:val="22"/>
              </w:rPr>
              <w:t>(nuclear)</w:t>
            </w:r>
          </w:p>
        </w:tc>
        <w:tc>
          <w:tcPr>
            <w:tcW w:w="0" w:type="auto"/>
          </w:tcPr>
          <w:p w14:paraId="16B01989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0.02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A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0.36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B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0.70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C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0.05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D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0.26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</w:tcPr>
          <w:p w14:paraId="16B0198E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0.28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</w:tr>
      <w:tr w:rsidR="0037540E" w14:paraId="16B01997" w14:textId="77777777" w:rsidTr="00927499">
        <w:tc>
          <w:tcPr>
            <w:tcW w:w="1951" w:type="dxa"/>
            <w:tcBorders>
              <w:bottom w:val="single" w:sz="8" w:space="0" w:color="auto"/>
            </w:tcBorders>
          </w:tcPr>
          <w:p w14:paraId="16B01990" w14:textId="77777777" w:rsidR="0037540E" w:rsidRPr="00450138" w:rsidRDefault="004C49A5" w:rsidP="00450138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 w:rsidR="007D3F04"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1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0.03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2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0.34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3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0.66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4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0.07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5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0138">
              <w:rPr>
                <w:sz w:val="22"/>
                <w:szCs w:val="22"/>
              </w:rPr>
              <w:t>0.07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996" w14:textId="77777777" w:rsidR="0037540E" w:rsidRPr="00450138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0.21</m:t>
              </m:r>
            </m:oMath>
            <w:r w:rsidRPr="00450138">
              <w:rPr>
                <w:sz w:val="22"/>
                <w:szCs w:val="22"/>
              </w:rPr>
              <w:t>​</w:t>
            </w:r>
          </w:p>
        </w:tc>
      </w:tr>
      <w:bookmarkEnd w:id="31"/>
    </w:tbl>
    <w:p w14:paraId="57C27CA2" w14:textId="77777777" w:rsidR="00F07D20" w:rsidRDefault="00F07D20">
      <w:pPr>
        <w:pStyle w:val="a0"/>
        <w:ind w:firstLine="240"/>
      </w:pPr>
    </w:p>
    <w:p w14:paraId="16B01998" w14:textId="714DFBD1" w:rsidR="0037540E" w:rsidRDefault="000E126F">
      <w:pPr>
        <w:pStyle w:val="a0"/>
        <w:ind w:firstLine="240"/>
      </w:pPr>
      <w:r>
        <w:t>The full objective ablation is provided in Supplementary Table S5.</w:t>
      </w:r>
      <w:r w:rsidR="007D3F04">
        <w:t xml:space="preserve"> It shows that adding nuclear/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D3F04">
        <w:t xml:space="preserve"> terms does not alter candidate selection, while tensor-only variants are weakest. </w:t>
      </w:r>
      <w:r>
        <w:t>Table </w:t>
      </w:r>
      <w:hyperlink w:anchor="tab:unified-corr">
        <w:r>
          <w:rPr>
            <w:rStyle w:val="ac"/>
          </w:rPr>
          <w:t>7</w:t>
        </w:r>
      </w:hyperlink>
      <w:r>
        <w:t xml:space="preserve"> separates the unified Rayleigh term from its components.</w:t>
      </w:r>
      <w:r w:rsidR="007D3F04">
        <w:t xml:space="preserve"> The ground-node reformulation explains why </w:t>
      </w:r>
      <m:oMath>
        <m:r>
          <w:rPr>
            <w:rFonts w:ascii="Cambria Math" w:hAnsi="Cambria Math"/>
          </w:rPr>
          <m:t>B</m:t>
        </m:r>
      </m:oMath>
      <w:r w:rsidR="007D3F04">
        <w:t xml:space="preserve"> is not merely a scalar patch: the unified Rayleigh term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="007D3F04">
        <w:t xml:space="preserve"> is a tensor contraction and has the strongest average single-feature correlation.</w:t>
      </w:r>
    </w:p>
    <w:p w14:paraId="7B025B36" w14:textId="77777777" w:rsidR="00F07D20" w:rsidRDefault="00F07D20">
      <w:pPr>
        <w:pStyle w:val="a0"/>
        <w:ind w:firstLine="240"/>
      </w:pPr>
    </w:p>
    <w:p w14:paraId="16B01999" w14:textId="277C40CD" w:rsidR="0037540E" w:rsidRDefault="006C0BC8">
      <w:pPr>
        <w:pStyle w:val="TableCaption"/>
      </w:pPr>
      <w:bookmarkStart w:id="32" w:name="tab:unified-corr"/>
      <w:r>
        <w:rPr>
          <w:b/>
          <w:bCs/>
          <w:i w:val="0"/>
        </w:rPr>
        <w:t>Table</w:t>
      </w:r>
      <w:r w:rsidRPr="00657CFE">
        <w:rPr>
          <w:b/>
          <w:bCs/>
          <w:i w:val="0"/>
        </w:rPr>
        <w:t xml:space="preserve"> </w:t>
      </w:r>
      <w:r>
        <w:rPr>
          <w:b/>
          <w:bCs/>
          <w:i w:val="0"/>
        </w:rPr>
        <w:t xml:space="preserve">7 </w:t>
      </w:r>
      <w:r w:rsidR="007D3F04">
        <w:t xml:space="preserve">Spearman correlation of the unified Rayleigh term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=R+B</m:t>
        </m:r>
      </m:oMath>
      <w:r w:rsidR="007D3F04">
        <w:t xml:space="preserve"> and single terms with TOMO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 w:rsidR="007D3F04">
        <w:t xml:space="preserve"> (higher is better).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7D3F04">
        <w:t xml:space="preserve"> was computed directly from the augmented tensor and agrees with </w:t>
      </w:r>
      <m:oMath>
        <m:r>
          <w:rPr>
            <w:rFonts w:ascii="Cambria Math" w:hAnsi="Cambria Math"/>
          </w:rPr>
          <m:t>R+B</m:t>
        </m:r>
      </m:oMath>
      <w:r w:rsidR="007D3F04">
        <w:t xml:space="preserve"> within</w:t>
      </w:r>
      <w:r w:rsidR="00841E3D">
        <w:t xml:space="preserve"> 10</w:t>
      </w:r>
      <w:r w:rsidR="00841E3D" w:rsidRPr="00841E3D">
        <w:rPr>
          <w:vertAlign w:val="superscript"/>
        </w:rPr>
        <w:t>-12</w:t>
      </w:r>
      <w:r w:rsidR="007D3F04"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5"/>
        <w:gridCol w:w="1134"/>
        <w:gridCol w:w="1140"/>
        <w:gridCol w:w="1985"/>
        <w:gridCol w:w="1984"/>
      </w:tblGrid>
      <w:tr w:rsidR="0037540E" w14:paraId="16B0199F" w14:textId="77777777" w:rsidTr="00453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top w:val="single" w:sz="8" w:space="0" w:color="auto"/>
            </w:tcBorders>
          </w:tcPr>
          <w:p w14:paraId="16B0199A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Mesh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16B0199B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140" w:type="dxa"/>
            <w:tcBorders>
              <w:top w:val="single" w:sz="8" w:space="0" w:color="auto"/>
            </w:tcBorders>
          </w:tcPr>
          <w:p w14:paraId="16B0199C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16B0199D" w14:textId="77777777" w:rsidR="0037540E" w:rsidRPr="00453C8D" w:rsidRDefault="004C49A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 w:rsidR="007D3F04"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984" w:type="dxa"/>
            <w:tcBorders>
              <w:top w:val="single" w:sz="8" w:space="0" w:color="auto"/>
            </w:tcBorders>
          </w:tcPr>
          <w:p w14:paraId="16B0199E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</w:tr>
      <w:tr w:rsidR="0037540E" w14:paraId="16B019A5" w14:textId="77777777" w:rsidTr="00453C8D">
        <w:tc>
          <w:tcPr>
            <w:tcW w:w="2235" w:type="dxa"/>
          </w:tcPr>
          <w:p w14:paraId="16B019A0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i/>
                <w:iCs/>
                <w:sz w:val="22"/>
                <w:szCs w:val="22"/>
              </w:rPr>
              <w:t>Bunny 69k</w:t>
            </w:r>
          </w:p>
        </w:tc>
        <w:tc>
          <w:tcPr>
            <w:tcW w:w="1134" w:type="dxa"/>
          </w:tcPr>
          <w:p w14:paraId="16B019A1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0.40</w:t>
            </w:r>
          </w:p>
        </w:tc>
        <w:tc>
          <w:tcPr>
            <w:tcW w:w="1140" w:type="dxa"/>
          </w:tcPr>
          <w:p w14:paraId="16B019A2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0.50</w:t>
            </w:r>
          </w:p>
        </w:tc>
        <w:tc>
          <w:tcPr>
            <w:tcW w:w="1985" w:type="dxa"/>
          </w:tcPr>
          <w:p w14:paraId="16B019A3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b/>
                <w:bCs/>
                <w:sz w:val="22"/>
                <w:szCs w:val="22"/>
              </w:rPr>
              <w:t>0.52</w:t>
            </w:r>
          </w:p>
        </w:tc>
        <w:tc>
          <w:tcPr>
            <w:tcW w:w="1984" w:type="dxa"/>
          </w:tcPr>
          <w:p w14:paraId="16B019A4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0.46</w:t>
            </w:r>
          </w:p>
        </w:tc>
      </w:tr>
      <w:tr w:rsidR="0037540E" w14:paraId="16B019AB" w14:textId="77777777" w:rsidTr="00453C8D">
        <w:tc>
          <w:tcPr>
            <w:tcW w:w="2235" w:type="dxa"/>
          </w:tcPr>
          <w:p w14:paraId="16B019A6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i/>
                <w:iCs/>
                <w:sz w:val="22"/>
                <w:szCs w:val="22"/>
              </w:rPr>
              <w:t>Manikin 13k</w:t>
            </w:r>
          </w:p>
        </w:tc>
        <w:tc>
          <w:tcPr>
            <w:tcW w:w="1134" w:type="dxa"/>
          </w:tcPr>
          <w:p w14:paraId="16B019A7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0.33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140" w:type="dxa"/>
          </w:tcPr>
          <w:p w14:paraId="16B019A8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0.66</w:t>
            </w:r>
          </w:p>
        </w:tc>
        <w:tc>
          <w:tcPr>
            <w:tcW w:w="1985" w:type="dxa"/>
          </w:tcPr>
          <w:p w14:paraId="16B019A9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0.65</w:t>
            </w:r>
          </w:p>
        </w:tc>
        <w:tc>
          <w:tcPr>
            <w:tcW w:w="1984" w:type="dxa"/>
          </w:tcPr>
          <w:p w14:paraId="16B019AA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0.26</w:t>
            </w:r>
          </w:p>
        </w:tc>
      </w:tr>
      <w:tr w:rsidR="0037540E" w14:paraId="16B019B1" w14:textId="77777777" w:rsidTr="00453C8D">
        <w:tc>
          <w:tcPr>
            <w:tcW w:w="2235" w:type="dxa"/>
          </w:tcPr>
          <w:p w14:paraId="16B019AC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i/>
                <w:iCs/>
                <w:sz w:val="22"/>
                <w:szCs w:val="22"/>
              </w:rPr>
              <w:t>Dragon 100k</w:t>
            </w:r>
          </w:p>
        </w:tc>
        <w:tc>
          <w:tcPr>
            <w:tcW w:w="1134" w:type="dxa"/>
          </w:tcPr>
          <w:p w14:paraId="16B019AD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0.57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140" w:type="dxa"/>
          </w:tcPr>
          <w:p w14:paraId="16B019AE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0.85</w:t>
            </w:r>
          </w:p>
        </w:tc>
        <w:tc>
          <w:tcPr>
            <w:tcW w:w="1985" w:type="dxa"/>
          </w:tcPr>
          <w:p w14:paraId="16B019AF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b/>
                <w:bCs/>
                <w:sz w:val="22"/>
                <w:szCs w:val="22"/>
              </w:rPr>
              <w:t>0.89</w:t>
            </w:r>
          </w:p>
        </w:tc>
        <w:tc>
          <w:tcPr>
            <w:tcW w:w="1984" w:type="dxa"/>
          </w:tcPr>
          <w:p w14:paraId="16B019B0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0.80</w:t>
            </w:r>
          </w:p>
        </w:tc>
      </w:tr>
      <w:tr w:rsidR="0037540E" w14:paraId="16B019B7" w14:textId="77777777" w:rsidTr="00453C8D">
        <w:tc>
          <w:tcPr>
            <w:tcW w:w="2235" w:type="dxa"/>
          </w:tcPr>
          <w:p w14:paraId="16B019B2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i/>
                <w:iCs/>
                <w:sz w:val="22"/>
                <w:szCs w:val="22"/>
              </w:rPr>
              <w:t>Happy 50k</w:t>
            </w:r>
          </w:p>
        </w:tc>
        <w:tc>
          <w:tcPr>
            <w:tcW w:w="1134" w:type="dxa"/>
          </w:tcPr>
          <w:p w14:paraId="16B019B3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0.03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140" w:type="dxa"/>
          </w:tcPr>
          <w:p w14:paraId="16B019B4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0.29</w:t>
            </w:r>
          </w:p>
        </w:tc>
        <w:tc>
          <w:tcPr>
            <w:tcW w:w="1985" w:type="dxa"/>
          </w:tcPr>
          <w:p w14:paraId="16B019B5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b/>
                <w:bCs/>
                <w:sz w:val="22"/>
                <w:szCs w:val="22"/>
              </w:rPr>
              <w:t>0.31</w:t>
            </w:r>
          </w:p>
        </w:tc>
        <w:tc>
          <w:tcPr>
            <w:tcW w:w="1984" w:type="dxa"/>
          </w:tcPr>
          <w:p w14:paraId="16B019B6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0.27</w:t>
            </w:r>
          </w:p>
        </w:tc>
      </w:tr>
      <w:tr w:rsidR="0037540E" w14:paraId="16B019BD" w14:textId="77777777" w:rsidTr="00453C8D">
        <w:tc>
          <w:tcPr>
            <w:tcW w:w="2235" w:type="dxa"/>
            <w:tcBorders>
              <w:bottom w:val="single" w:sz="8" w:space="0" w:color="auto"/>
            </w:tcBorders>
          </w:tcPr>
          <w:p w14:paraId="16B019B8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i/>
                <w:iCs/>
                <w:sz w:val="22"/>
                <w:szCs w:val="22"/>
              </w:rPr>
              <w:t>Lucy 50k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9B9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0.14</w:t>
            </w:r>
          </w:p>
        </w:tc>
        <w:tc>
          <w:tcPr>
            <w:tcW w:w="1140" w:type="dxa"/>
            <w:tcBorders>
              <w:bottom w:val="single" w:sz="8" w:space="0" w:color="auto"/>
            </w:tcBorders>
          </w:tcPr>
          <w:p w14:paraId="16B019BA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0.62</w:t>
            </w:r>
          </w:p>
        </w:tc>
        <w:tc>
          <w:tcPr>
            <w:tcW w:w="1985" w:type="dxa"/>
            <w:tcBorders>
              <w:bottom w:val="single" w:sz="8" w:space="0" w:color="auto"/>
            </w:tcBorders>
          </w:tcPr>
          <w:p w14:paraId="16B019BB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0.62</w:t>
            </w:r>
          </w:p>
        </w:tc>
        <w:tc>
          <w:tcPr>
            <w:tcW w:w="1984" w:type="dxa"/>
            <w:tcBorders>
              <w:bottom w:val="single" w:sz="8" w:space="0" w:color="auto"/>
            </w:tcBorders>
          </w:tcPr>
          <w:p w14:paraId="16B019BC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0.57</w:t>
            </w:r>
          </w:p>
        </w:tc>
      </w:tr>
      <w:tr w:rsidR="0037540E" w14:paraId="16B019C3" w14:textId="77777777" w:rsidTr="00453C8D">
        <w:tc>
          <w:tcPr>
            <w:tcW w:w="2235" w:type="dxa"/>
            <w:tcBorders>
              <w:top w:val="single" w:sz="8" w:space="0" w:color="auto"/>
              <w:bottom w:val="single" w:sz="8" w:space="0" w:color="auto"/>
            </w:tcBorders>
          </w:tcPr>
          <w:p w14:paraId="16B019BE" w14:textId="77777777" w:rsidR="0037540E" w:rsidRPr="00453C8D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Average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16B019BF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0.08</m:t>
              </m:r>
            </m:oMath>
            <w:r w:rsidRPr="00453C8D">
              <w:rPr>
                <w:sz w:val="22"/>
                <w:szCs w:val="22"/>
              </w:rPr>
              <w:t>​</w:t>
            </w:r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</w:tcBorders>
          </w:tcPr>
          <w:p w14:paraId="16B019C0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0.58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</w:tcPr>
          <w:p w14:paraId="16B019C1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b/>
                <w:bCs/>
                <w:sz w:val="22"/>
                <w:szCs w:val="22"/>
              </w:rPr>
              <w:t>0.60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</w:tcPr>
          <w:p w14:paraId="16B019C2" w14:textId="77777777" w:rsidR="0037540E" w:rsidRPr="00453C8D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53C8D">
              <w:rPr>
                <w:sz w:val="22"/>
                <w:szCs w:val="22"/>
              </w:rPr>
              <w:t>0.47</w:t>
            </w:r>
          </w:p>
        </w:tc>
      </w:tr>
    </w:tbl>
    <w:bookmarkEnd w:id="32"/>
    <w:p w14:paraId="16B019C4" w14:textId="03398B5A" w:rsidR="0037540E" w:rsidRDefault="007D3F04">
      <w:pPr>
        <w:pStyle w:val="a0"/>
        <w:ind w:firstLine="240"/>
      </w:pPr>
      <w:r>
        <w:lastRenderedPageBreak/>
        <w:t xml:space="preserve">The best-of-3 comparison in Supplementary Table S6 shows the same trend: excluding the </w:t>
      </w:r>
      <w:r>
        <w:rPr>
          <w:i/>
          <w:iCs/>
        </w:rPr>
        <w:t>Happy 50k</w:t>
      </w:r>
      <w:r>
        <w:t xml:space="preserve"> hard case, removing the negative-signal </w:t>
      </w:r>
      <m:oMath>
        <m:r>
          <w:rPr>
            <w:rFonts w:ascii="Cambria Math" w:hAnsi="Cambria Math"/>
          </w:rPr>
          <m:t>P</m:t>
        </m:r>
      </m:oMath>
      <w:r>
        <w:t xml:space="preserve"> term improves the mean ratio from </w:t>
      </w:r>
      <m:oMath>
        <m:r>
          <w:rPr>
            <w:rFonts w:ascii="Cambria Math" w:hAnsi="Cambria Math"/>
          </w:rPr>
          <m:t>2.82</m:t>
        </m:r>
      </m:oMath>
      <w:r>
        <w:t xml:space="preserve"> to </w:t>
      </w:r>
      <m:oMath>
        <m:r>
          <w:rPr>
            <w:rFonts w:ascii="Cambria Math" w:hAnsi="Cambria Math"/>
          </w:rPr>
          <m:t>2.50</m:t>
        </m:r>
      </m:oMath>
      <w:r>
        <w:t xml:space="preserve">. </w:t>
      </w:r>
      <w:r w:rsidR="000E126F">
        <w:t>A height-convention check also supported the current sign choice: amplification for tall build plate support and attenuation for distant face-to-face support.</w:t>
      </w:r>
    </w:p>
    <w:p w14:paraId="16B019C5" w14:textId="16732BDD" w:rsidR="0037540E" w:rsidRDefault="00BF692A">
      <w:pPr>
        <w:pStyle w:val="a0"/>
        <w:ind w:firstLine="240"/>
      </w:pPr>
      <w:r>
        <w:t>Cross-validation exposes the optimism of the calibration set rank tuning.</w:t>
      </w:r>
      <w:r w:rsidR="007D3F04">
        <w:t xml:space="preserve"> Table </w:t>
      </w:r>
      <w:hyperlink w:anchor="tab:lomo-cv">
        <w:r w:rsidR="007D3F04">
          <w:rPr>
            <w:rStyle w:val="ac"/>
          </w:rPr>
          <w:t>8</w:t>
        </w:r>
      </w:hyperlink>
      <w:r w:rsidR="007D3F04">
        <w:t xml:space="preserve"> summarizes the leave-one-mesh-out (LOMO) check: training excludes the target mesh, fits the rank-normalized weights on the others, and evaluates the held-out best-of-3 ratio.</w:t>
      </w:r>
    </w:p>
    <w:p w14:paraId="1EF6726E" w14:textId="77777777" w:rsidR="00F13BB5" w:rsidRDefault="00F13BB5">
      <w:pPr>
        <w:pStyle w:val="a0"/>
        <w:ind w:firstLine="240"/>
      </w:pPr>
    </w:p>
    <w:p w14:paraId="16B019C6" w14:textId="2BD846C7" w:rsidR="0037540E" w:rsidRDefault="00091B9D">
      <w:pPr>
        <w:pStyle w:val="TableCaption"/>
      </w:pPr>
      <w:bookmarkStart w:id="33" w:name="tab:lomo-cv"/>
      <w:r>
        <w:rPr>
          <w:b/>
          <w:bCs/>
          <w:i w:val="0"/>
        </w:rPr>
        <w:t>Table</w:t>
      </w:r>
      <w:r w:rsidRPr="00657CFE">
        <w:rPr>
          <w:b/>
          <w:bCs/>
          <w:i w:val="0"/>
        </w:rPr>
        <w:t xml:space="preserve"> </w:t>
      </w:r>
      <w:r>
        <w:rPr>
          <w:b/>
          <w:bCs/>
          <w:i w:val="0"/>
        </w:rPr>
        <w:t xml:space="preserve">8 </w:t>
      </w:r>
      <w:r w:rsidR="007D3F04">
        <w:t xml:space="preserve">LOMO cross-validation best-of-3 ratio of rank tuning (lower is better). </w:t>
      </w:r>
      <w:r w:rsidR="00BF692A">
        <w:t>The in-sample column is the calibration set fit value presented in Table </w:t>
      </w:r>
      <w:hyperlink w:anchor="tab:sftf-tomo-comparison">
        <w:r w:rsidR="00BF692A">
          <w:rPr>
            <w:rStyle w:val="ac"/>
          </w:rPr>
          <w:t>1</w:t>
        </w:r>
      </w:hyperlink>
      <w:r w:rsidR="00BF692A">
        <w:t>.</w:t>
      </w:r>
      <w:r w:rsidR="007D3F04">
        <w:t xml:space="preserve"> </w:t>
      </w:r>
      <w:r w:rsidR="00BF692A">
        <w:t>The oracle is the best direction within the candidate pool, representing the upper bound of the candidate generation.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1134"/>
        <w:gridCol w:w="1418"/>
        <w:gridCol w:w="1559"/>
        <w:gridCol w:w="1134"/>
      </w:tblGrid>
      <w:tr w:rsidR="0037540E" w14:paraId="16B019CC" w14:textId="77777777" w:rsidTr="006B7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top w:val="single" w:sz="8" w:space="0" w:color="auto"/>
            </w:tcBorders>
          </w:tcPr>
          <w:p w14:paraId="16B019C7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Mesh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16B019C8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oracle</w:t>
            </w:r>
          </w:p>
        </w:tc>
        <w:tc>
          <w:tcPr>
            <w:tcW w:w="1418" w:type="dxa"/>
            <w:tcBorders>
              <w:top w:val="single" w:sz="8" w:space="0" w:color="auto"/>
            </w:tcBorders>
          </w:tcPr>
          <w:p w14:paraId="16B019C9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 xml:space="preserve">untuned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J</m:t>
              </m:r>
            </m:oMath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6B019CA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in-sample (reported)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16B019CB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LOMO</w:t>
            </w:r>
          </w:p>
        </w:tc>
      </w:tr>
      <w:tr w:rsidR="0037540E" w14:paraId="16B019D2" w14:textId="77777777" w:rsidTr="006B7A4E">
        <w:tc>
          <w:tcPr>
            <w:tcW w:w="1809" w:type="dxa"/>
          </w:tcPr>
          <w:p w14:paraId="16B019CD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i/>
                <w:iCs/>
                <w:sz w:val="22"/>
                <w:szCs w:val="22"/>
              </w:rPr>
              <w:t>Bunny 69k</w:t>
            </w:r>
          </w:p>
        </w:tc>
        <w:tc>
          <w:tcPr>
            <w:tcW w:w="1134" w:type="dxa"/>
          </w:tcPr>
          <w:p w14:paraId="16B019CE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1.46</w:t>
            </w:r>
          </w:p>
        </w:tc>
        <w:tc>
          <w:tcPr>
            <w:tcW w:w="1418" w:type="dxa"/>
          </w:tcPr>
          <w:p w14:paraId="16B019CF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2.47</w:t>
            </w:r>
          </w:p>
        </w:tc>
        <w:tc>
          <w:tcPr>
            <w:tcW w:w="1559" w:type="dxa"/>
          </w:tcPr>
          <w:p w14:paraId="16B019D0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1.46</w:t>
            </w:r>
          </w:p>
        </w:tc>
        <w:tc>
          <w:tcPr>
            <w:tcW w:w="1134" w:type="dxa"/>
          </w:tcPr>
          <w:p w14:paraId="16B019D1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2.20</w:t>
            </w:r>
          </w:p>
        </w:tc>
      </w:tr>
      <w:tr w:rsidR="0037540E" w14:paraId="16B019D8" w14:textId="77777777" w:rsidTr="006B7A4E">
        <w:tc>
          <w:tcPr>
            <w:tcW w:w="1809" w:type="dxa"/>
          </w:tcPr>
          <w:p w14:paraId="16B019D3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i/>
                <w:iCs/>
                <w:sz w:val="22"/>
                <w:szCs w:val="22"/>
              </w:rPr>
              <w:t>Manikin 13k</w:t>
            </w:r>
          </w:p>
        </w:tc>
        <w:tc>
          <w:tcPr>
            <w:tcW w:w="1134" w:type="dxa"/>
          </w:tcPr>
          <w:p w14:paraId="16B019D4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1.13</w:t>
            </w:r>
          </w:p>
        </w:tc>
        <w:tc>
          <w:tcPr>
            <w:tcW w:w="1418" w:type="dxa"/>
          </w:tcPr>
          <w:p w14:paraId="16B019D5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3.99</w:t>
            </w:r>
          </w:p>
        </w:tc>
        <w:tc>
          <w:tcPr>
            <w:tcW w:w="1559" w:type="dxa"/>
          </w:tcPr>
          <w:p w14:paraId="16B019D6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1.86</w:t>
            </w:r>
          </w:p>
        </w:tc>
        <w:tc>
          <w:tcPr>
            <w:tcW w:w="1134" w:type="dxa"/>
          </w:tcPr>
          <w:p w14:paraId="16B019D7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2.62</w:t>
            </w:r>
          </w:p>
        </w:tc>
      </w:tr>
      <w:tr w:rsidR="0037540E" w14:paraId="16B019DE" w14:textId="77777777" w:rsidTr="006B7A4E">
        <w:tc>
          <w:tcPr>
            <w:tcW w:w="1809" w:type="dxa"/>
          </w:tcPr>
          <w:p w14:paraId="16B019D9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i/>
                <w:iCs/>
                <w:sz w:val="22"/>
                <w:szCs w:val="22"/>
              </w:rPr>
              <w:t>Dragon 100k</w:t>
            </w:r>
          </w:p>
        </w:tc>
        <w:tc>
          <w:tcPr>
            <w:tcW w:w="1134" w:type="dxa"/>
          </w:tcPr>
          <w:p w14:paraId="16B019DA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1.29</w:t>
            </w:r>
          </w:p>
        </w:tc>
        <w:tc>
          <w:tcPr>
            <w:tcW w:w="1418" w:type="dxa"/>
          </w:tcPr>
          <w:p w14:paraId="16B019DB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2.01</w:t>
            </w:r>
          </w:p>
        </w:tc>
        <w:tc>
          <w:tcPr>
            <w:tcW w:w="1559" w:type="dxa"/>
          </w:tcPr>
          <w:p w14:paraId="16B019DC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1.62</w:t>
            </w:r>
          </w:p>
        </w:tc>
        <w:tc>
          <w:tcPr>
            <w:tcW w:w="1134" w:type="dxa"/>
          </w:tcPr>
          <w:p w14:paraId="16B019DD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1.86</w:t>
            </w:r>
          </w:p>
        </w:tc>
      </w:tr>
      <w:tr w:rsidR="0037540E" w14:paraId="16B019E4" w14:textId="77777777" w:rsidTr="006B7A4E">
        <w:tc>
          <w:tcPr>
            <w:tcW w:w="1809" w:type="dxa"/>
          </w:tcPr>
          <w:p w14:paraId="16B019DF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i/>
                <w:iCs/>
                <w:sz w:val="22"/>
                <w:szCs w:val="22"/>
              </w:rPr>
              <w:t>Lucy 50k</w:t>
            </w:r>
          </w:p>
        </w:tc>
        <w:tc>
          <w:tcPr>
            <w:tcW w:w="1134" w:type="dxa"/>
          </w:tcPr>
          <w:p w14:paraId="16B019E0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1.02</w:t>
            </w:r>
          </w:p>
        </w:tc>
        <w:tc>
          <w:tcPr>
            <w:tcW w:w="1418" w:type="dxa"/>
          </w:tcPr>
          <w:p w14:paraId="16B019E1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2.82</w:t>
            </w:r>
          </w:p>
        </w:tc>
        <w:tc>
          <w:tcPr>
            <w:tcW w:w="1559" w:type="dxa"/>
          </w:tcPr>
          <w:p w14:paraId="16B019E2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2.82</w:t>
            </w:r>
          </w:p>
        </w:tc>
        <w:tc>
          <w:tcPr>
            <w:tcW w:w="1134" w:type="dxa"/>
          </w:tcPr>
          <w:p w14:paraId="16B019E3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2.82</w:t>
            </w:r>
          </w:p>
        </w:tc>
      </w:tr>
      <w:tr w:rsidR="0037540E" w14:paraId="16B019EA" w14:textId="77777777" w:rsidTr="006B7A4E">
        <w:tc>
          <w:tcPr>
            <w:tcW w:w="1809" w:type="dxa"/>
            <w:tcBorders>
              <w:bottom w:val="single" w:sz="8" w:space="0" w:color="auto"/>
            </w:tcBorders>
          </w:tcPr>
          <w:p w14:paraId="16B019E5" w14:textId="77777777" w:rsidR="0037540E" w:rsidRPr="006B7A4E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Average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9E6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1.22</w:t>
            </w:r>
          </w:p>
        </w:tc>
        <w:tc>
          <w:tcPr>
            <w:tcW w:w="1418" w:type="dxa"/>
            <w:tcBorders>
              <w:bottom w:val="single" w:sz="8" w:space="0" w:color="auto"/>
            </w:tcBorders>
          </w:tcPr>
          <w:p w14:paraId="16B019E7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sz w:val="22"/>
                <w:szCs w:val="22"/>
              </w:rPr>
              <w:t>2.82</w:t>
            </w:r>
          </w:p>
        </w:tc>
        <w:tc>
          <w:tcPr>
            <w:tcW w:w="1559" w:type="dxa"/>
            <w:tcBorders>
              <w:bottom w:val="single" w:sz="8" w:space="0" w:color="auto"/>
            </w:tcBorders>
          </w:tcPr>
          <w:p w14:paraId="16B019E8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b/>
                <w:bCs/>
                <w:sz w:val="22"/>
                <w:szCs w:val="22"/>
              </w:rPr>
              <w:t>1.94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9E9" w14:textId="77777777" w:rsidR="0037540E" w:rsidRPr="006B7A4E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7A4E">
              <w:rPr>
                <w:b/>
                <w:bCs/>
                <w:sz w:val="22"/>
                <w:szCs w:val="22"/>
              </w:rPr>
              <w:t>2.37</w:t>
            </w:r>
          </w:p>
        </w:tc>
      </w:tr>
      <w:bookmarkEnd w:id="33"/>
    </w:tbl>
    <w:p w14:paraId="0FC94BEC" w14:textId="77777777" w:rsidR="000A195C" w:rsidRDefault="000A195C">
      <w:pPr>
        <w:pStyle w:val="a0"/>
        <w:ind w:firstLine="240"/>
      </w:pPr>
    </w:p>
    <w:p w14:paraId="16B019EB" w14:textId="274340D9" w:rsidR="0037540E" w:rsidRDefault="00DB1A6E">
      <w:pPr>
        <w:pStyle w:val="a0"/>
        <w:ind w:firstLine="240"/>
      </w:pPr>
      <w:r>
        <w:t>The in-sample average 1.94 becomes 2.37 under LOMO but remains better than PCA (</w:t>
      </w:r>
      <w:r>
        <w:rPr>
          <w:rFonts w:hint="eastAsia"/>
          <w:lang w:eastAsia="ko-KR"/>
        </w:rPr>
        <w:t>3</w:t>
      </w:r>
      <w:r>
        <w:rPr>
          <w:lang w:eastAsia="ko-KR"/>
        </w:rPr>
        <w:t xml:space="preserve">.63) and </w:t>
      </w:r>
      <w:r>
        <w:t>the symmetric Support Tensor baseline (4.30).</w:t>
      </w:r>
      <w:r w:rsidR="007D3F04">
        <w:t xml:space="preserve"> </w:t>
      </w:r>
      <w:r w:rsidR="00BF692A">
        <w:t>Table </w:t>
      </w:r>
      <w:hyperlink w:anchor="tab:unified">
        <w:r w:rsidR="00BF692A">
          <w:rPr>
            <w:rStyle w:val="ac"/>
          </w:rPr>
          <w:t>9</w:t>
        </w:r>
      </w:hyperlink>
      <w:r w:rsidR="00BF692A">
        <w:t xml:space="preserve"> summarizes the comparison between the two models.</w:t>
      </w:r>
      <w:r w:rsidR="007D3F04">
        <w:t xml:space="preserve"> The larger five-group nested CV gives the same qualitative message: median ratios remain close to one, but a few high-angle hard cases dominate the mean. </w:t>
      </w:r>
      <w:r w:rsidR="000E126F">
        <w:t xml:space="preserve">Critical angle matching and dimensional normalization did not consistently improve the ranking, and the coarse-sampling oracle in Supplementary Table S4 shows that </w:t>
      </w:r>
      <w:r w:rsidR="000E126F">
        <w:rPr>
          <w:i/>
          <w:iCs/>
        </w:rPr>
        <w:t>Happy 50k</w:t>
      </w:r>
      <w:r w:rsidR="000E126F">
        <w:t xml:space="preserve"> is mainly a candidate-coverage/local-verification problem.</w:t>
      </w:r>
    </w:p>
    <w:p w14:paraId="16B019EC" w14:textId="4E68BC9D" w:rsidR="0037540E" w:rsidRDefault="007402CB">
      <w:pPr>
        <w:pStyle w:val="TableCaption"/>
      </w:pPr>
      <w:bookmarkStart w:id="34" w:name="tab:unified"/>
      <w:r>
        <w:rPr>
          <w:b/>
          <w:bCs/>
          <w:i w:val="0"/>
        </w:rPr>
        <w:t>Table</w:t>
      </w:r>
      <w:r w:rsidRPr="00657CFE">
        <w:rPr>
          <w:b/>
          <w:bCs/>
          <w:i w:val="0"/>
        </w:rPr>
        <w:t xml:space="preserve"> </w:t>
      </w:r>
      <w:r>
        <w:rPr>
          <w:b/>
          <w:bCs/>
          <w:i w:val="0"/>
        </w:rPr>
        <w:t xml:space="preserve">9 </w:t>
      </w:r>
      <w:r w:rsidR="007D3F04">
        <w:t xml:space="preserve">Unified comparison of existing methods and SFTF (best-of-3 signed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 w:rsidR="007D3F04">
        <w:t xml:space="preserve"> ratio, lower is better). </w:t>
      </w:r>
      <w:r w:rsidR="000E126F">
        <w:t>SFTF-tuned is a cross-validated generalization estimate.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1134"/>
        <w:gridCol w:w="1418"/>
        <w:gridCol w:w="1027"/>
        <w:gridCol w:w="1185"/>
        <w:gridCol w:w="1110"/>
      </w:tblGrid>
      <w:tr w:rsidR="0037540E" w14:paraId="16B019F3" w14:textId="77777777" w:rsidTr="00384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top w:val="single" w:sz="8" w:space="0" w:color="auto"/>
            </w:tcBorders>
          </w:tcPr>
          <w:p w14:paraId="16B019ED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Mesh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16B019EE" w14:textId="77777777" w:rsidR="0037540E" w:rsidRPr="001A3892" w:rsidRDefault="007D3F04" w:rsidP="00142D7D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PCA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16B019EF" w14:textId="5EA44F35" w:rsidR="0037540E" w:rsidRPr="001A3892" w:rsidRDefault="007D3F04" w:rsidP="00142D7D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Support</w:t>
            </w:r>
            <w:r w:rsidR="002774D1">
              <w:rPr>
                <w:sz w:val="22"/>
                <w:szCs w:val="22"/>
              </w:rPr>
              <w:br/>
            </w:r>
            <w:r w:rsidRPr="001A3892">
              <w:rPr>
                <w:sz w:val="22"/>
                <w:szCs w:val="22"/>
              </w:rPr>
              <w:t xml:space="preserve"> Tensor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</w:tcPr>
          <w:p w14:paraId="16B019F0" w14:textId="223464AC" w:rsidR="0037540E" w:rsidRPr="001A3892" w:rsidRDefault="007D3F04" w:rsidP="00142D7D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SFTF</w:t>
            </w:r>
            <w:r w:rsidR="002774D1">
              <w:rPr>
                <w:sz w:val="22"/>
                <w:szCs w:val="22"/>
              </w:rPr>
              <w:br/>
            </w:r>
            <w:r w:rsidRPr="001A3892">
              <w:rPr>
                <w:sz w:val="22"/>
                <w:szCs w:val="22"/>
              </w:rPr>
              <w:t xml:space="preserve"> untuned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</w:tcPr>
          <w:p w14:paraId="16B019F1" w14:textId="69DB9DF2" w:rsidR="0037540E" w:rsidRPr="001A3892" w:rsidRDefault="007D3F04" w:rsidP="00142D7D">
            <w:pPr>
              <w:pStyle w:val="Compact"/>
              <w:ind w:leftChars="-9" w:hangingChars="10" w:hanging="22"/>
              <w:jc w:val="center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 xml:space="preserve">SFTF tuned </w:t>
            </w:r>
            <w:r w:rsidR="00F112E0">
              <w:rPr>
                <w:sz w:val="22"/>
                <w:szCs w:val="22"/>
              </w:rPr>
              <w:br/>
            </w:r>
            <w:r w:rsidRPr="001A3892">
              <w:rPr>
                <w:sz w:val="22"/>
                <w:szCs w:val="22"/>
              </w:rPr>
              <w:t>(LOMO)</w:t>
            </w:r>
          </w:p>
        </w:tc>
        <w:tc>
          <w:tcPr>
            <w:tcW w:w="1110" w:type="dxa"/>
            <w:tcBorders>
              <w:top w:val="single" w:sz="8" w:space="0" w:color="auto"/>
            </w:tcBorders>
            <w:vAlign w:val="center"/>
          </w:tcPr>
          <w:p w14:paraId="16B019F2" w14:textId="77777777" w:rsidR="0037540E" w:rsidRPr="001A3892" w:rsidRDefault="007D3F04" w:rsidP="00142D7D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oracle</w:t>
            </w:r>
          </w:p>
        </w:tc>
      </w:tr>
      <w:tr w:rsidR="0037540E" w14:paraId="16B019FA" w14:textId="77777777" w:rsidTr="00384169">
        <w:tc>
          <w:tcPr>
            <w:tcW w:w="1809" w:type="dxa"/>
          </w:tcPr>
          <w:p w14:paraId="16B019F4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i/>
                <w:iCs/>
                <w:sz w:val="22"/>
                <w:szCs w:val="22"/>
              </w:rPr>
              <w:t>Bunny 69k</w:t>
            </w:r>
          </w:p>
        </w:tc>
        <w:tc>
          <w:tcPr>
            <w:tcW w:w="1134" w:type="dxa"/>
          </w:tcPr>
          <w:p w14:paraId="16B019F5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2.82</w:t>
            </w:r>
          </w:p>
        </w:tc>
        <w:tc>
          <w:tcPr>
            <w:tcW w:w="1418" w:type="dxa"/>
          </w:tcPr>
          <w:p w14:paraId="16B019F6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3.71</w:t>
            </w:r>
          </w:p>
        </w:tc>
        <w:tc>
          <w:tcPr>
            <w:tcW w:w="0" w:type="auto"/>
          </w:tcPr>
          <w:p w14:paraId="16B019F7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2.47</w:t>
            </w:r>
          </w:p>
        </w:tc>
        <w:tc>
          <w:tcPr>
            <w:tcW w:w="0" w:type="auto"/>
          </w:tcPr>
          <w:p w14:paraId="16B019F8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2.20</w:t>
            </w:r>
          </w:p>
        </w:tc>
        <w:tc>
          <w:tcPr>
            <w:tcW w:w="1110" w:type="dxa"/>
          </w:tcPr>
          <w:p w14:paraId="16B019F9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1.46</w:t>
            </w:r>
          </w:p>
        </w:tc>
      </w:tr>
      <w:tr w:rsidR="0037540E" w14:paraId="16B01A01" w14:textId="77777777" w:rsidTr="00384169">
        <w:tc>
          <w:tcPr>
            <w:tcW w:w="1809" w:type="dxa"/>
          </w:tcPr>
          <w:p w14:paraId="16B019FB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i/>
                <w:iCs/>
                <w:sz w:val="22"/>
                <w:szCs w:val="22"/>
              </w:rPr>
              <w:t>Manikin 13k</w:t>
            </w:r>
          </w:p>
        </w:tc>
        <w:tc>
          <w:tcPr>
            <w:tcW w:w="1134" w:type="dxa"/>
          </w:tcPr>
          <w:p w14:paraId="16B019FC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2.65</w:t>
            </w:r>
          </w:p>
        </w:tc>
        <w:tc>
          <w:tcPr>
            <w:tcW w:w="1418" w:type="dxa"/>
          </w:tcPr>
          <w:p w14:paraId="16B019FD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2.50</w:t>
            </w:r>
          </w:p>
        </w:tc>
        <w:tc>
          <w:tcPr>
            <w:tcW w:w="0" w:type="auto"/>
          </w:tcPr>
          <w:p w14:paraId="16B019FE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3.99</w:t>
            </w:r>
          </w:p>
        </w:tc>
        <w:tc>
          <w:tcPr>
            <w:tcW w:w="0" w:type="auto"/>
          </w:tcPr>
          <w:p w14:paraId="16B019FF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2.62</w:t>
            </w:r>
          </w:p>
        </w:tc>
        <w:tc>
          <w:tcPr>
            <w:tcW w:w="1110" w:type="dxa"/>
          </w:tcPr>
          <w:p w14:paraId="16B01A00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1.13</w:t>
            </w:r>
          </w:p>
        </w:tc>
      </w:tr>
      <w:tr w:rsidR="0037540E" w14:paraId="16B01A08" w14:textId="77777777" w:rsidTr="00384169">
        <w:tc>
          <w:tcPr>
            <w:tcW w:w="1809" w:type="dxa"/>
          </w:tcPr>
          <w:p w14:paraId="16B01A02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i/>
                <w:iCs/>
                <w:sz w:val="22"/>
                <w:szCs w:val="22"/>
              </w:rPr>
              <w:t>Dragon 100k</w:t>
            </w:r>
          </w:p>
        </w:tc>
        <w:tc>
          <w:tcPr>
            <w:tcW w:w="1134" w:type="dxa"/>
          </w:tcPr>
          <w:p w14:paraId="16B01A03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2.69</w:t>
            </w:r>
          </w:p>
        </w:tc>
        <w:tc>
          <w:tcPr>
            <w:tcW w:w="1418" w:type="dxa"/>
          </w:tcPr>
          <w:p w14:paraId="16B01A04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2.33</w:t>
            </w:r>
          </w:p>
        </w:tc>
        <w:tc>
          <w:tcPr>
            <w:tcW w:w="0" w:type="auto"/>
          </w:tcPr>
          <w:p w14:paraId="16B01A05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2.01</w:t>
            </w:r>
          </w:p>
        </w:tc>
        <w:tc>
          <w:tcPr>
            <w:tcW w:w="0" w:type="auto"/>
          </w:tcPr>
          <w:p w14:paraId="16B01A06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1.86</w:t>
            </w:r>
          </w:p>
        </w:tc>
        <w:tc>
          <w:tcPr>
            <w:tcW w:w="1110" w:type="dxa"/>
          </w:tcPr>
          <w:p w14:paraId="16B01A07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1.29</w:t>
            </w:r>
          </w:p>
        </w:tc>
      </w:tr>
      <w:tr w:rsidR="0037540E" w14:paraId="16B01A0F" w14:textId="77777777" w:rsidTr="00384169">
        <w:tc>
          <w:tcPr>
            <w:tcW w:w="1809" w:type="dxa"/>
          </w:tcPr>
          <w:p w14:paraId="16B01A09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i/>
                <w:iCs/>
                <w:sz w:val="22"/>
                <w:szCs w:val="22"/>
              </w:rPr>
              <w:t>Lucy 50k</w:t>
            </w:r>
          </w:p>
        </w:tc>
        <w:tc>
          <w:tcPr>
            <w:tcW w:w="1134" w:type="dxa"/>
          </w:tcPr>
          <w:p w14:paraId="16B01A0A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6.37</w:t>
            </w:r>
          </w:p>
        </w:tc>
        <w:tc>
          <w:tcPr>
            <w:tcW w:w="1418" w:type="dxa"/>
          </w:tcPr>
          <w:p w14:paraId="16B01A0B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8.67</w:t>
            </w:r>
          </w:p>
        </w:tc>
        <w:tc>
          <w:tcPr>
            <w:tcW w:w="0" w:type="auto"/>
          </w:tcPr>
          <w:p w14:paraId="16B01A0C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2.82</w:t>
            </w:r>
          </w:p>
        </w:tc>
        <w:tc>
          <w:tcPr>
            <w:tcW w:w="0" w:type="auto"/>
          </w:tcPr>
          <w:p w14:paraId="16B01A0D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2.82</w:t>
            </w:r>
          </w:p>
        </w:tc>
        <w:tc>
          <w:tcPr>
            <w:tcW w:w="1110" w:type="dxa"/>
          </w:tcPr>
          <w:p w14:paraId="16B01A0E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1.02</w:t>
            </w:r>
          </w:p>
        </w:tc>
      </w:tr>
      <w:tr w:rsidR="0037540E" w14:paraId="16B01A16" w14:textId="77777777" w:rsidTr="00384169">
        <w:tc>
          <w:tcPr>
            <w:tcW w:w="1809" w:type="dxa"/>
            <w:tcBorders>
              <w:bottom w:val="single" w:sz="8" w:space="0" w:color="auto"/>
            </w:tcBorders>
          </w:tcPr>
          <w:p w14:paraId="16B01A10" w14:textId="77777777" w:rsidR="0037540E" w:rsidRPr="001A3892" w:rsidRDefault="007D3F04">
            <w:pPr>
              <w:pStyle w:val="Compact"/>
              <w:ind w:firstLine="220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Average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A11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3.63</w:t>
            </w:r>
          </w:p>
        </w:tc>
        <w:tc>
          <w:tcPr>
            <w:tcW w:w="1418" w:type="dxa"/>
            <w:tcBorders>
              <w:bottom w:val="single" w:sz="8" w:space="0" w:color="auto"/>
            </w:tcBorders>
          </w:tcPr>
          <w:p w14:paraId="16B01A12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4.30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A13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2.82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6B01A14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b/>
                <w:bCs/>
                <w:sz w:val="22"/>
                <w:szCs w:val="22"/>
              </w:rPr>
              <w:t>2.37</w:t>
            </w:r>
          </w:p>
        </w:tc>
        <w:tc>
          <w:tcPr>
            <w:tcW w:w="1110" w:type="dxa"/>
            <w:tcBorders>
              <w:bottom w:val="single" w:sz="8" w:space="0" w:color="auto"/>
            </w:tcBorders>
          </w:tcPr>
          <w:p w14:paraId="16B01A15" w14:textId="77777777" w:rsidR="0037540E" w:rsidRPr="001A3892" w:rsidRDefault="007D3F04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1A3892">
              <w:rPr>
                <w:sz w:val="22"/>
                <w:szCs w:val="22"/>
              </w:rPr>
              <w:t>1.22</w:t>
            </w:r>
          </w:p>
        </w:tc>
      </w:tr>
    </w:tbl>
    <w:p w14:paraId="16B01A17" w14:textId="06EEDBD8" w:rsidR="0037540E" w:rsidRDefault="007D3F04" w:rsidP="005806B0">
      <w:pPr>
        <w:pStyle w:val="2"/>
        <w:numPr>
          <w:ilvl w:val="1"/>
          <w:numId w:val="5"/>
        </w:numPr>
      </w:pPr>
      <w:bookmarkStart w:id="35" w:name="sec:fivegroup"/>
      <w:bookmarkEnd w:id="25"/>
      <w:bookmarkEnd w:id="34"/>
      <w:r>
        <w:lastRenderedPageBreak/>
        <w:t>Five-Group Implementation Audit</w:t>
      </w:r>
    </w:p>
    <w:p w14:paraId="16B01A1A" w14:textId="03EACE24" w:rsidR="00B47C8B" w:rsidRDefault="007D3F04" w:rsidP="009B6A57">
      <w:pPr>
        <w:pStyle w:val="FirstParagraph"/>
        <w:ind w:firstLine="240"/>
      </w:pPr>
      <w:bookmarkStart w:id="36" w:name="sec:impl-compare"/>
      <w:bookmarkEnd w:id="36"/>
      <w:r>
        <w:t xml:space="preserve"> </w:t>
      </w:r>
      <w:bookmarkStart w:id="37" w:name="sec:groupE"/>
      <w:bookmarkEnd w:id="37"/>
      <w:r>
        <w:t xml:space="preserve"> </w:t>
      </w:r>
      <w:bookmarkStart w:id="38" w:name="sec:critangle"/>
      <w:bookmarkEnd w:id="38"/>
      <w:r>
        <w:t xml:space="preserve"> </w:t>
      </w:r>
      <w:bookmarkStart w:id="39" w:name="sec:kray-discussion"/>
      <w:bookmarkEnd w:id="39"/>
      <w:r w:rsidR="00DB1A6E">
        <w:t>The A–E audit separates shape difficulty from the mesh scale.</w:t>
      </w:r>
      <w:r w:rsidR="009B6A57">
        <w:t xml:space="preserve"> </w:t>
      </w:r>
      <w:r w:rsidR="00DB1A6E">
        <w:t xml:space="preserve">This compares </w:t>
      </w:r>
      <w:r w:rsidR="00DB1A6E">
        <w:rPr>
          <w:i/>
          <w:iCs/>
        </w:rPr>
        <w:t>TOMO_CPU</w:t>
      </w:r>
      <w:r w:rsidR="00DB1A6E">
        <w:t xml:space="preserve">, </w:t>
      </w:r>
      <w:r w:rsidR="00DB1A6E" w:rsidRPr="00A3026F">
        <w:rPr>
          <w:i/>
          <w:iCs/>
        </w:rPr>
        <w:t>TOMO_CUDA</w:t>
      </w:r>
      <w:r w:rsidR="00DB1A6E">
        <w:t xml:space="preserve">, Python </w:t>
      </w:r>
      <w:r w:rsidR="00DB1A6E" w:rsidRPr="008454F7">
        <w:rPr>
          <w:i/>
          <w:iCs/>
        </w:rPr>
        <w:t>SFTF</w:t>
      </w:r>
      <w:r w:rsidR="00DB1A6E">
        <w:t xml:space="preserve">, and C++ </w:t>
      </w:r>
      <w:r w:rsidR="00DB1A6E" w:rsidRPr="008454F7">
        <w:rPr>
          <w:i/>
          <w:iCs/>
        </w:rPr>
        <w:t>SFTF</w:t>
      </w:r>
      <w:r w:rsidR="00DB1A6E">
        <w:t xml:space="preserve"> for the same 3</w:t>
      </w:r>
      <w:r w:rsidR="00DB1A6E" w:rsidRPr="00DB09EF">
        <w:rPr>
          <w:rFonts w:hint="eastAsia"/>
        </w:rPr>
        <w:t>°</w:t>
      </w:r>
      <w:r w:rsidR="00DB1A6E" w:rsidRPr="007C2F1F">
        <w:rPr>
          <w:rFonts w:hint="eastAsia"/>
        </w:rPr>
        <w:t xml:space="preserve"> </w:t>
      </w:r>
      <w:r w:rsidR="00DB1A6E" w:rsidRPr="007C2F1F">
        <w:rPr>
          <w:rFonts w:ascii="Times New Roman" w:hAnsi="Times New Roman" w:cs="Times New Roman"/>
          <w:lang w:eastAsia="ko-KR"/>
        </w:rPr>
        <w:t>θ</w:t>
      </w:r>
      <w:r w:rsidR="00DB1A6E" w:rsidRPr="007C2F1F">
        <w:rPr>
          <w:rFonts w:ascii="Times New Roman" w:hAnsi="Times New Roman" w:cs="Times New Roman"/>
          <w:vertAlign w:val="subscript"/>
          <w:lang w:eastAsia="ko-KR"/>
        </w:rPr>
        <w:t>c</w:t>
      </w:r>
      <w:r w:rsidR="00DB1A6E">
        <w:rPr>
          <w:lang w:eastAsia="ko-KR"/>
        </w:rPr>
        <w:t>=60</w:t>
      </w:r>
      <w:r w:rsidR="00DB1A6E" w:rsidRPr="00DB09EF">
        <w:rPr>
          <w:rFonts w:hint="eastAsia"/>
          <w:lang w:eastAsia="ko-KR"/>
        </w:rPr>
        <w:t>°</w:t>
      </w:r>
      <w:r w:rsidR="00DB1A6E">
        <w:rPr>
          <w:rFonts w:hint="eastAsia"/>
          <w:lang w:eastAsia="ko-KR"/>
        </w:rPr>
        <w:t xml:space="preserve"> </w:t>
      </w:r>
      <w:r w:rsidR="00DB1A6E">
        <w:t xml:space="preserve">  sweep setting.</w:t>
      </w:r>
      <w:r>
        <w:rPr>
          <w:rStyle w:val="ab"/>
        </w:rPr>
        <w:footnoteReference w:id="2"/>
      </w:r>
      <w:r>
        <w:t xml:space="preserve"> </w:t>
      </w:r>
      <w:r w:rsidR="00DB1A6E">
        <w:t>The full per-mesh timing table is presented in Supplementary Table S1, and Table </w:t>
      </w:r>
      <w:hyperlink w:anchor="tab:fivegroup-impl">
        <w:r w:rsidR="00DB1A6E">
          <w:rPr>
            <w:rStyle w:val="ac"/>
          </w:rPr>
          <w:t>10</w:t>
        </w:r>
      </w:hyperlink>
      <w:r w:rsidR="00DB1A6E">
        <w:t xml:space="preserve"> presents the group averages.</w:t>
      </w:r>
    </w:p>
    <w:p w14:paraId="6691BFEB" w14:textId="77777777" w:rsidR="0037540E" w:rsidRDefault="0037540E">
      <w:pPr>
        <w:pStyle w:val="a0"/>
        <w:ind w:firstLine="240"/>
      </w:pPr>
    </w:p>
    <w:p w14:paraId="16B01A1B" w14:textId="18C2CD4B" w:rsidR="0037540E" w:rsidRDefault="00BB6187" w:rsidP="00F82922">
      <w:pPr>
        <w:pStyle w:val="TableCaption"/>
      </w:pPr>
      <w:bookmarkStart w:id="40" w:name="tab:fivegroup-impl"/>
      <w:r>
        <w:rPr>
          <w:b/>
          <w:bCs/>
          <w:i w:val="0"/>
        </w:rPr>
        <w:t>Table</w:t>
      </w:r>
      <w:r w:rsidRPr="00657CFE">
        <w:rPr>
          <w:b/>
          <w:bCs/>
          <w:i w:val="0"/>
        </w:rPr>
        <w:t xml:space="preserve"> </w:t>
      </w:r>
      <w:r>
        <w:rPr>
          <w:b/>
          <w:bCs/>
          <w:i w:val="0"/>
        </w:rPr>
        <w:t xml:space="preserve">10 </w:t>
      </w:r>
      <w:r w:rsidR="00F82922">
        <w:t xml:space="preserve">Group-wise average execution time and speed ratio. </w:t>
      </w:r>
      <w:r w:rsidR="00BF692A">
        <w:t>The C++ SFTF average is in ms, whereas the</w:t>
      </w:r>
      <w:r w:rsidR="005F662D">
        <w:t xml:space="preserve"> two</w:t>
      </w:r>
      <w:r w:rsidR="00BF692A">
        <w:t xml:space="preserve"> TOMO</w:t>
      </w:r>
      <w:r w:rsidR="005F662D">
        <w:t>’s</w:t>
      </w:r>
      <w:r w:rsidR="00BF692A">
        <w:t xml:space="preserve"> and Python SFTF averages are in seconds.</w:t>
      </w:r>
      <w:r w:rsidR="00F82922">
        <w:t xml:space="preserve"> </w:t>
      </w:r>
      <w:r w:rsidR="00DB1A6E">
        <w:t>A TOMO_CUDA/TOMO_CPU ratio greater than 1 indicates a case where the CUDA backend is slower than the CPU.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1"/>
        <w:gridCol w:w="1134"/>
        <w:gridCol w:w="1134"/>
        <w:gridCol w:w="1067"/>
        <w:gridCol w:w="1156"/>
        <w:gridCol w:w="1604"/>
        <w:gridCol w:w="1843"/>
      </w:tblGrid>
      <w:tr w:rsidR="000268A0" w14:paraId="16B01A20" w14:textId="77777777" w:rsidTr="00E70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vMerge w:val="restart"/>
            <w:tcBorders>
              <w:top w:val="single" w:sz="8" w:space="0" w:color="auto"/>
            </w:tcBorders>
            <w:vAlign w:val="center"/>
          </w:tcPr>
          <w:p w14:paraId="16B01A1C" w14:textId="6D767F8F" w:rsidR="000268A0" w:rsidRPr="00B47C8B" w:rsidRDefault="000268A0" w:rsidP="00B47C8B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B47C8B">
              <w:rPr>
                <w:sz w:val="22"/>
                <w:szCs w:val="22"/>
              </w:rPr>
              <w:t>Group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</w:tcBorders>
          </w:tcPr>
          <w:p w14:paraId="16B01A1D" w14:textId="77777777" w:rsidR="000268A0" w:rsidRPr="00B47C8B" w:rsidRDefault="000268A0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B47C8B">
              <w:rPr>
                <w:sz w:val="22"/>
                <w:szCs w:val="22"/>
              </w:rPr>
              <w:t>TOMO</w:t>
            </w:r>
          </w:p>
        </w:tc>
        <w:tc>
          <w:tcPr>
            <w:tcW w:w="2223" w:type="dxa"/>
            <w:gridSpan w:val="2"/>
            <w:tcBorders>
              <w:top w:val="single" w:sz="8" w:space="0" w:color="auto"/>
            </w:tcBorders>
          </w:tcPr>
          <w:p w14:paraId="16B01A1E" w14:textId="77777777" w:rsidR="000268A0" w:rsidRPr="00B47C8B" w:rsidRDefault="000268A0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B47C8B">
              <w:rPr>
                <w:sz w:val="22"/>
                <w:szCs w:val="22"/>
              </w:rPr>
              <w:t>SFTF</w:t>
            </w:r>
          </w:p>
        </w:tc>
        <w:tc>
          <w:tcPr>
            <w:tcW w:w="3447" w:type="dxa"/>
            <w:gridSpan w:val="2"/>
            <w:tcBorders>
              <w:top w:val="single" w:sz="8" w:space="0" w:color="auto"/>
            </w:tcBorders>
          </w:tcPr>
          <w:p w14:paraId="16B01A1F" w14:textId="77777777" w:rsidR="000268A0" w:rsidRPr="00B47C8B" w:rsidRDefault="000268A0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B47C8B">
              <w:rPr>
                <w:sz w:val="22"/>
                <w:szCs w:val="22"/>
              </w:rPr>
              <w:t>comparison</w:t>
            </w:r>
          </w:p>
        </w:tc>
      </w:tr>
      <w:tr w:rsidR="00F1290F" w14:paraId="16B01A28" w14:textId="77777777" w:rsidTr="00E70714">
        <w:tc>
          <w:tcPr>
            <w:tcW w:w="1101" w:type="dxa"/>
            <w:vMerge/>
            <w:tcBorders>
              <w:bottom w:val="single" w:sz="2" w:space="0" w:color="auto"/>
            </w:tcBorders>
            <w:vAlign w:val="center"/>
          </w:tcPr>
          <w:p w14:paraId="16B01A21" w14:textId="113744A5" w:rsidR="00F1290F" w:rsidRPr="00B47C8B" w:rsidRDefault="00F1290F" w:rsidP="00F1290F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</w:tcPr>
          <w:p w14:paraId="16B01A22" w14:textId="13CE5A11" w:rsidR="00F1290F" w:rsidRPr="00B47C8B" w:rsidRDefault="00F1290F" w:rsidP="00F1290F">
            <w:pPr>
              <w:pStyle w:val="Compact"/>
              <w:ind w:firstLine="200"/>
              <w:jc w:val="right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CPU</w:t>
            </w:r>
            <w:r>
              <w:rPr>
                <w:rFonts w:ascii="Aptos" w:eastAsia="맑은 고딕" w:hAnsi="Aptos" w:cs="Times New Roman"/>
                <w:sz w:val="20"/>
                <w:szCs w:val="20"/>
                <w:lang w:eastAsia="ko-KR"/>
              </w:rPr>
              <w:t>(s)</w:t>
            </w:r>
          </w:p>
        </w:tc>
        <w:tc>
          <w:tcPr>
            <w:tcW w:w="1134" w:type="dxa"/>
            <w:tcBorders>
              <w:bottom w:val="single" w:sz="2" w:space="0" w:color="auto"/>
            </w:tcBorders>
          </w:tcPr>
          <w:p w14:paraId="16B01A23" w14:textId="4040D12A" w:rsidR="00F1290F" w:rsidRPr="00B47C8B" w:rsidRDefault="00F1290F" w:rsidP="00F1290F">
            <w:pPr>
              <w:pStyle w:val="Compact"/>
              <w:ind w:firstLine="200"/>
              <w:jc w:val="right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CU</w:t>
            </w:r>
            <w:r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DA</w:t>
            </w:r>
            <w:r>
              <w:rPr>
                <w:rFonts w:ascii="Aptos" w:eastAsia="맑은 고딕" w:hAnsi="Aptos" w:cs="Times New Roman"/>
                <w:sz w:val="20"/>
                <w:szCs w:val="20"/>
                <w:lang w:eastAsia="ko-KR"/>
              </w:rPr>
              <w:t>(s)</w:t>
            </w:r>
          </w:p>
        </w:tc>
        <w:tc>
          <w:tcPr>
            <w:tcW w:w="1067" w:type="dxa"/>
            <w:tcBorders>
              <w:bottom w:val="single" w:sz="2" w:space="0" w:color="auto"/>
            </w:tcBorders>
          </w:tcPr>
          <w:p w14:paraId="16B01A24" w14:textId="060D0B3D" w:rsidR="00F1290F" w:rsidRPr="00B47C8B" w:rsidRDefault="00F1290F" w:rsidP="00F1290F">
            <w:pPr>
              <w:pStyle w:val="Compact"/>
              <w:ind w:firstLine="200"/>
              <w:jc w:val="right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py</w:t>
            </w:r>
            <w:r>
              <w:rPr>
                <w:rFonts w:ascii="Aptos" w:eastAsia="맑은 고딕" w:hAnsi="Aptos" w:cs="Times New Roman"/>
                <w:sz w:val="20"/>
                <w:szCs w:val="20"/>
                <w:lang w:eastAsia="ko-KR"/>
              </w:rPr>
              <w:t>(s)</w:t>
            </w:r>
          </w:p>
        </w:tc>
        <w:tc>
          <w:tcPr>
            <w:tcW w:w="1156" w:type="dxa"/>
            <w:tcBorders>
              <w:bottom w:val="single" w:sz="2" w:space="0" w:color="auto"/>
            </w:tcBorders>
          </w:tcPr>
          <w:p w14:paraId="16B01A25" w14:textId="46EAB66C" w:rsidR="00F1290F" w:rsidRPr="00B47C8B" w:rsidRDefault="00F1290F" w:rsidP="00F1290F">
            <w:pPr>
              <w:pStyle w:val="Compact"/>
              <w:ind w:firstLine="200"/>
              <w:jc w:val="right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</w:t>
            </w:r>
            <w:r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++</w:t>
            </w:r>
            <w:r>
              <w:rPr>
                <w:rFonts w:ascii="Aptos" w:eastAsia="맑은 고딕" w:hAnsi="Aptos" w:cs="Times New Roman"/>
                <w:sz w:val="20"/>
                <w:szCs w:val="20"/>
                <w:lang w:eastAsia="ko-KR"/>
              </w:rPr>
              <w:t>(ms)</w:t>
            </w:r>
          </w:p>
        </w:tc>
        <w:tc>
          <w:tcPr>
            <w:tcW w:w="1604" w:type="dxa"/>
            <w:tcBorders>
              <w:bottom w:val="single" w:sz="2" w:space="0" w:color="auto"/>
            </w:tcBorders>
          </w:tcPr>
          <w:p w14:paraId="16B01A26" w14:textId="02656EED" w:rsidR="00F1290F" w:rsidRPr="00B47C8B" w:rsidRDefault="00F1290F" w:rsidP="00BF2E03">
            <w:pPr>
              <w:pStyle w:val="Compact"/>
              <w:ind w:firstLine="200"/>
              <w:jc w:val="center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CPU</w:t>
            </w:r>
            <w:r w:rsidRPr="00FE4E18">
              <w:rPr>
                <w:sz w:val="18"/>
                <w:szCs w:val="18"/>
              </w:rPr>
              <w:t xml:space="preserve"> /</w:t>
            </w: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py</w:t>
            </w:r>
          </w:p>
        </w:tc>
        <w:tc>
          <w:tcPr>
            <w:tcW w:w="1843" w:type="dxa"/>
            <w:tcBorders>
              <w:bottom w:val="single" w:sz="2" w:space="0" w:color="auto"/>
            </w:tcBorders>
          </w:tcPr>
          <w:p w14:paraId="16B01A27" w14:textId="79E96F3A" w:rsidR="00F1290F" w:rsidRPr="00B47C8B" w:rsidRDefault="00F1290F" w:rsidP="00BF2E03">
            <w:pPr>
              <w:pStyle w:val="Compact"/>
              <w:ind w:firstLine="200"/>
              <w:jc w:val="center"/>
              <w:rPr>
                <w:sz w:val="22"/>
                <w:szCs w:val="22"/>
              </w:rPr>
            </w:pP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CPU</w:t>
            </w:r>
            <w:r w:rsidRPr="00FE4E18">
              <w:rPr>
                <w:sz w:val="18"/>
                <w:szCs w:val="18"/>
              </w:rPr>
              <w:t xml:space="preserve"> /</w:t>
            </w:r>
            <w:r>
              <w:rPr>
                <w:rFonts w:ascii="Aptos" w:eastAsia="맑은 고딕" w:hAnsi="Aptos" w:cs="Times New Roman" w:hint="eastAsia"/>
                <w:sz w:val="20"/>
                <w:szCs w:val="20"/>
                <w:lang w:eastAsia="ko-KR"/>
              </w:rPr>
              <w:t>t</w:t>
            </w:r>
            <w:r w:rsidRPr="00653D00"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C</w:t>
            </w:r>
            <w:r>
              <w:rPr>
                <w:rFonts w:ascii="Aptos" w:eastAsia="맑은 고딕" w:hAnsi="Aptos" w:cs="Times New Roman"/>
                <w:sz w:val="20"/>
                <w:szCs w:val="20"/>
                <w:vertAlign w:val="subscript"/>
                <w:lang w:eastAsia="ko-KR"/>
              </w:rPr>
              <w:t>++</w:t>
            </w:r>
          </w:p>
        </w:tc>
      </w:tr>
      <w:tr w:rsidR="00D71735" w14:paraId="16B01A30" w14:textId="77777777" w:rsidTr="00E70714">
        <w:tc>
          <w:tcPr>
            <w:tcW w:w="1101" w:type="dxa"/>
            <w:tcBorders>
              <w:top w:val="single" w:sz="2" w:space="0" w:color="auto"/>
            </w:tcBorders>
            <w:vAlign w:val="center"/>
          </w:tcPr>
          <w:p w14:paraId="16B01A29" w14:textId="77777777" w:rsidR="00D71735" w:rsidRPr="00D71735" w:rsidRDefault="00D71735" w:rsidP="00D71735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A</w:t>
            </w:r>
          </w:p>
        </w:tc>
        <w:tc>
          <w:tcPr>
            <w:tcW w:w="1134" w:type="dxa"/>
            <w:tcBorders>
              <w:top w:val="single" w:sz="2" w:space="0" w:color="auto"/>
            </w:tcBorders>
          </w:tcPr>
          <w:p w14:paraId="16B01A2A" w14:textId="33535854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42.75 </w:t>
            </w:r>
          </w:p>
        </w:tc>
        <w:tc>
          <w:tcPr>
            <w:tcW w:w="1134" w:type="dxa"/>
            <w:tcBorders>
              <w:top w:val="single" w:sz="2" w:space="0" w:color="auto"/>
            </w:tcBorders>
          </w:tcPr>
          <w:p w14:paraId="16B01A2B" w14:textId="32162E22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15.36 </w:t>
            </w:r>
          </w:p>
        </w:tc>
        <w:tc>
          <w:tcPr>
            <w:tcW w:w="1067" w:type="dxa"/>
            <w:tcBorders>
              <w:top w:val="single" w:sz="2" w:space="0" w:color="auto"/>
            </w:tcBorders>
          </w:tcPr>
          <w:p w14:paraId="16B01A2C" w14:textId="2007AFEC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0.32 </w:t>
            </w:r>
          </w:p>
        </w:tc>
        <w:tc>
          <w:tcPr>
            <w:tcW w:w="1156" w:type="dxa"/>
            <w:tcBorders>
              <w:top w:val="single" w:sz="2" w:space="0" w:color="auto"/>
            </w:tcBorders>
          </w:tcPr>
          <w:p w14:paraId="16B01A2D" w14:textId="05518EFF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8.9 </w:t>
            </w:r>
          </w:p>
        </w:tc>
        <w:tc>
          <w:tcPr>
            <w:tcW w:w="1604" w:type="dxa"/>
            <w:tcBorders>
              <w:top w:val="single" w:sz="2" w:space="0" w:color="auto"/>
            </w:tcBorders>
          </w:tcPr>
          <w:p w14:paraId="16B01A2E" w14:textId="38051B43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54.4–381.9×</w:t>
            </w:r>
          </w:p>
        </w:tc>
        <w:tc>
          <w:tcPr>
            <w:tcW w:w="1843" w:type="dxa"/>
            <w:tcBorders>
              <w:top w:val="single" w:sz="2" w:space="0" w:color="auto"/>
            </w:tcBorders>
          </w:tcPr>
          <w:p w14:paraId="16B01A2F" w14:textId="088D28ED" w:rsidR="00D71735" w:rsidRPr="00D71735" w:rsidRDefault="006B686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6865">
              <w:rPr>
                <w:sz w:val="22"/>
                <w:szCs w:val="22"/>
              </w:rPr>
              <w:t>1,683–50,641×</w:t>
            </w:r>
          </w:p>
        </w:tc>
      </w:tr>
      <w:tr w:rsidR="00D71735" w14:paraId="16B01A38" w14:textId="77777777" w:rsidTr="00E70714">
        <w:tc>
          <w:tcPr>
            <w:tcW w:w="1101" w:type="dxa"/>
            <w:vAlign w:val="center"/>
          </w:tcPr>
          <w:p w14:paraId="16B01A31" w14:textId="77777777" w:rsidR="00D71735" w:rsidRPr="00D71735" w:rsidRDefault="00D71735" w:rsidP="00D71735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B</w:t>
            </w:r>
          </w:p>
        </w:tc>
        <w:tc>
          <w:tcPr>
            <w:tcW w:w="1134" w:type="dxa"/>
          </w:tcPr>
          <w:p w14:paraId="16B01A32" w14:textId="5D78C93E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42.45 </w:t>
            </w:r>
          </w:p>
        </w:tc>
        <w:tc>
          <w:tcPr>
            <w:tcW w:w="1134" w:type="dxa"/>
          </w:tcPr>
          <w:p w14:paraId="16B01A33" w14:textId="47253381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14.94 </w:t>
            </w:r>
          </w:p>
        </w:tc>
        <w:tc>
          <w:tcPr>
            <w:tcW w:w="1067" w:type="dxa"/>
          </w:tcPr>
          <w:p w14:paraId="16B01A34" w14:textId="1A9A224F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0.38 </w:t>
            </w:r>
          </w:p>
        </w:tc>
        <w:tc>
          <w:tcPr>
            <w:tcW w:w="1156" w:type="dxa"/>
          </w:tcPr>
          <w:p w14:paraId="16B01A35" w14:textId="264A44FC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9.3 </w:t>
            </w:r>
          </w:p>
        </w:tc>
        <w:tc>
          <w:tcPr>
            <w:tcW w:w="1604" w:type="dxa"/>
          </w:tcPr>
          <w:p w14:paraId="16B01A36" w14:textId="096AA633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58.0–269.0×</w:t>
            </w:r>
          </w:p>
        </w:tc>
        <w:tc>
          <w:tcPr>
            <w:tcW w:w="1843" w:type="dxa"/>
          </w:tcPr>
          <w:p w14:paraId="16B01A37" w14:textId="5756E2A7" w:rsidR="00D71735" w:rsidRPr="00D71735" w:rsidRDefault="006B686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6865">
              <w:rPr>
                <w:sz w:val="22"/>
                <w:szCs w:val="22"/>
              </w:rPr>
              <w:t>1,857–56,027×</w:t>
            </w:r>
          </w:p>
        </w:tc>
      </w:tr>
      <w:tr w:rsidR="00D71735" w14:paraId="16B01A40" w14:textId="77777777" w:rsidTr="00E70714">
        <w:tc>
          <w:tcPr>
            <w:tcW w:w="1101" w:type="dxa"/>
            <w:vAlign w:val="center"/>
          </w:tcPr>
          <w:p w14:paraId="16B01A39" w14:textId="77777777" w:rsidR="00D71735" w:rsidRPr="00D71735" w:rsidRDefault="00D71735" w:rsidP="00D71735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C</w:t>
            </w:r>
          </w:p>
        </w:tc>
        <w:tc>
          <w:tcPr>
            <w:tcW w:w="1134" w:type="dxa"/>
          </w:tcPr>
          <w:p w14:paraId="16B01A3A" w14:textId="1BC10925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51.48 </w:t>
            </w:r>
          </w:p>
        </w:tc>
        <w:tc>
          <w:tcPr>
            <w:tcW w:w="1134" w:type="dxa"/>
          </w:tcPr>
          <w:p w14:paraId="16B01A3B" w14:textId="2EAEF836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60.13 </w:t>
            </w:r>
          </w:p>
        </w:tc>
        <w:tc>
          <w:tcPr>
            <w:tcW w:w="1067" w:type="dxa"/>
          </w:tcPr>
          <w:p w14:paraId="16B01A3C" w14:textId="6968E5A4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1.85 </w:t>
            </w:r>
          </w:p>
        </w:tc>
        <w:tc>
          <w:tcPr>
            <w:tcW w:w="1156" w:type="dxa"/>
          </w:tcPr>
          <w:p w14:paraId="16B01A3D" w14:textId="176128C0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183.6 </w:t>
            </w:r>
          </w:p>
        </w:tc>
        <w:tc>
          <w:tcPr>
            <w:tcW w:w="1604" w:type="dxa"/>
          </w:tcPr>
          <w:p w14:paraId="16B01A3E" w14:textId="6AC78358" w:rsidR="00D71735" w:rsidRPr="00D71735" w:rsidRDefault="0048243C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48243C">
              <w:rPr>
                <w:sz w:val="22"/>
                <w:szCs w:val="22"/>
              </w:rPr>
              <w:t>23.3–36.9×</w:t>
            </w:r>
          </w:p>
        </w:tc>
        <w:tc>
          <w:tcPr>
            <w:tcW w:w="1843" w:type="dxa"/>
          </w:tcPr>
          <w:p w14:paraId="16B01A3F" w14:textId="45BC4320" w:rsidR="00D71735" w:rsidRPr="00D71735" w:rsidRDefault="006B686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6865">
              <w:rPr>
                <w:sz w:val="22"/>
                <w:szCs w:val="22"/>
              </w:rPr>
              <w:t>192–854×</w:t>
            </w:r>
          </w:p>
        </w:tc>
      </w:tr>
      <w:tr w:rsidR="00D71735" w14:paraId="16B01A48" w14:textId="77777777" w:rsidTr="00E70714">
        <w:tc>
          <w:tcPr>
            <w:tcW w:w="1101" w:type="dxa"/>
            <w:vAlign w:val="center"/>
          </w:tcPr>
          <w:p w14:paraId="16B01A41" w14:textId="77777777" w:rsidR="00D71735" w:rsidRPr="00D71735" w:rsidRDefault="00D71735" w:rsidP="00D71735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D</w:t>
            </w:r>
          </w:p>
        </w:tc>
        <w:tc>
          <w:tcPr>
            <w:tcW w:w="1134" w:type="dxa"/>
          </w:tcPr>
          <w:p w14:paraId="16B01A42" w14:textId="103A50BE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53.58 </w:t>
            </w:r>
          </w:p>
        </w:tc>
        <w:tc>
          <w:tcPr>
            <w:tcW w:w="1134" w:type="dxa"/>
          </w:tcPr>
          <w:p w14:paraId="16B01A43" w14:textId="137DE942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112.38 </w:t>
            </w:r>
          </w:p>
        </w:tc>
        <w:tc>
          <w:tcPr>
            <w:tcW w:w="1067" w:type="dxa"/>
          </w:tcPr>
          <w:p w14:paraId="16B01A44" w14:textId="668700D8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1.97 </w:t>
            </w:r>
          </w:p>
        </w:tc>
        <w:tc>
          <w:tcPr>
            <w:tcW w:w="1156" w:type="dxa"/>
          </w:tcPr>
          <w:p w14:paraId="16B01A45" w14:textId="60B4883E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124.5 </w:t>
            </w:r>
          </w:p>
        </w:tc>
        <w:tc>
          <w:tcPr>
            <w:tcW w:w="1604" w:type="dxa"/>
          </w:tcPr>
          <w:p w14:paraId="16B01A46" w14:textId="76C928C4" w:rsidR="00D71735" w:rsidRPr="00D71735" w:rsidRDefault="00285CBA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285CBA">
              <w:rPr>
                <w:sz w:val="22"/>
                <w:szCs w:val="22"/>
              </w:rPr>
              <w:t>12.8–128.8×</w:t>
            </w:r>
          </w:p>
        </w:tc>
        <w:tc>
          <w:tcPr>
            <w:tcW w:w="1843" w:type="dxa"/>
          </w:tcPr>
          <w:p w14:paraId="16B01A47" w14:textId="1DDEC461" w:rsidR="00D71735" w:rsidRPr="00D71735" w:rsidRDefault="006B686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6865">
              <w:rPr>
                <w:sz w:val="22"/>
                <w:szCs w:val="22"/>
              </w:rPr>
              <w:t>213–8,920×</w:t>
            </w:r>
          </w:p>
        </w:tc>
      </w:tr>
      <w:tr w:rsidR="00D71735" w14:paraId="16B01A50" w14:textId="77777777" w:rsidTr="00E70714">
        <w:tc>
          <w:tcPr>
            <w:tcW w:w="1101" w:type="dxa"/>
            <w:tcBorders>
              <w:bottom w:val="single" w:sz="8" w:space="0" w:color="auto"/>
            </w:tcBorders>
          </w:tcPr>
          <w:p w14:paraId="16B01A49" w14:textId="77777777" w:rsidR="00D71735" w:rsidRPr="00D71735" w:rsidRDefault="00D71735" w:rsidP="00D71735">
            <w:pPr>
              <w:pStyle w:val="Compact"/>
              <w:ind w:firstLine="220"/>
              <w:jc w:val="center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>E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A4A" w14:textId="6BC10524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643.75 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16B01A4B" w14:textId="00D1879E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740.88 </w:t>
            </w:r>
          </w:p>
        </w:tc>
        <w:tc>
          <w:tcPr>
            <w:tcW w:w="1067" w:type="dxa"/>
            <w:tcBorders>
              <w:bottom w:val="single" w:sz="8" w:space="0" w:color="auto"/>
            </w:tcBorders>
          </w:tcPr>
          <w:p w14:paraId="16B01A4C" w14:textId="6946BF67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15.57 </w:t>
            </w:r>
          </w:p>
        </w:tc>
        <w:tc>
          <w:tcPr>
            <w:tcW w:w="1156" w:type="dxa"/>
            <w:tcBorders>
              <w:bottom w:val="single" w:sz="8" w:space="0" w:color="auto"/>
            </w:tcBorders>
          </w:tcPr>
          <w:p w14:paraId="16B01A4D" w14:textId="0FA05E22" w:rsidR="00D71735" w:rsidRPr="00D71735" w:rsidRDefault="00D7173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D71735">
              <w:rPr>
                <w:sz w:val="22"/>
                <w:szCs w:val="22"/>
              </w:rPr>
              <w:t xml:space="preserve">3123.5 </w:t>
            </w:r>
          </w:p>
        </w:tc>
        <w:tc>
          <w:tcPr>
            <w:tcW w:w="1604" w:type="dxa"/>
            <w:tcBorders>
              <w:bottom w:val="single" w:sz="8" w:space="0" w:color="auto"/>
            </w:tcBorders>
          </w:tcPr>
          <w:p w14:paraId="16B01A4E" w14:textId="28EC0CAD" w:rsidR="00D71735" w:rsidRPr="00D71735" w:rsidRDefault="00285CBA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285CBA">
              <w:rPr>
                <w:sz w:val="22"/>
                <w:szCs w:val="22"/>
              </w:rPr>
              <w:t>8.3–59.1×</w:t>
            </w:r>
          </w:p>
        </w:tc>
        <w:tc>
          <w:tcPr>
            <w:tcW w:w="1843" w:type="dxa"/>
            <w:tcBorders>
              <w:bottom w:val="single" w:sz="8" w:space="0" w:color="auto"/>
            </w:tcBorders>
          </w:tcPr>
          <w:p w14:paraId="16B01A4F" w14:textId="0B006372" w:rsidR="00D71735" w:rsidRPr="00D71735" w:rsidRDefault="006B6865" w:rsidP="00D71735">
            <w:pPr>
              <w:pStyle w:val="Compact"/>
              <w:ind w:firstLine="220"/>
              <w:jc w:val="right"/>
              <w:rPr>
                <w:sz w:val="22"/>
                <w:szCs w:val="22"/>
              </w:rPr>
            </w:pPr>
            <w:r w:rsidRPr="006B6865">
              <w:rPr>
                <w:sz w:val="22"/>
                <w:szCs w:val="22"/>
              </w:rPr>
              <w:t>56.8–258.6×</w:t>
            </w:r>
          </w:p>
        </w:tc>
      </w:tr>
      <w:bookmarkEnd w:id="40"/>
    </w:tbl>
    <w:p w14:paraId="3BE816E7" w14:textId="77777777" w:rsidR="00890ECC" w:rsidRDefault="00890ECC">
      <w:pPr>
        <w:pStyle w:val="a0"/>
        <w:ind w:firstLine="240"/>
      </w:pPr>
    </w:p>
    <w:p w14:paraId="16B01A51" w14:textId="224A55D3" w:rsidR="0037540E" w:rsidRDefault="0050276F">
      <w:pPr>
        <w:pStyle w:val="a0"/>
        <w:ind w:firstLine="240"/>
      </w:pPr>
      <w:r>
        <w:t xml:space="preserve">For all 35 meshes, </w:t>
      </w:r>
      <w:r w:rsidR="00507EF1">
        <w:t xml:space="preserve">Python </w:t>
      </w:r>
      <w:r w:rsidR="005F662D" w:rsidRPr="008165DE">
        <w:rPr>
          <w:i/>
          <w:iCs/>
        </w:rPr>
        <w:t>SFTF</w:t>
      </w:r>
      <w:r w:rsidR="00507EF1">
        <w:t xml:space="preserve"> </w:t>
      </w:r>
      <w:r>
        <w:t>was 1.434</w:t>
      </w:r>
      <w:r w:rsidR="002B567D">
        <w:t>x</w:t>
      </w:r>
      <w:r>
        <w:t xml:space="preserve"> faster than </w:t>
      </w:r>
      <w:r w:rsidR="00BD2125">
        <w:rPr>
          <w:i/>
          <w:iCs/>
        </w:rPr>
        <w:t>TOMO_CPU</w:t>
      </w:r>
      <w:r>
        <w:t xml:space="preserve">, whereas </w:t>
      </w:r>
      <w:r w:rsidRPr="00835260">
        <w:rPr>
          <w:i/>
          <w:iCs/>
        </w:rPr>
        <w:t>SFTF_C++</w:t>
      </w:r>
      <w:r>
        <w:t xml:space="preserve"> was 10-5,160 times faster.</w:t>
      </w:r>
      <w:r w:rsidR="007D3F04">
        <w:t xml:space="preserve"> </w:t>
      </w:r>
      <w:r w:rsidR="00B853C7" w:rsidRPr="00835260">
        <w:rPr>
          <w:i/>
          <w:iCs/>
        </w:rPr>
        <w:t>TOMO_CUDA</w:t>
      </w:r>
      <w:r w:rsidR="00B853C7">
        <w:t xml:space="preserve"> helps with simple A/B shapes but is often slower than </w:t>
      </w:r>
      <w:r w:rsidR="00BD2125">
        <w:rPr>
          <w:i/>
          <w:iCs/>
        </w:rPr>
        <w:t>TOMO_CPU</w:t>
      </w:r>
      <w:r w:rsidR="00B853C7">
        <w:t xml:space="preserve"> on organic and large meshes in this environment; thus, the dominant gain is algorithmic: reducing the number of directions to evaluate, not merely changing the exhaustive-sweep backend.</w:t>
      </w:r>
      <w:r w:rsidR="007D3F04">
        <w:t xml:space="preserve"> Group E confirms bounded scaling: the clipped ray budget in Eq.</w:t>
      </w:r>
      <w:r w:rsidR="00447D2A">
        <w:t xml:space="preserve"> </w:t>
      </w:r>
      <w:r w:rsidR="00DB1A6E">
        <w:t>(5) caps per-direction ray cost at 3,000 samples; thus, large meshes near 10</w:t>
      </w:r>
      <w:r w:rsidR="00DB1A6E" w:rsidRPr="000415A2">
        <w:rPr>
          <w:vertAlign w:val="superscript"/>
        </w:rPr>
        <w:t>6</w:t>
      </w:r>
      <w:r w:rsidR="00DB1A6E">
        <w:t xml:space="preserve"> faces remain feasible.</w:t>
      </w:r>
      <w:r w:rsidR="007D3F04">
        <w:t xml:space="preserve"> </w:t>
      </w:r>
      <w:r w:rsidR="004C35EF">
        <w:t xml:space="preserve">Supplementary Table S2 lists the </w:t>
      </w:r>
      <w:r w:rsidR="004C35EF" w:rsidRPr="00A22264">
        <w:rPr>
          <w:i/>
          <w:iCs/>
        </w:rPr>
        <w:t>R/P/B</w:t>
      </w:r>
      <w:r w:rsidR="004C35EF">
        <w:rPr>
          <w:i/>
          <w:iCs/>
        </w:rPr>
        <w:t xml:space="preserve"> </w:t>
      </w:r>
      <w:r w:rsidR="004C35EF" w:rsidRPr="00A22264">
        <w:rPr>
          <w:i/>
          <w:iCs/>
        </w:rPr>
        <w:t>/</w:t>
      </w:r>
      <w:r w:rsidR="004C35EF">
        <w:rPr>
          <w:i/>
          <w:iCs/>
        </w:rPr>
        <w:t xml:space="preserve"> </w:t>
      </w:r>
      <w:r w:rsidR="004C35EF" w:rsidRPr="00A22264">
        <w:rPr>
          <w:i/>
          <w:iCs/>
        </w:rPr>
        <w:t>hit</w:t>
      </w:r>
      <w:r w:rsidR="004C35EF">
        <w:t xml:space="preserve"> decomposition, Supplementary Table S3 lists the critical-angle sweeps, and Supplementary Fig. S1 shows the five-group best/worst overlay, and Supplementary Figs.</w:t>
      </w:r>
      <w:r w:rsidR="007D3F04">
        <w:t xml:space="preserve"> S2–S4 visualize the </w:t>
      </w:r>
      <w:r w:rsidR="007D3F04">
        <w:rPr>
          <w:i/>
          <w:iCs/>
        </w:rPr>
        <w:t>Bunny 69k</w:t>
      </w:r>
      <w:r w:rsidR="007D3F0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ray</m:t>
            </m:r>
          </m:sub>
        </m:sSub>
      </m:oMath>
      <w:r w:rsidR="007D3F04">
        <w:t xml:space="preserve"> trade-off. </w:t>
      </w:r>
      <w:r w:rsidR="00B853C7">
        <w:t xml:space="preserve">These results support the intended role of SFTF: a fast, interpretable candidate generator whose outputs are verified locally by </w:t>
      </w:r>
      <w:r w:rsidR="00B853C7" w:rsidRPr="007A469C">
        <w:rPr>
          <w:i/>
          <w:iCs/>
        </w:rPr>
        <w:t>TOMO</w:t>
      </w:r>
      <w:r w:rsidR="00B853C7">
        <w:t xml:space="preserve"> or a slicer program.</w:t>
      </w:r>
    </w:p>
    <w:p w14:paraId="16B01A52" w14:textId="77777777" w:rsidR="0037540E" w:rsidRDefault="007D3F04" w:rsidP="005247D8">
      <w:pPr>
        <w:pStyle w:val="1"/>
        <w:numPr>
          <w:ilvl w:val="0"/>
          <w:numId w:val="5"/>
        </w:numPr>
      </w:pPr>
      <w:bookmarkStart w:id="41" w:name="conclusion"/>
      <w:bookmarkEnd w:id="12"/>
      <w:bookmarkEnd w:id="35"/>
      <w:r>
        <w:lastRenderedPageBreak/>
        <w:t>Conclusion</w:t>
      </w:r>
    </w:p>
    <w:p w14:paraId="16B01A53" w14:textId="10BEEEDB" w:rsidR="0037540E" w:rsidRDefault="00B853C7">
      <w:pPr>
        <w:pStyle w:val="FirstParagraph"/>
        <w:ind w:firstLine="240"/>
      </w:pPr>
      <w:r>
        <w:t>This study proposed a direction evaluation method that combines the Support Flow Tensor Field and build plate penalty for build orientation optimization in additive manufacturing.</w:t>
      </w:r>
      <w:r w:rsidR="007D3F04">
        <w:t xml:space="preserve"> </w:t>
      </w:r>
      <w:r w:rsidR="00BF692A">
        <w:t>The eigenvector interpretation of the existing symmetric tensor is useful for shape directionality; however, it does not sufficiently reflect direction-dependent overhangs, internal visibility, and build-plate support requirements.</w:t>
      </w:r>
    </w:p>
    <w:p w14:paraId="16B01A54" w14:textId="14A474F8" w:rsidR="0037540E" w:rsidRDefault="00094AF2">
      <w:pPr>
        <w:pStyle w:val="a0"/>
        <w:ind w:firstLine="240"/>
      </w:pPr>
      <w:r>
        <w:t xml:space="preserve">The current algorithm directly computes an asymmetric support flow tensor for each candidate direction and constructs a basic objective function </w:t>
      </w:r>
      <w:r w:rsidRPr="000F31F2">
        <w:rPr>
          <w:i/>
          <w:iCs/>
        </w:rPr>
        <w:t>J</w:t>
      </w:r>
      <w:r>
        <w:rPr>
          <w:i/>
          <w:iCs/>
        </w:rPr>
        <w:t xml:space="preserve"> </w:t>
      </w:r>
      <w:r w:rsidRPr="000F31F2">
        <w:rPr>
          <w:i/>
          <w:iCs/>
        </w:rPr>
        <w:t>=</w:t>
      </w:r>
      <w:r>
        <w:rPr>
          <w:i/>
          <w:iCs/>
        </w:rPr>
        <w:t xml:space="preserve"> </w:t>
      </w:r>
      <w:r w:rsidRPr="000F31F2">
        <w:rPr>
          <w:i/>
          <w:iCs/>
        </w:rPr>
        <w:t>R</w:t>
      </w:r>
      <w:r>
        <w:rPr>
          <w:i/>
          <w:iCs/>
        </w:rPr>
        <w:t xml:space="preserve"> </w:t>
      </w:r>
      <w:r w:rsidRPr="000F31F2">
        <w:rPr>
          <w:i/>
          <w:iCs/>
        </w:rPr>
        <w:t>+</w:t>
      </w:r>
      <w:r>
        <w:rPr>
          <w:i/>
          <w:iCs/>
        </w:rPr>
        <w:t xml:space="preserve"> </w:t>
      </w:r>
      <w:r w:rsidRPr="000F31F2">
        <w:rPr>
          <w:i/>
          <w:iCs/>
        </w:rPr>
        <w:t>P</w:t>
      </w:r>
      <w:r>
        <w:rPr>
          <w:i/>
          <w:iCs/>
        </w:rPr>
        <w:t xml:space="preserve"> </w:t>
      </w:r>
      <w:r w:rsidRPr="000F31F2">
        <w:rPr>
          <w:i/>
          <w:iCs/>
        </w:rPr>
        <w:t>+</w:t>
      </w:r>
      <w:r>
        <w:rPr>
          <w:i/>
          <w:iCs/>
        </w:rPr>
        <w:t xml:space="preserve"> </w:t>
      </w:r>
      <w:r w:rsidRPr="000F31F2">
        <w:rPr>
          <w:i/>
          <w:iCs/>
        </w:rPr>
        <w:t>B</w:t>
      </w:r>
      <w:r>
        <w:t>, which combines the Rayleigh support cost, face-to-face support volume, and build plate penalty.</w:t>
      </w:r>
      <w:r w:rsidR="007D3F04">
        <w:t xml:space="preserve"> </w:t>
      </w:r>
      <w:r w:rsidR="00DB1A6E">
        <w:t xml:space="preserve">In the actual final candidate selection, a rank-normalized tuning score </w:t>
      </w:r>
      <w:r w:rsidR="00DB1A6E" w:rsidRPr="00EA61AA">
        <w:rPr>
          <w:i/>
          <w:iCs/>
        </w:rPr>
        <w:t>T</w:t>
      </w:r>
      <w:r w:rsidR="00DB1A6E">
        <w:t xml:space="preserve"> of </w:t>
      </w:r>
      <w:r w:rsidR="00DB1A6E" w:rsidRPr="00EA61AA">
        <w:rPr>
          <w:i/>
          <w:iCs/>
        </w:rPr>
        <w:t>J</w:t>
      </w:r>
      <w:r w:rsidR="00DB1A6E">
        <w:t xml:space="preserve">, </w:t>
      </w:r>
      <w:r w:rsidR="00DB1A6E" w:rsidRPr="00EA61AA">
        <w:rPr>
          <w:i/>
          <w:iCs/>
        </w:rPr>
        <w:t>R</w:t>
      </w:r>
      <w:r w:rsidR="00DB1A6E">
        <w:t xml:space="preserve">, </w:t>
      </w:r>
      <w:r w:rsidR="00DB1A6E" w:rsidRPr="00EA61AA">
        <w:rPr>
          <w:i/>
          <w:iCs/>
        </w:rPr>
        <w:t>P</w:t>
      </w:r>
      <w:r w:rsidR="00DB1A6E">
        <w:t xml:space="preserve">, </w:t>
      </w:r>
      <w:r w:rsidR="00DB1A6E" w:rsidRPr="00EA61AA">
        <w:rPr>
          <w:i/>
          <w:iCs/>
        </w:rPr>
        <w:t>B</w:t>
      </w:r>
      <w:r w:rsidR="00DB1A6E">
        <w:t xml:space="preserve">, </w:t>
      </w:r>
      <w:r w:rsidR="00DB1A6E" w:rsidRPr="00EA61AA">
        <w:rPr>
          <w:i/>
          <w:iCs/>
        </w:rPr>
        <w:t>H</w:t>
      </w:r>
      <w:r w:rsidR="00DB1A6E">
        <w:t xml:space="preserve">, </w:t>
      </w:r>
      <w:r w:rsidR="00DB1A6E" w:rsidRPr="00EA61AA">
        <w:rPr>
          <w:i/>
          <w:iCs/>
        </w:rPr>
        <w:t>S</w:t>
      </w:r>
      <w:r w:rsidR="00DB1A6E">
        <w:t xml:space="preserve">, and </w:t>
      </w:r>
      <w:r w:rsidR="00DB1A6E" w:rsidRPr="00EA61AA">
        <w:rPr>
          <w:i/>
          <w:iCs/>
        </w:rPr>
        <w:t>σ</w:t>
      </w:r>
      <w:r w:rsidR="00DB1A6E" w:rsidRPr="00EA61AA">
        <w:rPr>
          <w:i/>
          <w:iCs/>
          <w:vertAlign w:val="subscript"/>
        </w:rPr>
        <w:t>1</w:t>
      </w:r>
      <w:r w:rsidR="00DB1A6E">
        <w:t xml:space="preserve"> is applied to a candidate pool created by coarse spherical sampling and small-angle refined sampling to choose promising orientations to pass to slicer/</w:t>
      </w:r>
      <w:r w:rsidR="00DB1A6E" w:rsidRPr="00744CC8">
        <w:rPr>
          <w:i/>
          <w:iCs/>
        </w:rPr>
        <w:t>TOMO</w:t>
      </w:r>
      <w:r w:rsidR="00DB1A6E">
        <w:t xml:space="preserve"> verification.</w:t>
      </w:r>
      <w:r w:rsidR="007D3F04">
        <w:t xml:space="preserve"> </w:t>
      </w:r>
      <w:r>
        <w:t xml:space="preserve">When used in this way, verifying the </w:t>
      </w:r>
      <w:r w:rsidRPr="000B4CA1">
        <w:rPr>
          <w:rFonts w:hint="eastAsia"/>
        </w:rPr>
        <w:t>±</w:t>
      </w:r>
      <w:r>
        <w:rPr>
          <w:rFonts w:hint="eastAsia"/>
          <w:lang w:eastAsia="ko-KR"/>
        </w:rPr>
        <w:t>1</w:t>
      </w:r>
      <w:r>
        <w:rPr>
          <w:lang w:eastAsia="ko-KR"/>
        </w:rPr>
        <w:t>0</w:t>
      </w:r>
      <w:r w:rsidRPr="000B4CA1">
        <w:rPr>
          <w:rFonts w:hint="eastAsia"/>
        </w:rPr>
        <w:t>°</w:t>
      </w:r>
      <w:r>
        <w:t xml:space="preserve"> neighborhoods of only the top-</w:t>
      </w:r>
      <m:oMath>
        <m:r>
          <w:rPr>
            <w:rFonts w:ascii="Cambria Math" w:hAnsi="Cambria Math"/>
          </w:rPr>
          <m:t>20</m:t>
        </m:r>
      </m:oMath>
      <w:r>
        <w:t xml:space="preserve"> candidates recovers a mean support-volume ratio of 1.13 (maximum 1.58) while inspecting 3.57% of the 1</w:t>
      </w:r>
      <w:r w:rsidRPr="00F3795F">
        <w:rPr>
          <w:rFonts w:hint="eastAsia"/>
        </w:rPr>
        <w:t>°</w:t>
      </w:r>
      <w:r>
        <w:rPr>
          <w:rFonts w:hint="eastAsia"/>
          <w:lang w:eastAsia="ko-KR"/>
        </w:rPr>
        <w:t xml:space="preserve"> </w:t>
      </w:r>
      <w:r>
        <w:t>grid, and the AVE automatically widens this budget only for detected hard cases (§</w:t>
      </w:r>
      <w:hyperlink w:anchor="_Representative_TOMO_Landscapes" w:history="1">
        <w:r w:rsidRPr="007B4C5E">
          <w:rPr>
            <w:rStyle w:val="ac"/>
          </w:rPr>
          <w:t>4</w:t>
        </w:r>
        <w:r>
          <w:rPr>
            <w:rStyle w:val="ac"/>
          </w:rPr>
          <w:t>.2.1</w:t>
        </w:r>
      </w:hyperlink>
      <w:r>
        <w:t>).</w:t>
      </w:r>
    </w:p>
    <w:p w14:paraId="16B01A55" w14:textId="69A73D54" w:rsidR="0037540E" w:rsidRDefault="008810E7">
      <w:pPr>
        <w:pStyle w:val="a0"/>
        <w:ind w:firstLine="240"/>
      </w:pPr>
      <w:r>
        <w:t>The quantitative analysis (§</w:t>
      </w:r>
      <w:hyperlink w:anchor="sec:ablation">
        <w:r>
          <w:rPr>
            <w:rStyle w:val="ac"/>
          </w:rPr>
          <w:t>4.3</w:t>
        </w:r>
      </w:hyperlink>
      <w:r>
        <w:t>) shows the strengths and limitations of the method.</w:t>
      </w:r>
      <w:r w:rsidR="007D3F04">
        <w:t xml:space="preserve"> </w:t>
      </w:r>
      <w:r>
        <w:t>The cross-validated SFTF was consistently superior to the PCA and Support Tensor eigenvector directions, supporting the initial assumption.</w:t>
      </w:r>
      <w:r w:rsidR="007D3F04">
        <w:t xml:space="preserve"> At the same time, most of the predictive power originates from the build-plate penalty and the internal visibility evaluation, the marginal contribution of some tensor-derived terms such as nuclear/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D3F04">
        <w:t xml:space="preserve"> is small, and the calibrated rank tuning weights show an optimistic bias on unseen meshes. </w:t>
      </w:r>
      <w:r>
        <w:t>Meanwhile, in §</w:t>
      </w:r>
      <w:hyperlink w:anchor="sec:groundnode">
        <w:r>
          <w:rPr>
            <w:rStyle w:val="ac"/>
          </w:rPr>
          <w:t>2.2</w:t>
        </w:r>
      </w:hyperlink>
      <w:r>
        <w:t>–§</w:t>
      </w:r>
      <w:hyperlink w:anchor="_Feature_Contribution_and" w:history="1">
        <w:r w:rsidR="00F565BC" w:rsidRPr="000138C4">
          <w:rPr>
            <w:rStyle w:val="ac"/>
          </w:rPr>
          <w:t>4.3</w:t>
        </w:r>
      </w:hyperlink>
      <w:r>
        <w:t>, we show that the build plate penalty is exactly equivalent to the Rayleigh contribution obtained by adding a virtual ground node to the flow tensor.</w:t>
      </w:r>
      <w:r w:rsidR="007D3F04">
        <w:t xml:space="preserve"> This unifies the term driving the predictive power into the tensor contraction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="007D3F04">
        <w:t xml:space="preserve">, justifying the “tensor” formulation, and confirms that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7D3F04">
        <w:t xml:space="preserve">, excluding the negative-signal face-to-face support volume </w:t>
      </w:r>
      <m:oMath>
        <m:r>
          <w:rPr>
            <w:rFonts w:ascii="Cambria Math" w:hAnsi="Cambria Math"/>
          </w:rPr>
          <m:t>P</m:t>
        </m:r>
      </m:oMath>
      <w:r w:rsidR="007D3F04">
        <w:t xml:space="preserve">, is consistently superior to the existing </w:t>
      </w:r>
      <m:oMath>
        <m:r>
          <w:rPr>
            <w:rFonts w:ascii="Cambria Math" w:hAnsi="Cambria Math"/>
          </w:rPr>
          <m:t>J</m:t>
        </m:r>
      </m:oMath>
      <w:r w:rsidR="007D3F04">
        <w:t>.</w:t>
      </w:r>
    </w:p>
    <w:p w14:paraId="16B01A56" w14:textId="4C274A2F" w:rsidR="00A575DA" w:rsidRDefault="00DB1A6E">
      <w:pPr>
        <w:pStyle w:val="a0"/>
        <w:ind w:firstLine="240"/>
      </w:pPr>
      <w:r>
        <w:t xml:space="preserve">Therefore, in future work, we will (i) determine the weights on a cross-validation basis rather than a calibration set to control overfitting, (ii) remove terms with marginal contributions or replace them with features highly correlated with the actual </w:t>
      </w:r>
      <w:r w:rsidRPr="00AB540E">
        <w:rPr>
          <w:i/>
          <w:iCs/>
        </w:rPr>
        <w:t>v</w:t>
      </w:r>
      <w:r w:rsidRPr="00AB540E">
        <w:rPr>
          <w:i/>
          <w:iCs/>
          <w:vertAlign w:val="subscript"/>
        </w:rPr>
        <w:t>ss</w:t>
      </w:r>
      <w:r>
        <w:t xml:space="preserve">, such as face-to-face self-support coverage or a support-volume proxy, (iii) normalize the dimensions of the objective function terms to secure the physical meaning and transferability of the weights, (iv) add projection-area, print-height, and contact-stability terms to extend to a multi-objective orientation optimization model, and (v) as observed in Section </w:t>
      </w:r>
      <w:hyperlink w:anchor="_Feature_Contribution_and" w:history="1">
        <w:r w:rsidRPr="005D02C5">
          <w:rPr>
            <w:rStyle w:val="ac"/>
          </w:rPr>
          <w:t>4.4</w:t>
        </w:r>
      </w:hyperlink>
      <w:r>
        <w:t xml:space="preserve">, since the </w:t>
      </w:r>
      <w:r w:rsidRPr="005D5859">
        <w:rPr>
          <w:i/>
          <w:iCs/>
        </w:rPr>
        <w:t>TOMO</w:t>
      </w:r>
      <w:r>
        <w:t xml:space="preserve"> optimal orientation shifts with the critical angle </w:t>
      </w:r>
      <w:r w:rsidRPr="00D35887">
        <w:rPr>
          <w:rFonts w:ascii="Times New Roman" w:hAnsi="Times New Roman" w:cs="Times New Roman"/>
          <w:i/>
          <w:iCs/>
          <w:lang w:eastAsia="ko-KR"/>
        </w:rPr>
        <w:t>θ</w:t>
      </w:r>
      <w:r w:rsidRPr="00D35887">
        <w:rPr>
          <w:rFonts w:ascii="Times New Roman" w:hAnsi="Times New Roman" w:cs="Times New Roman"/>
          <w:i/>
          <w:iCs/>
          <w:vertAlign w:val="subscript"/>
          <w:lang w:eastAsia="ko-KR"/>
        </w:rPr>
        <w:t>c</w:t>
      </w:r>
      <w:r>
        <w:t xml:space="preserve"> while the current </w:t>
      </w:r>
      <w:r w:rsidRPr="00306356">
        <w:rPr>
          <w:i/>
          <w:iCs/>
        </w:rPr>
        <w:t>SFTF</w:t>
      </w:r>
      <w:r>
        <w:t xml:space="preserve"> candidates are invariant to </w:t>
      </w:r>
      <w:r w:rsidRPr="00D35887">
        <w:rPr>
          <w:rFonts w:ascii="Times New Roman" w:hAnsi="Times New Roman" w:cs="Times New Roman"/>
          <w:i/>
          <w:iCs/>
          <w:lang w:eastAsia="ko-KR"/>
        </w:rPr>
        <w:t>θ</w:t>
      </w:r>
      <w:r w:rsidRPr="00D35887">
        <w:rPr>
          <w:rFonts w:ascii="Times New Roman" w:hAnsi="Times New Roman" w:cs="Times New Roman"/>
          <w:i/>
          <w:iCs/>
          <w:vertAlign w:val="subscript"/>
          <w:lang w:eastAsia="ko-KR"/>
        </w:rPr>
        <w:t>c</w:t>
      </w:r>
      <w:r>
        <w:t xml:space="preserve">, extend to </w:t>
      </w:r>
      <w:r w:rsidRPr="00D35887">
        <w:rPr>
          <w:rFonts w:ascii="Times New Roman" w:hAnsi="Times New Roman" w:cs="Times New Roman"/>
          <w:i/>
          <w:iCs/>
          <w:lang w:eastAsia="ko-KR"/>
        </w:rPr>
        <w:t>θ</w:t>
      </w:r>
      <w:r w:rsidRPr="00D35887">
        <w:rPr>
          <w:rFonts w:ascii="Times New Roman" w:hAnsi="Times New Roman" w:cs="Times New Roman"/>
          <w:i/>
          <w:iCs/>
          <w:vertAlign w:val="subscript"/>
          <w:lang w:eastAsia="ko-KR"/>
        </w:rPr>
        <w:t>c</w:t>
      </w:r>
      <w:r>
        <w:t xml:space="preserve"> -dependent candidate generation with overhang truncation turned on.</w:t>
      </w:r>
      <w:r w:rsidR="007D3F04">
        <w:t xml:space="preserve"> For cases where the ordinary top</w:t>
      </w:r>
      <w:r w:rsidR="00655643">
        <w:t>-K</w:t>
      </w:r>
      <w:r w:rsidR="007D3F04">
        <w:t xml:space="preserve"> candidate generation does not include a stable near-optimal basin, AVE provides an automatic escalation path, and future work will refine its thresholds on a larger family-held-out validation set.</w:t>
      </w:r>
    </w:p>
    <w:p w14:paraId="750047D9" w14:textId="2145F424" w:rsidR="00A575DA" w:rsidRDefault="00A575DA"/>
    <w:p w14:paraId="16B01A57" w14:textId="77777777" w:rsidR="0037540E" w:rsidRDefault="007D3F04">
      <w:pPr>
        <w:pStyle w:val="1"/>
      </w:pPr>
      <w:bookmarkStart w:id="42" w:name="statements-and-declarations"/>
      <w:bookmarkEnd w:id="41"/>
      <w:r>
        <w:t>Statements and Declarations</w:t>
      </w:r>
    </w:p>
    <w:p w14:paraId="16B01A58" w14:textId="77777777" w:rsidR="0037540E" w:rsidRDefault="007D3F04">
      <w:pPr>
        <w:pStyle w:val="2"/>
      </w:pPr>
      <w:bookmarkStart w:id="43" w:name="funding"/>
      <w:r>
        <w:t>Funding</w:t>
      </w:r>
    </w:p>
    <w:p w14:paraId="16B01A59" w14:textId="2089119A" w:rsidR="0037540E" w:rsidRDefault="00BF692A">
      <w:pPr>
        <w:pStyle w:val="FirstParagraph"/>
        <w:ind w:firstLine="240"/>
      </w:pPr>
      <w:r>
        <w:t>Funding information is provided separately in the submission system and title page file to preserve the double-anonymous review.</w:t>
      </w:r>
    </w:p>
    <w:p w14:paraId="16B01A5A" w14:textId="77777777" w:rsidR="0037540E" w:rsidRDefault="007D3F04">
      <w:pPr>
        <w:pStyle w:val="2"/>
      </w:pPr>
      <w:bookmarkStart w:id="44" w:name="competing-interests"/>
      <w:bookmarkEnd w:id="43"/>
      <w:r>
        <w:t>Competing interests</w:t>
      </w:r>
    </w:p>
    <w:p w14:paraId="16B01A5B" w14:textId="61707B78" w:rsidR="0037540E" w:rsidRDefault="00BF692A">
      <w:pPr>
        <w:pStyle w:val="FirstParagraph"/>
        <w:ind w:firstLine="240"/>
      </w:pPr>
      <w:r>
        <w:t>The author declare</w:t>
      </w:r>
      <w:r w:rsidR="005C11E2">
        <w:t>s</w:t>
      </w:r>
      <w:r>
        <w:t xml:space="preserve"> no conflicts of interest.</w:t>
      </w:r>
    </w:p>
    <w:p w14:paraId="16B01A5C" w14:textId="77777777" w:rsidR="0037540E" w:rsidRDefault="007D3F04">
      <w:pPr>
        <w:pStyle w:val="2"/>
      </w:pPr>
      <w:bookmarkStart w:id="45" w:name="data-availability"/>
      <w:bookmarkEnd w:id="44"/>
      <w:r>
        <w:t>Data availability</w:t>
      </w:r>
    </w:p>
    <w:p w14:paraId="16B01A5D" w14:textId="5FAAE783" w:rsidR="0037540E" w:rsidRDefault="00BF692A">
      <w:pPr>
        <w:pStyle w:val="FirstParagraph"/>
        <w:ind w:firstLine="240"/>
      </w:pPr>
      <w:r>
        <w:t>The numerical results reported in this manuscript are based on cached mesh-evaluation records, support volume grids, and generated summary tables maintained using the research code.</w:t>
      </w:r>
      <w:r w:rsidR="007D3F04">
        <w:t xml:space="preserve"> </w:t>
      </w:r>
      <w:r w:rsidR="005D511B">
        <w:t>An anonymized repository or supplementary archive can be supplied during the peer-review process, and a permanent public repository link can be provided after acceptance.</w:t>
      </w:r>
      <w:r w:rsidR="007D3F04">
        <w:t xml:space="preserve"> </w:t>
      </w:r>
      <w:r w:rsidR="005D511B">
        <w:t>Third-party mesh models should be obtained from their original sources, subject to the respective licenses.</w:t>
      </w:r>
    </w:p>
    <w:p w14:paraId="16B01A5E" w14:textId="77777777" w:rsidR="0037540E" w:rsidRDefault="007D3F04">
      <w:pPr>
        <w:pStyle w:val="2"/>
      </w:pPr>
      <w:bookmarkStart w:id="46" w:name="code-availability"/>
      <w:bookmarkEnd w:id="45"/>
      <w:r>
        <w:t>Code availability</w:t>
      </w:r>
    </w:p>
    <w:p w14:paraId="16B01A5F" w14:textId="7E077A99" w:rsidR="0037540E" w:rsidRDefault="005D511B">
      <w:pPr>
        <w:pStyle w:val="FirstParagraph"/>
        <w:ind w:firstLine="240"/>
      </w:pPr>
      <w:r>
        <w:t>The code and scripts supporting the reported results will be made publicly available upon the acceptance of the manuscript.</w:t>
      </w:r>
      <w:r w:rsidR="007D3F04">
        <w:t xml:space="preserve"> </w:t>
      </w:r>
      <w:r>
        <w:t>An anonymized review archive can be provided during the peer-review process if required.</w:t>
      </w:r>
    </w:p>
    <w:p w14:paraId="16B01A60" w14:textId="77777777" w:rsidR="0037540E" w:rsidRDefault="007D3F04">
      <w:pPr>
        <w:pStyle w:val="2"/>
      </w:pPr>
      <w:bookmarkStart w:id="47" w:name="use-of-artificial-intelligence-tools"/>
      <w:bookmarkEnd w:id="46"/>
      <w:r>
        <w:t>Use of artificial intelligence tools</w:t>
      </w:r>
    </w:p>
    <w:p w14:paraId="16B01A61" w14:textId="2AEBC66C" w:rsidR="0037540E" w:rsidRDefault="005D511B">
      <w:pPr>
        <w:pStyle w:val="FirstParagraph"/>
        <w:ind w:firstLine="240"/>
      </w:pPr>
      <w:r>
        <w:t>AI coding assistants, including OpenAI Codex and Anthropic Claude Code, were used to assist with portions of the research code implementation, figure-generation scripts, and manuscript support automation.</w:t>
      </w:r>
      <w:r w:rsidR="007D3F04">
        <w:t xml:space="preserve"> </w:t>
      </w:r>
      <w:r>
        <w:t>All generated codes, experimental results, and manuscript revisions were reviewed and validated by the author.</w:t>
      </w:r>
    </w:p>
    <w:p w14:paraId="16B01A62" w14:textId="77777777" w:rsidR="0037540E" w:rsidRDefault="007D3F04">
      <w:pPr>
        <w:pStyle w:val="2"/>
      </w:pPr>
      <w:bookmarkStart w:id="48" w:name="Xd182db0490b2de20bd2b4e4cc8698599182035f"/>
      <w:bookmarkEnd w:id="47"/>
      <w:r>
        <w:t>Ethics approval and consent to participate</w:t>
      </w:r>
    </w:p>
    <w:p w14:paraId="16B01A63" w14:textId="77777777" w:rsidR="0037540E" w:rsidRDefault="007D3F04">
      <w:pPr>
        <w:pStyle w:val="FirstParagraph"/>
        <w:ind w:firstLine="240"/>
      </w:pPr>
      <w:r>
        <w:t>Not applicable.</w:t>
      </w:r>
    </w:p>
    <w:p w14:paraId="16B01A64" w14:textId="77777777" w:rsidR="0037540E" w:rsidRDefault="007D3F04">
      <w:pPr>
        <w:pStyle w:val="2"/>
      </w:pPr>
      <w:bookmarkStart w:id="49" w:name="consent-for-publication"/>
      <w:bookmarkEnd w:id="48"/>
      <w:r>
        <w:t>Consent for publication</w:t>
      </w:r>
    </w:p>
    <w:p w14:paraId="16B01A65" w14:textId="77777777" w:rsidR="0037540E" w:rsidRDefault="007D3F04">
      <w:pPr>
        <w:pStyle w:val="FirstParagraph"/>
        <w:ind w:firstLine="240"/>
      </w:pPr>
      <w:r>
        <w:t>Not applicable.</w:t>
      </w:r>
    </w:p>
    <w:p w14:paraId="061F9EFB" w14:textId="3F0CB24B" w:rsidR="00363B28" w:rsidRDefault="00363B28" w:rsidP="004E5DE2">
      <w:pPr>
        <w:pStyle w:val="1"/>
      </w:pPr>
      <w:r>
        <w:lastRenderedPageBreak/>
        <w:t>References</w:t>
      </w:r>
    </w:p>
    <w:p w14:paraId="16B01A66" w14:textId="77777777" w:rsidR="0037540E" w:rsidRDefault="007D3F04">
      <w:pPr>
        <w:pStyle w:val="a7"/>
      </w:pPr>
      <w:bookmarkStart w:id="50" w:name="ref-gibson"/>
      <w:bookmarkStart w:id="51" w:name="refs"/>
      <w:r>
        <w:t xml:space="preserve">1. </w:t>
      </w:r>
      <w:r>
        <w:tab/>
        <w:t>Gibson I, Rosen D, Stucker B (2015) Additive manufacturing technologies, 2nd ed. Springer, New York</w:t>
      </w:r>
    </w:p>
    <w:p w14:paraId="16B01A67" w14:textId="3F2DC599" w:rsidR="0037540E" w:rsidRDefault="007D3F04">
      <w:pPr>
        <w:pStyle w:val="a7"/>
      </w:pPr>
      <w:bookmarkStart w:id="52" w:name="ref-das2017"/>
      <w:bookmarkEnd w:id="50"/>
      <w:r>
        <w:t xml:space="preserve">2. </w:t>
      </w:r>
      <w:r>
        <w:tab/>
        <w:t xml:space="preserve">Das P, Mhapsekar K, Chowdhury S, et al (2017) Selection of build orientation for optimal support structures and minimum part errors in additive manufacturing. </w:t>
      </w:r>
      <w:r w:rsidR="00743ED6">
        <w:t>Comput.-Aided Des. Appl</w:t>
      </w:r>
      <w:r w:rsidR="009B796E">
        <w:t>.</w:t>
      </w:r>
      <w:r>
        <w:t xml:space="preserve"> 14:1–13. </w:t>
      </w:r>
      <w:hyperlink r:id="rId11" w:history="1">
        <w:r w:rsidR="00DB46E0" w:rsidRPr="00CF7F9E">
          <w:rPr>
            <w:rStyle w:val="ac"/>
          </w:rPr>
          <w:t>https://doi.org/10.1080/16864360.2017.1308074</w:t>
        </w:r>
      </w:hyperlink>
    </w:p>
    <w:p w14:paraId="16B01A68" w14:textId="2C0EBAEE" w:rsidR="0037540E" w:rsidRDefault="007D3F04">
      <w:pPr>
        <w:pStyle w:val="a7"/>
      </w:pPr>
      <w:bookmarkStart w:id="53" w:name="ref-wang2010"/>
      <w:bookmarkEnd w:id="52"/>
      <w:r>
        <w:t xml:space="preserve">3. </w:t>
      </w:r>
      <w:r>
        <w:tab/>
        <w:t xml:space="preserve">Wang CCL, Leung Y-S, Chen Y (2010) Solid modeling of polyhedral objects by layered depth-normal images on the GPU. </w:t>
      </w:r>
      <w:r w:rsidR="00F7402D">
        <w:t>Comput.-Aided Des.</w:t>
      </w:r>
      <w:r>
        <w:t xml:space="preserve"> 42:535–544. </w:t>
      </w:r>
      <w:hyperlink r:id="rId12">
        <w:r>
          <w:rPr>
            <w:rStyle w:val="ac"/>
          </w:rPr>
          <w:t>https://doi.org/10.1016/j.cad.2010.02.001</w:t>
        </w:r>
      </w:hyperlink>
    </w:p>
    <w:p w14:paraId="16B01A69" w14:textId="49580513" w:rsidR="0037540E" w:rsidRDefault="007D3F04">
      <w:pPr>
        <w:pStyle w:val="a7"/>
      </w:pPr>
      <w:bookmarkStart w:id="54" w:name="ref-vaissier2019"/>
      <w:bookmarkEnd w:id="53"/>
      <w:r>
        <w:t xml:space="preserve">4. </w:t>
      </w:r>
      <w:r>
        <w:tab/>
        <w:t xml:space="preserve">Vaissier B, Pernot J-P, Chougrani L, Véron P (2019) Genetic-algorithm based framework for lattice support structure optimization in additive manufacturing. </w:t>
      </w:r>
      <w:r w:rsidR="000347D9">
        <w:t>Comput.-Aided Des.</w:t>
      </w:r>
      <w:r>
        <w:t xml:space="preserve"> 110:11–23. </w:t>
      </w:r>
      <w:hyperlink r:id="rId13">
        <w:r>
          <w:rPr>
            <w:rStyle w:val="ac"/>
          </w:rPr>
          <w:t>https://doi.org/10.1016/j.cad.2018.12.007</w:t>
        </w:r>
      </w:hyperlink>
    </w:p>
    <w:p w14:paraId="16B01A6A" w14:textId="3A8A9B6A" w:rsidR="0037540E" w:rsidRDefault="007D3F04">
      <w:pPr>
        <w:pStyle w:val="a7"/>
      </w:pPr>
      <w:bookmarkStart w:id="55" w:name="ref-jiang2018"/>
      <w:bookmarkEnd w:id="54"/>
      <w:r>
        <w:t xml:space="preserve">5. </w:t>
      </w:r>
      <w:r>
        <w:tab/>
        <w:t xml:space="preserve">Jiang J, Stringer J, Xu X, Zhong RY (2018) Investigation of printable threshold overhang angle in extrusion-based additive manufacturing for reducing support waste. </w:t>
      </w:r>
      <w:r w:rsidR="00323D66" w:rsidRPr="00323D66">
        <w:t>Int. J. Comput. Integr. Manuf.</w:t>
      </w:r>
      <w:r>
        <w:t xml:space="preserve"> 31:961–969. </w:t>
      </w:r>
      <w:hyperlink r:id="rId14">
        <w:r>
          <w:rPr>
            <w:rStyle w:val="ac"/>
          </w:rPr>
          <w:t>https://doi.org/10.1080/0951192X.2018.1466398</w:t>
        </w:r>
      </w:hyperlink>
    </w:p>
    <w:p w14:paraId="16B01A6B" w14:textId="6E80C206" w:rsidR="0037540E" w:rsidRDefault="007D3F04">
      <w:pPr>
        <w:pStyle w:val="a7"/>
      </w:pPr>
      <w:bookmarkStart w:id="56" w:name="ref-mirzendehdel2016"/>
      <w:bookmarkEnd w:id="55"/>
      <w:r>
        <w:t xml:space="preserve">6. </w:t>
      </w:r>
      <w:r>
        <w:tab/>
        <w:t xml:space="preserve">Mirzendehdel AM, Suresh K (2016) Support structure constrained topology optimization for additive manufacturing. </w:t>
      </w:r>
      <w:r w:rsidR="00C967F7">
        <w:t>Comput.-Aided Des.</w:t>
      </w:r>
      <w:r>
        <w:t xml:space="preserve"> 81:1–13. </w:t>
      </w:r>
      <w:hyperlink r:id="rId15">
        <w:r>
          <w:rPr>
            <w:rStyle w:val="ac"/>
          </w:rPr>
          <w:t>https://doi.org/10.1016/j.cad.2016.07.006</w:t>
        </w:r>
      </w:hyperlink>
    </w:p>
    <w:p w14:paraId="16B01A6C" w14:textId="1CC4FD0B" w:rsidR="0037540E" w:rsidRDefault="007D3F04">
      <w:pPr>
        <w:pStyle w:val="a7"/>
      </w:pPr>
      <w:bookmarkStart w:id="57" w:name="ref-langelaar2018"/>
      <w:bookmarkEnd w:id="56"/>
      <w:r>
        <w:t xml:space="preserve">7. </w:t>
      </w:r>
      <w:r>
        <w:tab/>
        <w:t xml:space="preserve">Langelaar M (2018) Combined optimization of part topology, support structure layout and build orientation for additive manufacturing. </w:t>
      </w:r>
      <w:r w:rsidR="00420B30">
        <w:t>Struct. Multidiscip. Optim.</w:t>
      </w:r>
      <w:r>
        <w:t xml:space="preserve"> 57:1985–2004. </w:t>
      </w:r>
      <w:hyperlink r:id="rId16">
        <w:r>
          <w:rPr>
            <w:rStyle w:val="ac"/>
          </w:rPr>
          <w:t>https://doi.org/10.1007/s00158-017-1877-z</w:t>
        </w:r>
      </w:hyperlink>
    </w:p>
    <w:p w14:paraId="16B01A6D" w14:textId="70B88ABD" w:rsidR="0037540E" w:rsidRDefault="007D3F04">
      <w:pPr>
        <w:pStyle w:val="a7"/>
      </w:pPr>
      <w:bookmarkStart w:id="58" w:name="ref-dai2018"/>
      <w:bookmarkEnd w:id="57"/>
      <w:r>
        <w:t xml:space="preserve">8. </w:t>
      </w:r>
      <w:r>
        <w:tab/>
        <w:t xml:space="preserve">Dai C, Wang CCL, Wu C, et al (2018) Support-free volume printing by multi-axis motion. </w:t>
      </w:r>
      <w:r w:rsidR="00FD5D90">
        <w:t>ACM Trans. Graph.</w:t>
      </w:r>
      <w:r>
        <w:t xml:space="preserve"> 37:1–14. </w:t>
      </w:r>
      <w:hyperlink r:id="rId17">
        <w:r>
          <w:rPr>
            <w:rStyle w:val="ac"/>
          </w:rPr>
          <w:t>https://doi.org/10.1145/3197517.3201342</w:t>
        </w:r>
      </w:hyperlink>
    </w:p>
    <w:p w14:paraId="16B01A6E" w14:textId="0B7F1821" w:rsidR="0037540E" w:rsidRDefault="007D3F04">
      <w:pPr>
        <w:pStyle w:val="a7"/>
      </w:pPr>
      <w:bookmarkStart w:id="59" w:name="ref-ezair"/>
      <w:bookmarkEnd w:id="58"/>
      <w:r>
        <w:t xml:space="preserve">9. </w:t>
      </w:r>
      <w:r>
        <w:tab/>
        <w:t xml:space="preserve">Ezair B, Massarwi F, Elber G (2015) Orientation analysis of 3D objects toward minimal support volume in 3D-printing. </w:t>
      </w:r>
      <w:r w:rsidR="003113BD">
        <w:t>Comput. Graph</w:t>
      </w:r>
      <w:r w:rsidR="00EF18B7">
        <w:t>.</w:t>
      </w:r>
      <w:r>
        <w:t xml:space="preserve"> 51:117–124. </w:t>
      </w:r>
      <w:hyperlink r:id="rId18">
        <w:r>
          <w:rPr>
            <w:rStyle w:val="ac"/>
          </w:rPr>
          <w:t>https://doi.org/10.1016/j.cag.2015.05.009</w:t>
        </w:r>
      </w:hyperlink>
    </w:p>
    <w:p w14:paraId="16B01A6F" w14:textId="205F1D1A" w:rsidR="0037540E" w:rsidRDefault="007D3F04">
      <w:pPr>
        <w:pStyle w:val="a7"/>
      </w:pPr>
      <w:bookmarkStart w:id="60" w:name="ref-msst"/>
      <w:bookmarkEnd w:id="59"/>
      <w:r>
        <w:t xml:space="preserve">10. </w:t>
      </w:r>
      <w:r>
        <w:tab/>
        <w:t xml:space="preserve">Jung JY, Chee S, Sul IH (2022) Support structure tomography using per-pixel signed shadow casting in human manikin 3D printing. </w:t>
      </w:r>
      <w:r w:rsidR="00190E22" w:rsidRPr="00190E22">
        <w:t>Fash. Text.</w:t>
      </w:r>
      <w:r>
        <w:t xml:space="preserve"> 9:1–18. </w:t>
      </w:r>
      <w:hyperlink r:id="rId19">
        <w:r>
          <w:rPr>
            <w:rStyle w:val="ac"/>
          </w:rPr>
          <w:t>https://doi.org/10.1186/s40691-022-00290-z</w:t>
        </w:r>
      </w:hyperlink>
    </w:p>
    <w:p w14:paraId="16B01A70" w14:textId="7EC1DAAD" w:rsidR="0037540E" w:rsidRDefault="007D3F04">
      <w:pPr>
        <w:pStyle w:val="a7"/>
      </w:pPr>
      <w:bookmarkStart w:id="61" w:name="ref-gpumsst"/>
      <w:bookmarkEnd w:id="60"/>
      <w:r>
        <w:t xml:space="preserve">11. </w:t>
      </w:r>
      <w:r>
        <w:tab/>
        <w:t xml:space="preserve">Kim JR, Sul IH (2026) Fast prediction of 3D printing optimal orientation using general-purpose graphic processor unit calculation. </w:t>
      </w:r>
      <w:r w:rsidR="00E95818" w:rsidRPr="00E95818">
        <w:t>3D Print. Addit. Manuf.</w:t>
      </w:r>
      <w:r>
        <w:t xml:space="preserve"> 13:50–62. </w:t>
      </w:r>
      <w:hyperlink r:id="rId20">
        <w:r>
          <w:rPr>
            <w:rStyle w:val="ac"/>
          </w:rPr>
          <w:t>https://doi.org/10.1089/3dp.2024.0165</w:t>
        </w:r>
      </w:hyperlink>
    </w:p>
    <w:p w14:paraId="16B01A71" w14:textId="065A7F1E" w:rsidR="0037540E" w:rsidRDefault="007D3F04">
      <w:pPr>
        <w:pStyle w:val="a7"/>
      </w:pPr>
      <w:bookmarkStart w:id="62" w:name="ref-gaynor2014"/>
      <w:bookmarkEnd w:id="61"/>
      <w:r>
        <w:lastRenderedPageBreak/>
        <w:t xml:space="preserve">12. </w:t>
      </w:r>
      <w:r>
        <w:tab/>
        <w:t xml:space="preserve">Gaynor AT, Meisel NA, Williams CB, Guest JK (2014) </w:t>
      </w:r>
      <w:hyperlink r:id="rId21">
        <w:r>
          <w:rPr>
            <w:rStyle w:val="ac"/>
          </w:rPr>
          <w:t>Topology optimization for additive manufacturing: Considering maximum overhang constraint</w:t>
        </w:r>
      </w:hyperlink>
      <w:r>
        <w:t xml:space="preserve">. In: 15th </w:t>
      </w:r>
      <w:r w:rsidR="00742ABD" w:rsidRPr="00742ABD">
        <w:t>AIAA/ISSMO Multidiscip. Anal. Optim. Conf</w:t>
      </w:r>
      <w:r w:rsidR="00742ABD">
        <w:t xml:space="preserve">. </w:t>
      </w:r>
      <w:r>
        <w:t>p 2036</w:t>
      </w:r>
      <w:r w:rsidR="007A52D5">
        <w:t xml:space="preserve">. </w:t>
      </w:r>
      <w:hyperlink r:id="rId22" w:history="1">
        <w:r w:rsidR="007A52D5" w:rsidRPr="001F2B69">
          <w:rPr>
            <w:rStyle w:val="ac"/>
          </w:rPr>
          <w:t>https://doi.org/10.2514/6.2014-2036</w:t>
        </w:r>
      </w:hyperlink>
      <w:r w:rsidR="007A52D5">
        <w:t xml:space="preserve"> </w:t>
      </w:r>
    </w:p>
    <w:p w14:paraId="16B01A72" w14:textId="0BBF948B" w:rsidR="0037540E" w:rsidRDefault="007D3F04">
      <w:pPr>
        <w:pStyle w:val="a7"/>
      </w:pPr>
      <w:bookmarkStart w:id="63" w:name="ref-garcke2023"/>
      <w:bookmarkEnd w:id="62"/>
      <w:r>
        <w:t xml:space="preserve">13. </w:t>
      </w:r>
      <w:r>
        <w:tab/>
        <w:t xml:space="preserve">Garcke H, Lam KF, Nürnberg R, Signori A (2023) Overhang penalization in additive manufacturing via phase field structural topology optimization with anisotropic energies. </w:t>
      </w:r>
      <w:r w:rsidR="00934C17" w:rsidRPr="00934C17">
        <w:t>Appl. Math. Optim.</w:t>
      </w:r>
      <w:r>
        <w:t xml:space="preserve"> 87:44. </w:t>
      </w:r>
      <w:hyperlink r:id="rId23">
        <w:r>
          <w:rPr>
            <w:rStyle w:val="ac"/>
          </w:rPr>
          <w:t>https://doi.org/10.1007/s00245-022-09939-z</w:t>
        </w:r>
      </w:hyperlink>
    </w:p>
    <w:p w14:paraId="16B01A73" w14:textId="209008F4" w:rsidR="0037540E" w:rsidRDefault="007D3F04">
      <w:pPr>
        <w:pStyle w:val="a7"/>
      </w:pPr>
      <w:bookmarkStart w:id="64" w:name="ref-shin2025"/>
      <w:bookmarkEnd w:id="63"/>
      <w:r>
        <w:t xml:space="preserve">14. </w:t>
      </w:r>
      <w:r>
        <w:tab/>
        <w:t xml:space="preserve">Shin S, Park Y, Yoon GH (2025) Topology optimization for multi-axis additive manufacturing considering overhang and anisotropy. </w:t>
      </w:r>
      <w:r w:rsidR="00AC6994" w:rsidRPr="00AC6994">
        <w:t>Int. J. Mech. Sci.</w:t>
      </w:r>
      <w:r>
        <w:t xml:space="preserve"> 301:110443. </w:t>
      </w:r>
      <w:hyperlink r:id="rId24">
        <w:r>
          <w:rPr>
            <w:rStyle w:val="ac"/>
          </w:rPr>
          <w:t>https://doi.org/10.1016/j.ijmecsci.2025.110443</w:t>
        </w:r>
      </w:hyperlink>
    </w:p>
    <w:p w14:paraId="16B01A74" w14:textId="77777777" w:rsidR="0037540E" w:rsidRDefault="007D3F04">
      <w:pPr>
        <w:pStyle w:val="a7"/>
      </w:pPr>
      <w:bookmarkStart w:id="65" w:name="ref-smith2025patent"/>
      <w:bookmarkEnd w:id="64"/>
      <w:r>
        <w:t xml:space="preserve">15. </w:t>
      </w:r>
      <w:r>
        <w:tab/>
        <w:t>Smith R, Hollenbeck MC (2025) Build orientation for additive manufacturing of complex structures</w:t>
      </w:r>
    </w:p>
    <w:p w14:paraId="16B01A75" w14:textId="525AF9B1" w:rsidR="0037540E" w:rsidRDefault="007D3F04">
      <w:pPr>
        <w:pStyle w:val="a7"/>
      </w:pPr>
      <w:bookmarkStart w:id="66" w:name="ref-kanatani1984"/>
      <w:bookmarkEnd w:id="65"/>
      <w:r>
        <w:t xml:space="preserve">16. </w:t>
      </w:r>
      <w:r>
        <w:tab/>
        <w:t xml:space="preserve">Kanatani K-I (1984) Distribution of directional data and fabric tensors. International </w:t>
      </w:r>
      <w:r w:rsidR="00836F4B" w:rsidRPr="00836F4B">
        <w:t xml:space="preserve"> Int. J. Eng. Sci. </w:t>
      </w:r>
      <w:r>
        <w:t xml:space="preserve">22:149–164. </w:t>
      </w:r>
      <w:hyperlink r:id="rId25">
        <w:r>
          <w:rPr>
            <w:rStyle w:val="ac"/>
          </w:rPr>
          <w:t>https://doi.org/10.1016/0020-7225(84)90090-9</w:t>
        </w:r>
      </w:hyperlink>
    </w:p>
    <w:p w14:paraId="16B01A76" w14:textId="3483A5A8" w:rsidR="0037540E" w:rsidRDefault="007D3F04">
      <w:pPr>
        <w:pStyle w:val="a7"/>
      </w:pPr>
      <w:bookmarkStart w:id="67" w:name="ref-conover1981rank"/>
      <w:bookmarkEnd w:id="66"/>
      <w:r>
        <w:t xml:space="preserve">17. </w:t>
      </w:r>
      <w:r>
        <w:tab/>
        <w:t xml:space="preserve">Conover WJ, Iman RL (1981) Rank transformations as a bridge between parametric and nonparametric statistics. </w:t>
      </w:r>
      <w:r w:rsidR="004C49A5" w:rsidRPr="004C49A5">
        <w:t>Am. Stat.</w:t>
      </w:r>
      <w:r w:rsidR="004C49A5">
        <w:t xml:space="preserve"> </w:t>
      </w:r>
      <w:r>
        <w:t xml:space="preserve">35:124–129. </w:t>
      </w:r>
      <w:hyperlink r:id="rId26">
        <w:r>
          <w:rPr>
            <w:rStyle w:val="ac"/>
          </w:rPr>
          <w:t>https://doi.org/10.1080/00031305.1981.10479327</w:t>
        </w:r>
      </w:hyperlink>
    </w:p>
    <w:p w14:paraId="16B01A77" w14:textId="77777777" w:rsidR="0037540E" w:rsidRDefault="007D3F04">
      <w:pPr>
        <w:pStyle w:val="a7"/>
      </w:pPr>
      <w:bookmarkStart w:id="68" w:name="ref-Thingi10K"/>
      <w:bookmarkEnd w:id="67"/>
      <w:r>
        <w:t xml:space="preserve">18. </w:t>
      </w:r>
      <w:r>
        <w:tab/>
        <w:t>Zhou Q, Jacobson A (2016) Thingi10K: A dataset of 10,000 3D-printing models. arXiv preprint arXiv:160504797</w:t>
      </w:r>
      <w:bookmarkEnd w:id="42"/>
      <w:bookmarkEnd w:id="49"/>
      <w:bookmarkEnd w:id="51"/>
      <w:bookmarkEnd w:id="68"/>
    </w:p>
    <w:sectPr w:rsidR="0037540E">
      <w:footerReference w:type="default" r:id="rId2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7AB13" w14:textId="77777777" w:rsidR="00B40BFF" w:rsidRDefault="007D3F04">
      <w:pPr>
        <w:spacing w:after="0"/>
      </w:pPr>
      <w:r>
        <w:separator/>
      </w:r>
    </w:p>
  </w:endnote>
  <w:endnote w:type="continuationSeparator" w:id="0">
    <w:p w14:paraId="5F288F7F" w14:textId="77777777" w:rsidR="00B40BFF" w:rsidRDefault="007D3F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5824191"/>
      <w:docPartObj>
        <w:docPartGallery w:val="Page Numbers (Bottom of Page)"/>
        <w:docPartUnique/>
      </w:docPartObj>
    </w:sdtPr>
    <w:sdtEndPr/>
    <w:sdtContent>
      <w:p w14:paraId="0A76D610" w14:textId="4A5C8624" w:rsidR="00955D9F" w:rsidRDefault="00955D9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76D68274" w14:textId="77777777" w:rsidR="00955D9F" w:rsidRDefault="00955D9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19EF" w14:textId="77777777" w:rsidR="00B40BFF" w:rsidRDefault="007D3F04">
      <w:pPr>
        <w:spacing w:after="0"/>
      </w:pPr>
      <w:r>
        <w:separator/>
      </w:r>
    </w:p>
  </w:footnote>
  <w:footnote w:type="continuationSeparator" w:id="0">
    <w:p w14:paraId="066102D9" w14:textId="77777777" w:rsidR="00B40BFF" w:rsidRDefault="007D3F04">
      <w:pPr>
        <w:spacing w:after="0"/>
      </w:pPr>
      <w:r>
        <w:continuationSeparator/>
      </w:r>
    </w:p>
  </w:footnote>
  <w:footnote w:id="1">
    <w:p w14:paraId="16B01A7E" w14:textId="77777777" w:rsidR="0037540E" w:rsidRDefault="007D3F04">
      <w:pPr>
        <w:pStyle w:val="a9"/>
      </w:pPr>
      <w:r>
        <w:rPr>
          <w:rStyle w:val="ab"/>
        </w:rPr>
        <w:footnoteRef/>
      </w:r>
      <w:r>
        <w:t xml:space="preserve"> In this paper, rank tuning denotes fitting weights after converting each feature to its within-candidate rank; it is an empirical candidate-ranking calibration, not continuous geometric optimization.</w:t>
      </w:r>
    </w:p>
  </w:footnote>
  <w:footnote w:id="2">
    <w:p w14:paraId="16B01A7F" w14:textId="77777777" w:rsidR="0037540E" w:rsidRDefault="007D3F04">
      <w:pPr>
        <w:pStyle w:val="a9"/>
      </w:pPr>
      <w:r>
        <w:rPr>
          <w:rStyle w:val="ab"/>
        </w:rPr>
        <w:footnoteRef/>
      </w:r>
      <w:r>
        <w:t xml:space="preserve"> The five-group audit uses a coarser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TOMO grid, while the main stored benchmark uses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grid; this gives an about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smaller direction count and is used only for implementation timing and audit.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93ADA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6449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B088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B301C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27E3CE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EB27A5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3B235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45C33C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EBB5A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540E"/>
    <w:rsid w:val="0000222B"/>
    <w:rsid w:val="000134F1"/>
    <w:rsid w:val="000138C4"/>
    <w:rsid w:val="00016290"/>
    <w:rsid w:val="00024BC1"/>
    <w:rsid w:val="00025387"/>
    <w:rsid w:val="000268A0"/>
    <w:rsid w:val="000327FE"/>
    <w:rsid w:val="000347D9"/>
    <w:rsid w:val="0004039E"/>
    <w:rsid w:val="000415A2"/>
    <w:rsid w:val="00044C19"/>
    <w:rsid w:val="0005126E"/>
    <w:rsid w:val="0006255E"/>
    <w:rsid w:val="0006658C"/>
    <w:rsid w:val="00086BB4"/>
    <w:rsid w:val="00090EA0"/>
    <w:rsid w:val="000911A9"/>
    <w:rsid w:val="00091B9D"/>
    <w:rsid w:val="00094AF2"/>
    <w:rsid w:val="0009640D"/>
    <w:rsid w:val="000A195C"/>
    <w:rsid w:val="000A257C"/>
    <w:rsid w:val="000A260B"/>
    <w:rsid w:val="000A44B2"/>
    <w:rsid w:val="000B4CA1"/>
    <w:rsid w:val="000D0162"/>
    <w:rsid w:val="000D78BF"/>
    <w:rsid w:val="000E126F"/>
    <w:rsid w:val="000E6AF1"/>
    <w:rsid w:val="000F31F2"/>
    <w:rsid w:val="00100DAB"/>
    <w:rsid w:val="0010196D"/>
    <w:rsid w:val="00103CE6"/>
    <w:rsid w:val="0010483F"/>
    <w:rsid w:val="001161EC"/>
    <w:rsid w:val="00121129"/>
    <w:rsid w:val="00122158"/>
    <w:rsid w:val="00142D7D"/>
    <w:rsid w:val="001504B2"/>
    <w:rsid w:val="0015059B"/>
    <w:rsid w:val="001643FE"/>
    <w:rsid w:val="00166570"/>
    <w:rsid w:val="00177D26"/>
    <w:rsid w:val="00190E22"/>
    <w:rsid w:val="00196CC4"/>
    <w:rsid w:val="001A3892"/>
    <w:rsid w:val="001A5AB4"/>
    <w:rsid w:val="001B0760"/>
    <w:rsid w:val="001D4270"/>
    <w:rsid w:val="001D47F7"/>
    <w:rsid w:val="001E2D07"/>
    <w:rsid w:val="00207C70"/>
    <w:rsid w:val="00225258"/>
    <w:rsid w:val="002309B7"/>
    <w:rsid w:val="002338B7"/>
    <w:rsid w:val="00234042"/>
    <w:rsid w:val="00242945"/>
    <w:rsid w:val="00247EE1"/>
    <w:rsid w:val="002633E9"/>
    <w:rsid w:val="0026528D"/>
    <w:rsid w:val="00266C8E"/>
    <w:rsid w:val="002774D1"/>
    <w:rsid w:val="00285CBA"/>
    <w:rsid w:val="002B314A"/>
    <w:rsid w:val="002B3C4A"/>
    <w:rsid w:val="002B567D"/>
    <w:rsid w:val="002C160D"/>
    <w:rsid w:val="002D4945"/>
    <w:rsid w:val="002E33D9"/>
    <w:rsid w:val="002E3BC7"/>
    <w:rsid w:val="002F08A4"/>
    <w:rsid w:val="003052E9"/>
    <w:rsid w:val="00306356"/>
    <w:rsid w:val="003113BD"/>
    <w:rsid w:val="00312710"/>
    <w:rsid w:val="00313381"/>
    <w:rsid w:val="003144B9"/>
    <w:rsid w:val="00316423"/>
    <w:rsid w:val="00323D66"/>
    <w:rsid w:val="00332C52"/>
    <w:rsid w:val="00333D8E"/>
    <w:rsid w:val="00334D83"/>
    <w:rsid w:val="003359C9"/>
    <w:rsid w:val="0034563A"/>
    <w:rsid w:val="0035500F"/>
    <w:rsid w:val="00363B28"/>
    <w:rsid w:val="00365AE0"/>
    <w:rsid w:val="003714E4"/>
    <w:rsid w:val="0037540E"/>
    <w:rsid w:val="00384169"/>
    <w:rsid w:val="00387178"/>
    <w:rsid w:val="003A1C49"/>
    <w:rsid w:val="003A3AA5"/>
    <w:rsid w:val="003B2EE8"/>
    <w:rsid w:val="003B4047"/>
    <w:rsid w:val="003C1E2C"/>
    <w:rsid w:val="003C317B"/>
    <w:rsid w:val="003F1B0C"/>
    <w:rsid w:val="003F667C"/>
    <w:rsid w:val="00402BD9"/>
    <w:rsid w:val="004118C8"/>
    <w:rsid w:val="0041571A"/>
    <w:rsid w:val="00420B30"/>
    <w:rsid w:val="004433FF"/>
    <w:rsid w:val="00447D2A"/>
    <w:rsid w:val="00450138"/>
    <w:rsid w:val="004516A5"/>
    <w:rsid w:val="00453C8D"/>
    <w:rsid w:val="004567BE"/>
    <w:rsid w:val="00457799"/>
    <w:rsid w:val="0047195E"/>
    <w:rsid w:val="00474708"/>
    <w:rsid w:val="0048243C"/>
    <w:rsid w:val="00490B6A"/>
    <w:rsid w:val="0049218E"/>
    <w:rsid w:val="004B14CF"/>
    <w:rsid w:val="004C1467"/>
    <w:rsid w:val="004C35EF"/>
    <w:rsid w:val="004C49A5"/>
    <w:rsid w:val="004D2BA9"/>
    <w:rsid w:val="004D2F68"/>
    <w:rsid w:val="004E5DE2"/>
    <w:rsid w:val="0050276F"/>
    <w:rsid w:val="00507EF1"/>
    <w:rsid w:val="00513707"/>
    <w:rsid w:val="005170F3"/>
    <w:rsid w:val="005202B0"/>
    <w:rsid w:val="005247D8"/>
    <w:rsid w:val="00530DA2"/>
    <w:rsid w:val="00533605"/>
    <w:rsid w:val="005341EE"/>
    <w:rsid w:val="0054744D"/>
    <w:rsid w:val="0055129E"/>
    <w:rsid w:val="00553421"/>
    <w:rsid w:val="0057213D"/>
    <w:rsid w:val="00576F09"/>
    <w:rsid w:val="005806B0"/>
    <w:rsid w:val="005874A3"/>
    <w:rsid w:val="0059562E"/>
    <w:rsid w:val="005A70C5"/>
    <w:rsid w:val="005B1BE6"/>
    <w:rsid w:val="005C11E2"/>
    <w:rsid w:val="005D02C5"/>
    <w:rsid w:val="005D260C"/>
    <w:rsid w:val="005D511B"/>
    <w:rsid w:val="005D5859"/>
    <w:rsid w:val="005E1DC4"/>
    <w:rsid w:val="005E29DF"/>
    <w:rsid w:val="005F662D"/>
    <w:rsid w:val="00604BD8"/>
    <w:rsid w:val="006145D2"/>
    <w:rsid w:val="006148AC"/>
    <w:rsid w:val="0062299E"/>
    <w:rsid w:val="006317D5"/>
    <w:rsid w:val="00633D1E"/>
    <w:rsid w:val="0063445A"/>
    <w:rsid w:val="00647E29"/>
    <w:rsid w:val="00655643"/>
    <w:rsid w:val="00657CFE"/>
    <w:rsid w:val="006626D6"/>
    <w:rsid w:val="00672455"/>
    <w:rsid w:val="0067289D"/>
    <w:rsid w:val="0068102B"/>
    <w:rsid w:val="00682CDD"/>
    <w:rsid w:val="00690A34"/>
    <w:rsid w:val="006B110D"/>
    <w:rsid w:val="006B6865"/>
    <w:rsid w:val="006B7A4E"/>
    <w:rsid w:val="006C0BC8"/>
    <w:rsid w:val="006C4F57"/>
    <w:rsid w:val="006D36E9"/>
    <w:rsid w:val="006F4173"/>
    <w:rsid w:val="006F604E"/>
    <w:rsid w:val="00702619"/>
    <w:rsid w:val="00720A26"/>
    <w:rsid w:val="00724A99"/>
    <w:rsid w:val="0073347A"/>
    <w:rsid w:val="00733702"/>
    <w:rsid w:val="00734D98"/>
    <w:rsid w:val="00737367"/>
    <w:rsid w:val="007402CB"/>
    <w:rsid w:val="00742ABD"/>
    <w:rsid w:val="00742D90"/>
    <w:rsid w:val="00743ED6"/>
    <w:rsid w:val="00744CC8"/>
    <w:rsid w:val="00746B05"/>
    <w:rsid w:val="00747AF0"/>
    <w:rsid w:val="00762EC1"/>
    <w:rsid w:val="00776BAF"/>
    <w:rsid w:val="00776EB7"/>
    <w:rsid w:val="007907A5"/>
    <w:rsid w:val="00793DE9"/>
    <w:rsid w:val="00794D77"/>
    <w:rsid w:val="007A469C"/>
    <w:rsid w:val="007A52D5"/>
    <w:rsid w:val="007B1017"/>
    <w:rsid w:val="007B4C5E"/>
    <w:rsid w:val="007C0EB7"/>
    <w:rsid w:val="007C2F1F"/>
    <w:rsid w:val="007C3127"/>
    <w:rsid w:val="007C3148"/>
    <w:rsid w:val="007D25B5"/>
    <w:rsid w:val="007D3F04"/>
    <w:rsid w:val="007D48E9"/>
    <w:rsid w:val="007D4966"/>
    <w:rsid w:val="007E2F31"/>
    <w:rsid w:val="007E7DF5"/>
    <w:rsid w:val="008011E7"/>
    <w:rsid w:val="00807DFC"/>
    <w:rsid w:val="008165DE"/>
    <w:rsid w:val="00817C51"/>
    <w:rsid w:val="00822402"/>
    <w:rsid w:val="008266E5"/>
    <w:rsid w:val="00835260"/>
    <w:rsid w:val="008364C6"/>
    <w:rsid w:val="00836F4B"/>
    <w:rsid w:val="00841E3D"/>
    <w:rsid w:val="008454F7"/>
    <w:rsid w:val="008468FB"/>
    <w:rsid w:val="008623C3"/>
    <w:rsid w:val="00865A93"/>
    <w:rsid w:val="008810E7"/>
    <w:rsid w:val="00885CC5"/>
    <w:rsid w:val="00887539"/>
    <w:rsid w:val="00890ECC"/>
    <w:rsid w:val="008926C0"/>
    <w:rsid w:val="008A160C"/>
    <w:rsid w:val="008A1711"/>
    <w:rsid w:val="008A7628"/>
    <w:rsid w:val="008B0DFF"/>
    <w:rsid w:val="008C0815"/>
    <w:rsid w:val="008E14DB"/>
    <w:rsid w:val="008E75DA"/>
    <w:rsid w:val="008F607D"/>
    <w:rsid w:val="00901C3C"/>
    <w:rsid w:val="0090562A"/>
    <w:rsid w:val="00906395"/>
    <w:rsid w:val="00907949"/>
    <w:rsid w:val="00917E93"/>
    <w:rsid w:val="009261C4"/>
    <w:rsid w:val="00927499"/>
    <w:rsid w:val="009320B8"/>
    <w:rsid w:val="00934513"/>
    <w:rsid w:val="00934C17"/>
    <w:rsid w:val="00945D21"/>
    <w:rsid w:val="00955D9F"/>
    <w:rsid w:val="00964B35"/>
    <w:rsid w:val="00966120"/>
    <w:rsid w:val="0097553C"/>
    <w:rsid w:val="009767C4"/>
    <w:rsid w:val="00981E31"/>
    <w:rsid w:val="00982689"/>
    <w:rsid w:val="00994B71"/>
    <w:rsid w:val="009A7CCA"/>
    <w:rsid w:val="009B0376"/>
    <w:rsid w:val="009B6A57"/>
    <w:rsid w:val="009B796E"/>
    <w:rsid w:val="009B7CD5"/>
    <w:rsid w:val="009C1669"/>
    <w:rsid w:val="009C3954"/>
    <w:rsid w:val="009D1B83"/>
    <w:rsid w:val="009D456B"/>
    <w:rsid w:val="009E3088"/>
    <w:rsid w:val="009F5326"/>
    <w:rsid w:val="009F6DA9"/>
    <w:rsid w:val="00A05DAD"/>
    <w:rsid w:val="00A07FBE"/>
    <w:rsid w:val="00A22264"/>
    <w:rsid w:val="00A3026F"/>
    <w:rsid w:val="00A455A9"/>
    <w:rsid w:val="00A56ACD"/>
    <w:rsid w:val="00A575DA"/>
    <w:rsid w:val="00A65CA6"/>
    <w:rsid w:val="00A65D2E"/>
    <w:rsid w:val="00A8183E"/>
    <w:rsid w:val="00A855EE"/>
    <w:rsid w:val="00A90D98"/>
    <w:rsid w:val="00A931D1"/>
    <w:rsid w:val="00A968F6"/>
    <w:rsid w:val="00AA3C7A"/>
    <w:rsid w:val="00AB341F"/>
    <w:rsid w:val="00AB540E"/>
    <w:rsid w:val="00AC6994"/>
    <w:rsid w:val="00AC7B8A"/>
    <w:rsid w:val="00AD45E2"/>
    <w:rsid w:val="00AE0A7C"/>
    <w:rsid w:val="00AE5C51"/>
    <w:rsid w:val="00AF7A5F"/>
    <w:rsid w:val="00B023FB"/>
    <w:rsid w:val="00B123EF"/>
    <w:rsid w:val="00B137A5"/>
    <w:rsid w:val="00B1760A"/>
    <w:rsid w:val="00B2360B"/>
    <w:rsid w:val="00B337E5"/>
    <w:rsid w:val="00B355FB"/>
    <w:rsid w:val="00B403BC"/>
    <w:rsid w:val="00B40BFF"/>
    <w:rsid w:val="00B41DD5"/>
    <w:rsid w:val="00B45747"/>
    <w:rsid w:val="00B47C8B"/>
    <w:rsid w:val="00B51445"/>
    <w:rsid w:val="00B55569"/>
    <w:rsid w:val="00B55A73"/>
    <w:rsid w:val="00B77E0D"/>
    <w:rsid w:val="00B853C7"/>
    <w:rsid w:val="00B92401"/>
    <w:rsid w:val="00BA3566"/>
    <w:rsid w:val="00BB0DF2"/>
    <w:rsid w:val="00BB2CE5"/>
    <w:rsid w:val="00BB3B02"/>
    <w:rsid w:val="00BB4D25"/>
    <w:rsid w:val="00BB6187"/>
    <w:rsid w:val="00BD2125"/>
    <w:rsid w:val="00BD7A59"/>
    <w:rsid w:val="00BE478A"/>
    <w:rsid w:val="00BF2E03"/>
    <w:rsid w:val="00BF5C16"/>
    <w:rsid w:val="00BF673C"/>
    <w:rsid w:val="00BF692A"/>
    <w:rsid w:val="00BF78EB"/>
    <w:rsid w:val="00C02BD2"/>
    <w:rsid w:val="00C03C28"/>
    <w:rsid w:val="00C21F1E"/>
    <w:rsid w:val="00C37285"/>
    <w:rsid w:val="00C47B8E"/>
    <w:rsid w:val="00C51946"/>
    <w:rsid w:val="00C67916"/>
    <w:rsid w:val="00C77950"/>
    <w:rsid w:val="00C967F7"/>
    <w:rsid w:val="00CA116A"/>
    <w:rsid w:val="00CB2B75"/>
    <w:rsid w:val="00CC1DBD"/>
    <w:rsid w:val="00CD1B12"/>
    <w:rsid w:val="00CE0641"/>
    <w:rsid w:val="00CF1D25"/>
    <w:rsid w:val="00CF1DBD"/>
    <w:rsid w:val="00D05B17"/>
    <w:rsid w:val="00D2093B"/>
    <w:rsid w:val="00D2141B"/>
    <w:rsid w:val="00D2272F"/>
    <w:rsid w:val="00D26884"/>
    <w:rsid w:val="00D27AF7"/>
    <w:rsid w:val="00D6452C"/>
    <w:rsid w:val="00D71735"/>
    <w:rsid w:val="00D76956"/>
    <w:rsid w:val="00D8367E"/>
    <w:rsid w:val="00D84594"/>
    <w:rsid w:val="00D9021B"/>
    <w:rsid w:val="00DA0C0B"/>
    <w:rsid w:val="00DA2C18"/>
    <w:rsid w:val="00DA6367"/>
    <w:rsid w:val="00DB09EF"/>
    <w:rsid w:val="00DB1A6E"/>
    <w:rsid w:val="00DB46E0"/>
    <w:rsid w:val="00DE2241"/>
    <w:rsid w:val="00DE2EDA"/>
    <w:rsid w:val="00DE5B07"/>
    <w:rsid w:val="00DF5CEF"/>
    <w:rsid w:val="00E14450"/>
    <w:rsid w:val="00E33CB3"/>
    <w:rsid w:val="00E3732A"/>
    <w:rsid w:val="00E43A0F"/>
    <w:rsid w:val="00E44DEA"/>
    <w:rsid w:val="00E54A5C"/>
    <w:rsid w:val="00E659CF"/>
    <w:rsid w:val="00E67DB9"/>
    <w:rsid w:val="00E70714"/>
    <w:rsid w:val="00E75870"/>
    <w:rsid w:val="00E858CE"/>
    <w:rsid w:val="00E95818"/>
    <w:rsid w:val="00E978E6"/>
    <w:rsid w:val="00EA4D24"/>
    <w:rsid w:val="00EA61AA"/>
    <w:rsid w:val="00EB1221"/>
    <w:rsid w:val="00EB2A50"/>
    <w:rsid w:val="00EB50F2"/>
    <w:rsid w:val="00ED24DF"/>
    <w:rsid w:val="00ED65F0"/>
    <w:rsid w:val="00EE0E08"/>
    <w:rsid w:val="00EE12D8"/>
    <w:rsid w:val="00EE68B3"/>
    <w:rsid w:val="00EF18B7"/>
    <w:rsid w:val="00F00F9E"/>
    <w:rsid w:val="00F0426E"/>
    <w:rsid w:val="00F07D20"/>
    <w:rsid w:val="00F112E0"/>
    <w:rsid w:val="00F1290F"/>
    <w:rsid w:val="00F13BB5"/>
    <w:rsid w:val="00F16B1C"/>
    <w:rsid w:val="00F1722E"/>
    <w:rsid w:val="00F32425"/>
    <w:rsid w:val="00F33F16"/>
    <w:rsid w:val="00F3795F"/>
    <w:rsid w:val="00F433EB"/>
    <w:rsid w:val="00F46E93"/>
    <w:rsid w:val="00F565BC"/>
    <w:rsid w:val="00F57210"/>
    <w:rsid w:val="00F7402D"/>
    <w:rsid w:val="00F76D26"/>
    <w:rsid w:val="00F82922"/>
    <w:rsid w:val="00F83092"/>
    <w:rsid w:val="00F87FB2"/>
    <w:rsid w:val="00F90436"/>
    <w:rsid w:val="00F953D2"/>
    <w:rsid w:val="00FB7A0A"/>
    <w:rsid w:val="00FD014B"/>
    <w:rsid w:val="00FD33EA"/>
    <w:rsid w:val="00FD5D90"/>
    <w:rsid w:val="00FE2C80"/>
    <w:rsid w:val="00FE57BF"/>
    <w:rsid w:val="00FF0238"/>
    <w:rsid w:val="00FF2EC2"/>
    <w:rsid w:val="00FF365F"/>
    <w:rsid w:val="00F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183D"/>
  <w15:docId w15:val="{136EB2E1-C343-4AF8-AB53-DD7CE1FD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9D1B83"/>
    <w:pPr>
      <w:spacing w:before="180" w:after="180"/>
      <w:ind w:firstLineChars="100" w:firstLine="10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A65D2E"/>
    <w:pPr>
      <w:keepNext/>
      <w:keepLines/>
      <w:spacing w:before="100" w:after="300"/>
      <w:ind w:firstLineChars="100" w:firstLine="100"/>
    </w:pPr>
    <w:rPr>
      <w:sz w:val="22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B9240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B92401"/>
  </w:style>
  <w:style w:type="paragraph" w:styleId="ae">
    <w:name w:val="footer"/>
    <w:basedOn w:val="a"/>
    <w:link w:val="Char3"/>
    <w:uiPriority w:val="99"/>
    <w:unhideWhenUsed/>
    <w:rsid w:val="00B9240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B92401"/>
  </w:style>
  <w:style w:type="character" w:styleId="af">
    <w:name w:val="Placeholder Text"/>
    <w:basedOn w:val="a1"/>
    <w:semiHidden/>
    <w:rsid w:val="0010196D"/>
    <w:rPr>
      <w:color w:val="808080"/>
    </w:rPr>
  </w:style>
  <w:style w:type="character" w:styleId="af0">
    <w:name w:val="Unresolved Mention"/>
    <w:basedOn w:val="a1"/>
    <w:uiPriority w:val="99"/>
    <w:semiHidden/>
    <w:unhideWhenUsed/>
    <w:rsid w:val="00DB4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16/j.cad.2018.12.007" TargetMode="External"/><Relationship Id="rId18" Type="http://schemas.openxmlformats.org/officeDocument/2006/relationships/hyperlink" Target="https://doi.org/10.1016/j.cag.2015.05.009" TargetMode="External"/><Relationship Id="rId26" Type="http://schemas.openxmlformats.org/officeDocument/2006/relationships/hyperlink" Target="https://doi.org/10.1080/00031305.1981.10479327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2514/6.2014-203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cad.2010.02.001" TargetMode="External"/><Relationship Id="rId17" Type="http://schemas.openxmlformats.org/officeDocument/2006/relationships/hyperlink" Target="https://doi.org/10.1145/3197517.3201342" TargetMode="External"/><Relationship Id="rId25" Type="http://schemas.openxmlformats.org/officeDocument/2006/relationships/hyperlink" Target="https://doi.org/10.1016/0020-7225(84)90090-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00158-017-1877-z" TargetMode="External"/><Relationship Id="rId20" Type="http://schemas.openxmlformats.org/officeDocument/2006/relationships/hyperlink" Target="https://doi.org/10.1089/3dp.2024.0165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80/16864360.2017.1308074" TargetMode="External"/><Relationship Id="rId24" Type="http://schemas.openxmlformats.org/officeDocument/2006/relationships/hyperlink" Target="https://doi.org/10.1016/j.ijmecsci.2025.11044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ad.2016.07.006" TargetMode="External"/><Relationship Id="rId23" Type="http://schemas.openxmlformats.org/officeDocument/2006/relationships/hyperlink" Target="https://doi.org/10.1007/s00245-022-09939-z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oi.org/10.1186/s40691-022-00290-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80/0951192X.2018.1466398" TargetMode="External"/><Relationship Id="rId22" Type="http://schemas.openxmlformats.org/officeDocument/2006/relationships/hyperlink" Target="https://doi.org/10.2514/6.2014-2036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4EFBFA-3FEB-4070-B960-8222C098A325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3d5f4759-6213-46f6-abbd-14ba163a0a5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18124-F080-49A0-95E8-6DB045AE6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17</Pages>
  <Words>4883</Words>
  <Characters>27837</Characters>
  <Application>Microsoft Office Word</Application>
  <DocSecurity>0</DocSecurity>
  <Lines>231</Lines>
  <Paragraphs>65</Paragraphs>
  <ScaleCrop>false</ScaleCrop>
  <Company/>
  <LinksUpToDate>false</LinksUpToDate>
  <CharactersWithSpaces>32655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Flow Tensor Field for Fast Build-Orientation Candidate Generation in Support-Requiring Additive Manufacturing</dc:title>
  <dc:creator/>
  <cp:keywords/>
  <cp:lastModifiedBy>inhwan sul</cp:lastModifiedBy>
  <cp:revision>416</cp:revision>
  <dcterms:created xsi:type="dcterms:W3CDTF">2026-06-25T22:27:00Z</dcterms:created>
  <dcterms:modified xsi:type="dcterms:W3CDTF">2026-06-26T10:03:00Z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Build orientation strongly controls support volume in additive manufacturing, but exhaustive orientation sweeps remain costly. The proposed method targets support-requiring additive-manufacturing processes in which build orientation changes the amount of removable support material; it is not intended for inherently support-free processes. This paper proposes the Support Flow Tensor Field (SFTF), a fast candidate generator that ranks promising build directions before local verification by a support-volume grid or slicer. For each sampled direction, SFTF casts rays from overhang faces to actual receiver faces and forms a direction-dependent asymmetric flow tensor. The build-plate support term is further interpreted as a virtual ground receiver, making the dominant predictive term a unified Rayleigh cost. On five benchmark meshes with a 1^\circ tomography grid, verifying the \pm 10^\circ neighborhoods of the top-20 SFTF candidates uses 3.57\% of the grid on average and obtains a mean support-volume ratio of 1.13 with maximum 1.58. Budget-matched uniform and random local-window controls are weaker, with mean/maximum ratios of 1.64/2.79 and 2.62/5.44. The paper also introduces Adaptive Verification Escalation (AVE), an automatic hard-case escalation rule based on local-verification confidence signals. On the five stored 1^\circ meshes it reduces the worst ratio from 8.52 to 1.06 while using 2.99\% of the full grid on average; on a five-group cached 3^\circ audit, it reduces the maximum ratio from 12.44 to 1.62 at a mean budget of 4.96\%. These results show that SFTF is best viewed not as a replacement for precise support-volume optimization, but as a low-cost warm start that concentrates expensive verification on a small number of likely basins.</vt:lpwstr>
  </property>
  <property fmtid="{D5CDD505-2E9C-101B-9397-08002B2CF9AE}" pid="3" name="bibliography">
    <vt:lpwstr>references.bib</vt:lpwstr>
  </property>
  <property fmtid="{D5CDD505-2E9C-101B-9397-08002B2CF9AE}" pid="4" name="csl">
    <vt:lpwstr>progress-in-additive-manufacturing.csl</vt:lpwstr>
  </property>
  <property fmtid="{D5CDD505-2E9C-101B-9397-08002B2CF9AE}" pid="5" name="date">
    <vt:lpwstr/>
  </property>
</Properties>
</file>