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Support</w:t>
      </w:r>
      <w:r>
        <w:t xml:space="preserve"> </w:t>
      </w:r>
      <w:r>
        <w:t xml:space="preserve">Flow</w:t>
      </w:r>
      <w:r>
        <w:t xml:space="preserve"> </w:t>
      </w:r>
      <w:r>
        <w:t xml:space="preserve">Tensor</w:t>
      </w:r>
      <w:r>
        <w:t xml:space="preserve"> </w:t>
      </w:r>
      <w:r>
        <w:t xml:space="preserve">Field</w:t>
      </w:r>
      <w:r>
        <w:t xml:space="preserve"> </w:t>
      </w:r>
      <w:r>
        <w:t xml:space="preserve">for</w:t>
      </w:r>
      <w:r>
        <w:t xml:space="preserve"> </w:t>
      </w:r>
      <w:r>
        <w:t xml:space="preserve">Fast</w:t>
      </w:r>
      <w:r>
        <w:t xml:space="preserve"> </w:t>
      </w:r>
      <w:r>
        <w:t xml:space="preserve">Build-Orientation</w:t>
      </w:r>
      <w:r>
        <w:t xml:space="preserve"> </w:t>
      </w:r>
      <w:r>
        <w:t xml:space="preserve">Candidate</w:t>
      </w:r>
      <w:r>
        <w:t xml:space="preserve"> </w:t>
      </w:r>
      <w:r>
        <w:t xml:space="preserve">Generation</w:t>
      </w:r>
      <w:r>
        <w:t xml:space="preserve"> </w:t>
      </w:r>
      <w:r>
        <w:t xml:space="preserve">in</w:t>
      </w:r>
      <w:r>
        <w:t xml:space="preserve"> </w:t>
      </w:r>
      <w:r>
        <w:t xml:space="preserve">Support-Requiring</w:t>
      </w:r>
      <w:r>
        <w:t xml:space="preserve"> </w:t>
      </w:r>
      <w:r>
        <w:t xml:space="preserve">Additive</w:t>
      </w:r>
      <w:r>
        <w:t xml:space="preserve"> </w:t>
      </w:r>
      <w:r>
        <w:t xml:space="preserve">Manufacturing</w:t>
      </w:r>
    </w:p>
    <w:p>
      <w:pPr>
        <w:pStyle w:val="Author"/>
      </w:pPr>
      <w:r>
        <w:t xml:space="preserve">InHwan</w:t>
      </w:r>
      <w:r>
        <w:t xml:space="preserve"> </w:t>
      </w:r>
      <w:r>
        <w:t xml:space="preserve">Sul</w:t>
      </w:r>
      <w:r>
        <w:br/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Materials</w:t>
      </w:r>
      <w:r>
        <w:t xml:space="preserve"> </w:t>
      </w:r>
      <w:r>
        <w:t xml:space="preserve">Design</w:t>
      </w:r>
      <w:r>
        <w:t xml:space="preserve"> </w:t>
      </w:r>
      <w:r>
        <w:t xml:space="preserve">Engineering,</w:t>
      </w:r>
      <w:r>
        <w:t xml:space="preserve"> </w:t>
      </w:r>
      <w:r>
        <w:t xml:space="preserve">Kumoh</w:t>
      </w:r>
      <w:r>
        <w:t xml:space="preserve"> </w:t>
      </w:r>
      <w:r>
        <w:t xml:space="preserve">National</w:t>
      </w:r>
      <w:r>
        <w:t xml:space="preserve"> </w:t>
      </w:r>
      <w:r>
        <w:t xml:space="preserve">Institute</w:t>
      </w:r>
      <w:r>
        <w:t xml:space="preserve"> </w:t>
      </w:r>
      <w:r>
        <w:t xml:space="preserve">of</w:t>
      </w:r>
      <w:r>
        <w:t xml:space="preserve"> </w:t>
      </w:r>
      <w:r>
        <w:t xml:space="preserve">Technology,</w:t>
      </w:r>
      <w:r>
        <w:br/>
      </w:r>
      <w:r>
        <w:t xml:space="preserve">Gumi</w:t>
      </w:r>
      <w:r>
        <w:t xml:space="preserve"> </w:t>
      </w:r>
      <w:r>
        <w:t xml:space="preserve">39177,</w:t>
      </w:r>
      <w:r>
        <w:t xml:space="preserve"> </w:t>
      </w:r>
      <w:r>
        <w:t xml:space="preserve">Republic</w:t>
      </w:r>
      <w:r>
        <w:t xml:space="preserve"> </w:t>
      </w:r>
      <w:r>
        <w:t xml:space="preserve">of</w:t>
      </w:r>
      <w:r>
        <w:t xml:space="preserve"> </w:t>
      </w:r>
      <w:r>
        <w:t xml:space="preserve">Korea</w:t>
      </w:r>
      <w:r>
        <w:br/>
      </w:r>
      <w:r>
        <w:t xml:space="preserve">Email:</w:t>
      </w:r>
      <w:r>
        <w:t xml:space="preserve"> </w:t>
      </w:r>
      <w:r>
        <w:t xml:space="preserve">snowman0@kumoh.ac.kr</w:t>
      </w:r>
      <w:r>
        <w:t xml:space="preserve"> </w:t>
      </w:r>
      <w:r>
        <w:t xml:space="preserve">ORCID:</w:t>
      </w:r>
      <w:r>
        <w:t xml:space="preserve"> </w:t>
      </w:r>
      <w:r>
        <w:t xml:space="preserve">0000-0003-0105-920X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Build</w:t>
      </w:r>
      <w:r>
        <w:t xml:space="preserve"> </w:t>
      </w:r>
      <w:r>
        <w:t xml:space="preserve">orientation</w:t>
      </w:r>
      <w:r>
        <w:t xml:space="preserve"> </w:t>
      </w:r>
      <w:r>
        <w:t xml:space="preserve">strongly</w:t>
      </w:r>
      <w:r>
        <w:t xml:space="preserve"> </w:t>
      </w:r>
      <w:r>
        <w:t xml:space="preserve">controls</w:t>
      </w:r>
      <w:r>
        <w:t xml:space="preserve"> </w:t>
      </w:r>
      <w:r>
        <w:t xml:space="preserve">support</w:t>
      </w:r>
      <w:r>
        <w:t xml:space="preserve"> </w:t>
      </w:r>
      <w:r>
        <w:t xml:space="preserve">volume</w:t>
      </w:r>
      <w:r>
        <w:t xml:space="preserve"> </w:t>
      </w:r>
      <w:r>
        <w:t xml:space="preserve">in</w:t>
      </w:r>
      <w:r>
        <w:t xml:space="preserve"> </w:t>
      </w:r>
      <w:r>
        <w:t xml:space="preserve">additive</w:t>
      </w:r>
      <w:r>
        <w:t xml:space="preserve"> </w:t>
      </w:r>
      <w:r>
        <w:t xml:space="preserve">manufacturing,</w:t>
      </w:r>
      <w:r>
        <w:t xml:space="preserve"> </w:t>
      </w:r>
      <w:r>
        <w:t xml:space="preserve">but</w:t>
      </w:r>
      <w:r>
        <w:t xml:space="preserve"> </w:t>
      </w:r>
      <w:r>
        <w:t xml:space="preserve">exhaustive</w:t>
      </w:r>
      <w:r>
        <w:t xml:space="preserve"> </w:t>
      </w:r>
      <w:r>
        <w:t xml:space="preserve">orientation</w:t>
      </w:r>
      <w:r>
        <w:t xml:space="preserve"> </w:t>
      </w:r>
      <w:r>
        <w:t xml:space="preserve">sweeps</w:t>
      </w:r>
      <w:r>
        <w:t xml:space="preserve"> </w:t>
      </w:r>
      <w:r>
        <w:t xml:space="preserve">remain</w:t>
      </w:r>
      <w:r>
        <w:t xml:space="preserve"> </w:t>
      </w:r>
      <w:r>
        <w:t xml:space="preserve">costly.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method</w:t>
      </w:r>
      <w:r>
        <w:t xml:space="preserve"> </w:t>
      </w:r>
      <w:r>
        <w:t xml:space="preserve">targets</w:t>
      </w:r>
      <w:r>
        <w:t xml:space="preserve"> </w:t>
      </w:r>
      <w:r>
        <w:t xml:space="preserve">support-requiring</w:t>
      </w:r>
      <w:r>
        <w:t xml:space="preserve"> </w:t>
      </w:r>
      <w:r>
        <w:t xml:space="preserve">processes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build</w:t>
      </w:r>
      <w:r>
        <w:t xml:space="preserve"> </w:t>
      </w:r>
      <w:r>
        <w:t xml:space="preserve">orientation</w:t>
      </w:r>
      <w:r>
        <w:t xml:space="preserve"> </w:t>
      </w:r>
      <w:r>
        <w:t xml:space="preserve">changes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removable</w:t>
      </w:r>
      <w:r>
        <w:t xml:space="preserve"> </w:t>
      </w:r>
      <w:r>
        <w:t xml:space="preserve">support</w:t>
      </w:r>
      <w:r>
        <w:t xml:space="preserve"> </w:t>
      </w:r>
      <w:r>
        <w:t xml:space="preserve">material;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intended</w:t>
      </w:r>
      <w:r>
        <w:t xml:space="preserve"> </w:t>
      </w:r>
      <w:r>
        <w:t xml:space="preserve">for</w:t>
      </w:r>
      <w:r>
        <w:t xml:space="preserve"> </w:t>
      </w:r>
      <w:r>
        <w:t xml:space="preserve">inherently</w:t>
      </w:r>
      <w:r>
        <w:t xml:space="preserve"> </w:t>
      </w:r>
      <w:r>
        <w:t xml:space="preserve">support-free</w:t>
      </w:r>
      <w:r>
        <w:t xml:space="preserve"> </w:t>
      </w:r>
      <w:r>
        <w:t xml:space="preserve">processes.</w:t>
      </w:r>
      <w:r>
        <w:t xml:space="preserve"> </w:t>
      </w:r>
      <w:r>
        <w:t xml:space="preserve">This</w:t>
      </w:r>
      <w:r>
        <w:t xml:space="preserve"> </w:t>
      </w:r>
      <w:r>
        <w:t xml:space="preserve">paper</w:t>
      </w:r>
      <w:r>
        <w:t xml:space="preserve"> </w:t>
      </w:r>
      <w:r>
        <w:t xml:space="preserve">proposes</w:t>
      </w:r>
      <w:r>
        <w:t xml:space="preserve"> </w:t>
      </w:r>
      <w:r>
        <w:t xml:space="preserve">the</w:t>
      </w:r>
      <w:r>
        <w:t xml:space="preserve"> </w:t>
      </w:r>
      <w:r>
        <w:t xml:space="preserve">Support</w:t>
      </w:r>
      <w:r>
        <w:t xml:space="preserve"> </w:t>
      </w:r>
      <w:r>
        <w:t xml:space="preserve">Flow</w:t>
      </w:r>
      <w:r>
        <w:t xml:space="preserve"> </w:t>
      </w:r>
      <w:r>
        <w:t xml:space="preserve">Tensor</w:t>
      </w:r>
      <w:r>
        <w:t xml:space="preserve"> </w:t>
      </w:r>
      <w:r>
        <w:t xml:space="preserve">Field</w:t>
      </w:r>
      <w:r>
        <w:t xml:space="preserve"> </w:t>
      </w:r>
      <w:r>
        <w:t xml:space="preserve">(SFTF),</w:t>
      </w:r>
      <w:r>
        <w:t xml:space="preserve"> </w:t>
      </w:r>
      <w:r>
        <w:t xml:space="preserve">a</w:t>
      </w:r>
      <w:r>
        <w:t xml:space="preserve"> </w:t>
      </w:r>
      <w:r>
        <w:t xml:space="preserve">fast</w:t>
      </w:r>
      <w:r>
        <w:t xml:space="preserve"> </w:t>
      </w:r>
      <w:r>
        <w:t xml:space="preserve">candidate</w:t>
      </w:r>
      <w:r>
        <w:t xml:space="preserve"> </w:t>
      </w:r>
      <w:r>
        <w:t xml:space="preserve">generator</w:t>
      </w:r>
      <w:r>
        <w:t xml:space="preserve"> </w:t>
      </w:r>
      <w:r>
        <w:t xml:space="preserve">that</w:t>
      </w:r>
      <w:r>
        <w:t xml:space="preserve"> </w:t>
      </w:r>
      <w:r>
        <w:t xml:space="preserve">ranks</w:t>
      </w:r>
      <w:r>
        <w:t xml:space="preserve"> </w:t>
      </w:r>
      <w:r>
        <w:t xml:space="preserve">promising</w:t>
      </w:r>
      <w:r>
        <w:t xml:space="preserve"> </w:t>
      </w:r>
      <w:r>
        <w:t xml:space="preserve">build</w:t>
      </w:r>
      <w:r>
        <w:t xml:space="preserve"> </w:t>
      </w:r>
      <w:r>
        <w:t xml:space="preserve">directions</w:t>
      </w:r>
      <w:r>
        <w:t xml:space="preserve"> </w:t>
      </w:r>
      <w:r>
        <w:t xml:space="preserve">before</w:t>
      </w:r>
      <w:r>
        <w:t xml:space="preserve"> </w:t>
      </w:r>
      <w:r>
        <w:t xml:space="preserve">local</w:t>
      </w:r>
      <w:r>
        <w:t xml:space="preserve"> </w:t>
      </w:r>
      <w:r>
        <w:t xml:space="preserve">verification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support-volume</w:t>
      </w:r>
      <w:r>
        <w:t xml:space="preserve"> </w:t>
      </w:r>
      <w:r>
        <w:t xml:space="preserve">grid</w:t>
      </w:r>
      <w:r>
        <w:t xml:space="preserve"> </w:t>
      </w:r>
      <w:r>
        <w:t xml:space="preserve">or</w:t>
      </w:r>
      <w:r>
        <w:t xml:space="preserve"> </w:t>
      </w:r>
      <w:r>
        <w:t xml:space="preserve">slicer.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sampled</w:t>
      </w:r>
      <w:r>
        <w:t xml:space="preserve"> </w:t>
      </w:r>
      <w:r>
        <w:t xml:space="preserve">direction,</w:t>
      </w:r>
      <w:r>
        <w:t xml:space="preserve"> </w:t>
      </w:r>
      <w:r>
        <w:t xml:space="preserve">SFTF</w:t>
      </w:r>
      <w:r>
        <w:t xml:space="preserve"> </w:t>
      </w:r>
      <w:r>
        <w:t xml:space="preserve">casts</w:t>
      </w:r>
      <w:r>
        <w:t xml:space="preserve"> </w:t>
      </w:r>
      <w:r>
        <w:t xml:space="preserve">rays</w:t>
      </w:r>
      <w:r>
        <w:t xml:space="preserve"> </w:t>
      </w:r>
      <w:r>
        <w:t xml:space="preserve">from</w:t>
      </w:r>
      <w:r>
        <w:t xml:space="preserve"> </w:t>
      </w:r>
      <w:r>
        <w:t xml:space="preserve">overhang</w:t>
      </w:r>
      <w:r>
        <w:t xml:space="preserve"> </w:t>
      </w:r>
      <w:r>
        <w:t xml:space="preserve">faces</w:t>
      </w:r>
      <w:r>
        <w:t xml:space="preserve"> </w:t>
      </w:r>
      <w:r>
        <w:t xml:space="preserve">to</w:t>
      </w:r>
      <w:r>
        <w:t xml:space="preserve"> </w:t>
      </w:r>
      <w:r>
        <w:t xml:space="preserve">actual</w:t>
      </w:r>
      <w:r>
        <w:t xml:space="preserve"> </w:t>
      </w:r>
      <w:r>
        <w:t xml:space="preserve">receiver</w:t>
      </w:r>
      <w:r>
        <w:t xml:space="preserve"> </w:t>
      </w:r>
      <w:r>
        <w:t xml:space="preserve">faces</w:t>
      </w:r>
      <w:r>
        <w:t xml:space="preserve"> </w:t>
      </w:r>
      <w:r>
        <w:t xml:space="preserve">and</w:t>
      </w:r>
      <w:r>
        <w:t xml:space="preserve"> </w:t>
      </w:r>
      <w:r>
        <w:t xml:space="preserve">forms</w:t>
      </w:r>
      <w:r>
        <w:t xml:space="preserve"> </w:t>
      </w:r>
      <w:r>
        <w:t xml:space="preserve">a</w:t>
      </w:r>
      <w:r>
        <w:t xml:space="preserve"> </w:t>
      </w:r>
      <w:r>
        <w:t xml:space="preserve">direction-dependent</w:t>
      </w:r>
      <w:r>
        <w:t xml:space="preserve"> </w:t>
      </w:r>
      <w:r>
        <w:t xml:space="preserve">asymmetric</w:t>
      </w:r>
      <w:r>
        <w:t xml:space="preserve"> </w:t>
      </w:r>
      <w:r>
        <w:t xml:space="preserve">flow</w:t>
      </w:r>
      <w:r>
        <w:t xml:space="preserve"> </w:t>
      </w:r>
      <w:r>
        <w:t xml:space="preserve">tensor;</w:t>
      </w:r>
      <w:r>
        <w:t xml:space="preserve"> </w:t>
      </w:r>
      <w:r>
        <w:t xml:space="preserve">the</w:t>
      </w:r>
      <w:r>
        <w:t xml:space="preserve"> </w:t>
      </w:r>
      <w:r>
        <w:t xml:space="preserve">build-plate</w:t>
      </w:r>
      <w:r>
        <w:t xml:space="preserve"> </w:t>
      </w:r>
      <w:r>
        <w:t xml:space="preserve">support</w:t>
      </w:r>
      <w:r>
        <w:t xml:space="preserve"> </w:t>
      </w:r>
      <w:r>
        <w:t xml:space="preserve">term</w:t>
      </w:r>
      <w:r>
        <w:t xml:space="preserve"> </w:t>
      </w:r>
      <w:r>
        <w:t xml:space="preserve">is</w:t>
      </w:r>
      <w:r>
        <w:t xml:space="preserve"> </w:t>
      </w:r>
      <w:r>
        <w:t xml:space="preserve">interpreted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virtual</w:t>
      </w:r>
      <w:r>
        <w:t xml:space="preserve"> </w:t>
      </w:r>
      <w:r>
        <w:t xml:space="preserve">ground</w:t>
      </w:r>
      <w:r>
        <w:t xml:space="preserve"> </w:t>
      </w:r>
      <w:r>
        <w:t xml:space="preserve">receiver,</w:t>
      </w:r>
      <w:r>
        <w:t xml:space="preserve"> </w:t>
      </w:r>
      <w:r>
        <w:t xml:space="preserve">making</w:t>
      </w:r>
      <w:r>
        <w:t xml:space="preserve"> </w:t>
      </w:r>
      <w:r>
        <w:t xml:space="preserve">the</w:t>
      </w:r>
      <w:r>
        <w:t xml:space="preserve"> </w:t>
      </w:r>
      <w:r>
        <w:t xml:space="preserve">dominant</w:t>
      </w:r>
      <w:r>
        <w:t xml:space="preserve"> </w:t>
      </w:r>
      <w:r>
        <w:t xml:space="preserve">predictive</w:t>
      </w:r>
      <w:r>
        <w:t xml:space="preserve"> </w:t>
      </w:r>
      <w:r>
        <w:t xml:space="preserve">term</w:t>
      </w:r>
      <w:r>
        <w:t xml:space="preserve"> </w:t>
      </w:r>
      <w:r>
        <w:t xml:space="preserve">a</w:t>
      </w:r>
      <w:r>
        <w:t xml:space="preserve"> </w:t>
      </w:r>
      <w:r>
        <w:t xml:space="preserve">unified</w:t>
      </w:r>
      <w:r>
        <w:t xml:space="preserve"> </w:t>
      </w:r>
      <w:r>
        <w:t xml:space="preserve">Rayleigh</w:t>
      </w:r>
      <w:r>
        <w:t xml:space="preserve"> </w:t>
      </w:r>
      <w:r>
        <w:t xml:space="preserve">cost.</w:t>
      </w:r>
      <w:r>
        <w:t xml:space="preserve"> </w:t>
      </w:r>
      <w:r>
        <w:t xml:space="preserve">On</w:t>
      </w:r>
      <w:r>
        <w:t xml:space="preserve"> </w:t>
      </w:r>
      <w:r>
        <w:t xml:space="preserve">five</w:t>
      </w:r>
      <w:r>
        <w:t xml:space="preserve"> </w:t>
      </w:r>
      <w:r>
        <w:t xml:space="preserve">organic</w:t>
      </w:r>
      <w:r>
        <w:t xml:space="preserve"> </w:t>
      </w:r>
      <w:r>
        <w:t xml:space="preserve">freeform</w:t>
      </w:r>
      <w:r>
        <w:t xml:space="preserve"> </w:t>
      </w:r>
      <w:r>
        <w:t xml:space="preserve">benchmark</w:t>
      </w:r>
      <w:r>
        <w:t xml:space="preserve"> </w:t>
      </w:r>
      <w:r>
        <w:t xml:space="preserve">meshes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tomography</w:t>
      </w:r>
      <w:r>
        <w:t xml:space="preserve"> </w:t>
      </w:r>
      <w:r>
        <w:t xml:space="preserve">grid,</w:t>
      </w:r>
      <w:r>
        <w:t xml:space="preserve"> </w:t>
      </w:r>
      <w:r>
        <w:t xml:space="preserve">verifying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neighborhoods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top-</w:t>
      </w:r>
      <m:oMath>
        <m:r>
          <m:t>20</m:t>
        </m:r>
      </m:oMath>
      <w:r>
        <w:t xml:space="preserve"> </w:t>
      </w:r>
      <w:r>
        <w:t xml:space="preserve">SFTF</w:t>
      </w:r>
      <w:r>
        <w:t xml:space="preserve"> </w:t>
      </w:r>
      <w:r>
        <w:t xml:space="preserve">candidates</w:t>
      </w:r>
      <w:r>
        <w:t xml:space="preserve"> </w:t>
      </w:r>
      <w:r>
        <w:t xml:space="preserve">uses</w:t>
      </w:r>
      <w:r>
        <w:t xml:space="preserve"> </w:t>
      </w:r>
      <m:oMath>
        <m:r>
          <m:t>3.40</m:t>
        </m:r>
        <m:r>
          <m:rPr>
            <m:sty m:val="p"/>
          </m:rPr>
          <m:t>%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grid</w:t>
      </w:r>
      <w:r>
        <w:t xml:space="preserve"> </w:t>
      </w:r>
      <w:r>
        <w:t xml:space="preserve">on</w:t>
      </w:r>
      <w:r>
        <w:t xml:space="preserve"> </w:t>
      </w:r>
      <w:r>
        <w:t xml:space="preserve">average</w:t>
      </w:r>
      <w:r>
        <w:t xml:space="preserve"> </w:t>
      </w:r>
      <w:r>
        <w:t xml:space="preserve">and</w:t>
      </w:r>
      <w:r>
        <w:t xml:space="preserve"> </w:t>
      </w:r>
      <w:r>
        <w:t xml:space="preserve">obtains</w:t>
      </w:r>
      <w:r>
        <w:t xml:space="preserve"> </w:t>
      </w:r>
      <w:r>
        <w:t xml:space="preserve">a</w:t>
      </w:r>
      <w:r>
        <w:t xml:space="preserve"> </w:t>
      </w:r>
      <w:r>
        <w:t xml:space="preserve">mean</w:t>
      </w:r>
      <w:r>
        <w:t xml:space="preserve"> </w:t>
      </w:r>
      <w:r>
        <w:t xml:space="preserve">support-volume</w:t>
      </w:r>
      <w:r>
        <w:t xml:space="preserve"> </w:t>
      </w:r>
      <w:r>
        <w:t xml:space="preserve">ratio</w:t>
      </w:r>
      <w:r>
        <w:t xml:space="preserve"> </w:t>
      </w:r>
      <w:r>
        <w:t xml:space="preserve">of</w:t>
      </w:r>
      <w:r>
        <w:t xml:space="preserve"> </w:t>
      </w:r>
      <m:oMath>
        <m:r>
          <m:t>1.14</m:t>
        </m:r>
      </m:oMath>
      <w:r>
        <w:t xml:space="preserve"> </w:t>
      </w:r>
      <w:r>
        <w:t xml:space="preserve">(maximum</w:t>
      </w:r>
      <w:r>
        <w:t xml:space="preserve"> </w:t>
      </w:r>
      <m:oMath>
        <m:r>
          <m:t>1.66</m:t>
        </m:r>
      </m:oMath>
      <w:r>
        <w:t xml:space="preserve">);</w:t>
      </w:r>
      <w:r>
        <w:t xml:space="preserve"> </w:t>
      </w:r>
      <w:r>
        <w:t xml:space="preserve">the</w:t>
      </w:r>
      <w:r>
        <w:t xml:space="preserve"> </w:t>
      </w:r>
      <w:r>
        <w:t xml:space="preserve">tensor</w:t>
      </w:r>
      <w:r>
        <w:t xml:space="preserve"> </w:t>
      </w:r>
      <w:r>
        <w:t xml:space="preserve">features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most</w:t>
      </w:r>
      <w:r>
        <w:t xml:space="preserve"> </w:t>
      </w:r>
      <w:r>
        <w:t xml:space="preserve">stable</w:t>
      </w:r>
      <w:r>
        <w:t xml:space="preserve"> </w:t>
      </w:r>
      <w:r>
        <w:t xml:space="preserve">single</w:t>
      </w:r>
      <w:r>
        <w:t xml:space="preserve"> </w:t>
      </w:r>
      <w:r>
        <w:t xml:space="preserve">predictors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tomographic</w:t>
      </w:r>
      <w:r>
        <w:t xml:space="preserve"> </w:t>
      </w:r>
      <w:r>
        <w:t xml:space="preserve">support</w:t>
      </w:r>
      <w:r>
        <w:t xml:space="preserve"> </w:t>
      </w:r>
      <w:r>
        <w:t xml:space="preserve">volume</w:t>
      </w:r>
      <w:r>
        <w:t xml:space="preserve"> </w:t>
      </w:r>
      <w:r>
        <w:t xml:space="preserve">(mean</w:t>
      </w:r>
      <w:r>
        <w:t xml:space="preserve"> </w:t>
      </w:r>
      <w:r>
        <w:t xml:space="preserve">Spearman</w:t>
      </w:r>
      <w:r>
        <w:t xml:space="preserve"> </w:t>
      </w:r>
      <m:oMath>
        <m:r>
          <m:t>0.59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0.61</m:t>
        </m:r>
      </m:oMath>
      <w:r>
        <w:t xml:space="preserve">).</w:t>
      </w:r>
      <w:r>
        <w:t xml:space="preserve"> </w:t>
      </w:r>
      <w:r>
        <w:t xml:space="preserve">We</w:t>
      </w:r>
      <w:r>
        <w:t xml:space="preserve"> </w:t>
      </w:r>
      <w:r>
        <w:t xml:space="preserve">also</w:t>
      </w:r>
      <w:r>
        <w:t xml:space="preserve"> </w:t>
      </w:r>
      <w:r>
        <w:t xml:space="preserve">introduce</w:t>
      </w:r>
      <w:r>
        <w:t xml:space="preserve"> </w:t>
      </w:r>
      <w:r>
        <w:t xml:space="preserve">Adaptive</w:t>
      </w:r>
      <w:r>
        <w:t xml:space="preserve"> </w:t>
      </w:r>
      <w:r>
        <w:t xml:space="preserve">Verification</w:t>
      </w:r>
      <w:r>
        <w:t xml:space="preserve"> </w:t>
      </w:r>
      <w:r>
        <w:t xml:space="preserve">Escalation</w:t>
      </w:r>
      <w:r>
        <w:t xml:space="preserve"> </w:t>
      </w:r>
      <w:r>
        <w:t xml:space="preserve">(AVE),</w:t>
      </w:r>
      <w:r>
        <w:t xml:space="preserve"> </w:t>
      </w:r>
      <w:r>
        <w:t xml:space="preserve">an</w:t>
      </w:r>
      <w:r>
        <w:t xml:space="preserve"> </w:t>
      </w:r>
      <w:r>
        <w:t xml:space="preserve">automatic</w:t>
      </w:r>
      <w:r>
        <w:t xml:space="preserve"> </w:t>
      </w:r>
      <w:r>
        <w:t xml:space="preserve">hard-case</w:t>
      </w:r>
      <w:r>
        <w:t xml:space="preserve"> </w:t>
      </w:r>
      <w:r>
        <w:t xml:space="preserve">escalation</w:t>
      </w:r>
      <w:r>
        <w:t xml:space="preserve"> </w:t>
      </w:r>
      <w:r>
        <w:t xml:space="preserve">rule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local-verification</w:t>
      </w:r>
      <w:r>
        <w:t xml:space="preserve"> </w:t>
      </w:r>
      <w:r>
        <w:t xml:space="preserve">confidence</w:t>
      </w:r>
      <w:r>
        <w:t xml:space="preserve"> </w:t>
      </w:r>
      <w:r>
        <w:t xml:space="preserve">signals;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five-group</w:t>
      </w:r>
      <w:r>
        <w:t xml:space="preserve"> </w:t>
      </w:r>
      <w:r>
        <w:t xml:space="preserve">cached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audit</w:t>
      </w:r>
      <w:r>
        <w:t xml:space="preserve"> </w:t>
      </w:r>
      <w:r>
        <w:t xml:space="preserve">of</w:t>
      </w:r>
      <w:r>
        <w:t xml:space="preserve"> </w:t>
      </w:r>
      <m:oMath>
        <m:r>
          <m:t>21</m:t>
        </m:r>
      </m:oMath>
      <w:r>
        <w:t xml:space="preserve"> </w:t>
      </w:r>
      <w:r>
        <w:t xml:space="preserve">ratio-valid</w:t>
      </w:r>
      <w:r>
        <w:t xml:space="preserve"> </w:t>
      </w:r>
      <w:r>
        <w:t xml:space="preserve">records</w:t>
      </w:r>
      <w:r>
        <w:t xml:space="preserve"> </w:t>
      </w:r>
      <w:r>
        <w:t xml:space="preserve">it</w:t>
      </w:r>
      <w:r>
        <w:t xml:space="preserve"> </w:t>
      </w:r>
      <w:r>
        <w:t xml:space="preserve">keeps</w:t>
      </w:r>
      <w:r>
        <w:t xml:space="preserve"> </w:t>
      </w:r>
      <w:r>
        <w:t xml:space="preserve">every</w:t>
      </w:r>
      <w:r>
        <w:t xml:space="preserve"> </w:t>
      </w:r>
      <w:r>
        <w:t xml:space="preserve">record</w:t>
      </w:r>
      <w:r>
        <w:t xml:space="preserve"> </w:t>
      </w:r>
      <w:r>
        <w:t xml:space="preserve">below</w:t>
      </w:r>
      <w:r>
        <w:t xml:space="preserve"> </w:t>
      </w:r>
      <w:r>
        <w:t xml:space="preserve">ratio</w:t>
      </w:r>
      <w:r>
        <w:t xml:space="preserve"> </w:t>
      </w:r>
      <m:oMath>
        <m:r>
          <m:t>2.0</m:t>
        </m:r>
      </m:oMath>
      <w:r>
        <w:t xml:space="preserve"> </w:t>
      </w:r>
      <w:r>
        <w:t xml:space="preserve">(mean</w:t>
      </w:r>
      <w:r>
        <w:t xml:space="preserve"> </w:t>
      </w:r>
      <m:oMath>
        <m:r>
          <m:t>1.14</m:t>
        </m:r>
      </m:oMath>
      <w:r>
        <w:t xml:space="preserve">,</w:t>
      </w:r>
      <w:r>
        <w:t xml:space="preserve"> </w:t>
      </w:r>
      <w:r>
        <w:t xml:space="preserve">maximum</w:t>
      </w:r>
      <w:r>
        <w:t xml:space="preserve"> </w:t>
      </w:r>
      <m:oMath>
        <m:r>
          <m:t>1.93</m:t>
        </m:r>
      </m:oMath>
      <w:r>
        <w:t xml:space="preserve">)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mean</w:t>
      </w:r>
      <w:r>
        <w:t xml:space="preserve"> </w:t>
      </w:r>
      <w:r>
        <w:t xml:space="preserve">budget</w:t>
      </w:r>
      <w:r>
        <w:t xml:space="preserve"> </w:t>
      </w:r>
      <w:r>
        <w:t xml:space="preserve">of</w:t>
      </w:r>
      <w:r>
        <w:t xml:space="preserve"> </w:t>
      </w:r>
      <m:oMath>
        <m:r>
          <m:t>13.94</m:t>
        </m:r>
        <m:r>
          <m:rPr>
            <m:sty m:val="p"/>
          </m:rPr>
          <m:t>%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r>
        <w:t xml:space="preserve">report</w:t>
      </w:r>
      <w:r>
        <w:t xml:space="preserve"> </w:t>
      </w:r>
      <w:r>
        <w:t xml:space="preserve">a</w:t>
      </w:r>
      <w:r>
        <w:t xml:space="preserve"> </w:t>
      </w:r>
      <w:r>
        <w:t xml:space="preserve">clear</w:t>
      </w:r>
      <w:r>
        <w:t xml:space="preserve"> </w:t>
      </w:r>
      <w:r>
        <w:t xml:space="preserve">limitation:</w:t>
      </w:r>
      <w:r>
        <w:t xml:space="preserve"> </w:t>
      </w:r>
      <w:r>
        <w:t xml:space="preserve">on</w:t>
      </w:r>
      <w:r>
        <w:t xml:space="preserve"> </w:t>
      </w:r>
      <w:r>
        <w:t xml:space="preserve">large</w:t>
      </w:r>
      <w:r>
        <w:t xml:space="preserve"> </w:t>
      </w:r>
      <w:r>
        <w:t xml:space="preserve">mechanical</w:t>
      </w:r>
      <w:r>
        <w:t xml:space="preserve"> </w:t>
      </w:r>
      <w:r>
        <w:t xml:space="preserve">parts</w:t>
      </w:r>
      <w:r>
        <w:t xml:space="preserve"> </w:t>
      </w:r>
      <w:r>
        <w:t xml:space="preserve">(up</w:t>
      </w:r>
      <w:r>
        <w:t xml:space="preserve"> </w:t>
      </w:r>
      <w:r>
        <w:t xml:space="preserve">to</w:t>
      </w:r>
      <w:r>
        <w:t xml:space="preserve"> </w:t>
      </w:r>
      <m:oMath>
        <m:r>
          <m:t>1.04</m:t>
        </m:r>
      </m:oMath>
      <w:r>
        <w:t xml:space="preserve">M</w:t>
      </w:r>
      <w:r>
        <w:t xml:space="preserve"> </w:t>
      </w:r>
      <w:r>
        <w:t xml:space="preserve">faces)</w:t>
      </w:r>
      <w:r>
        <w:t xml:space="preserve"> </w:t>
      </w:r>
      <w:r>
        <w:t xml:space="preserve">the</w:t>
      </w:r>
      <w:r>
        <w:t xml:space="preserve"> </w:t>
      </w:r>
      <w:r>
        <w:t xml:space="preserve">tensor</w:t>
      </w:r>
      <w:r>
        <w:t xml:space="preserve"> </w:t>
      </w:r>
      <w:r>
        <w:t xml:space="preserve">features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predict</w:t>
      </w:r>
      <w:r>
        <w:t xml:space="preserve"> </w:t>
      </w:r>
      <w:r>
        <w:t xml:space="preserve">support</w:t>
      </w:r>
      <w:r>
        <w:t xml:space="preserve"> </w:t>
      </w:r>
      <w:r>
        <w:t xml:space="preserve">volume,</w:t>
      </w:r>
      <w:r>
        <w:t xml:space="preserve"> </w:t>
      </w:r>
      <w:r>
        <w:t xml:space="preserve">and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matched</w:t>
      </w:r>
      <w:r>
        <w:t xml:space="preserve"> </w:t>
      </w:r>
      <w:r>
        <w:t xml:space="preserve">budget</w:t>
      </w:r>
      <w:r>
        <w:t xml:space="preserve"> </w:t>
      </w:r>
      <w:r>
        <w:t xml:space="preserve">a</w:t>
      </w:r>
      <w:r>
        <w:t xml:space="preserve"> </w:t>
      </w:r>
      <w:r>
        <w:t xml:space="preserve">simple</w:t>
      </w:r>
      <w:r>
        <w:t xml:space="preserve"> </w:t>
      </w:r>
      <w:r>
        <w:t xml:space="preserve">uniform-axis</w:t>
      </w:r>
      <w:r>
        <w:t xml:space="preserve"> </w:t>
      </w:r>
      <w:r>
        <w:t xml:space="preserve">window</w:t>
      </w:r>
      <w:r>
        <w:t xml:space="preserve"> </w:t>
      </w:r>
      <w:r>
        <w:t xml:space="preserve">seeding</w:t>
      </w:r>
      <w:r>
        <w:t xml:space="preserve"> </w:t>
      </w:r>
      <w:r>
        <w:t xml:space="preserve">outperforms</w:t>
      </w:r>
      <w:r>
        <w:t xml:space="preserve"> </w:t>
      </w:r>
      <w:r>
        <w:t xml:space="preserve">the</w:t>
      </w:r>
      <w:r>
        <w:t xml:space="preserve"> </w:t>
      </w:r>
      <w:r>
        <w:t xml:space="preserve">SFTF</w:t>
      </w:r>
      <w:r>
        <w:t xml:space="preserve"> </w:t>
      </w:r>
      <w:r>
        <w:t xml:space="preserve">ranking.</w:t>
      </w:r>
      <w:r>
        <w:t xml:space="preserve"> </w:t>
      </w:r>
      <w:r>
        <w:t xml:space="preserve">SFTF</w:t>
      </w:r>
      <w:r>
        <w:t xml:space="preserve"> </w:t>
      </w:r>
      <w:r>
        <w:t xml:space="preserve">is</w:t>
      </w:r>
      <w:r>
        <w:t xml:space="preserve"> </w:t>
      </w:r>
      <w:r>
        <w:t xml:space="preserve">therefore</w:t>
      </w:r>
      <w:r>
        <w:t xml:space="preserve"> </w:t>
      </w:r>
      <w:r>
        <w:t xml:space="preserve">best</w:t>
      </w:r>
      <w:r>
        <w:t xml:space="preserve"> </w:t>
      </w:r>
      <w:r>
        <w:t xml:space="preserve">positioned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interpretable</w:t>
      </w:r>
      <w:r>
        <w:t xml:space="preserve"> </w:t>
      </w:r>
      <w:r>
        <w:t xml:space="preserve">warm</w:t>
      </w:r>
      <w:r>
        <w:t xml:space="preserve"> </w:t>
      </w:r>
      <w:r>
        <w:t xml:space="preserve">start</w:t>
      </w:r>
      <w:r>
        <w:t xml:space="preserve"> </w:t>
      </w:r>
      <w:r>
        <w:t xml:space="preserve">for</w:t>
      </w:r>
      <w:r>
        <w:t xml:space="preserve"> </w:t>
      </w:r>
      <w:r>
        <w:t xml:space="preserve">organic</w:t>
      </w:r>
      <w:r>
        <w:t xml:space="preserve"> </w:t>
      </w:r>
      <w:r>
        <w:t xml:space="preserve">parts</w:t>
      </w:r>
      <w:r>
        <w:t xml:space="preserve"> </w:t>
      </w:r>
      <w:r>
        <w:t xml:space="preserve">that</w:t>
      </w:r>
      <w:r>
        <w:t xml:space="preserve"> </w:t>
      </w:r>
      <w:r>
        <w:t xml:space="preserve">concentrates</w:t>
      </w:r>
      <w:r>
        <w:t xml:space="preserve"> </w:t>
      </w:r>
      <w:r>
        <w:t xml:space="preserve">expensive</w:t>
      </w:r>
      <w:r>
        <w:t xml:space="preserve"> </w:t>
      </w:r>
      <w:r>
        <w:t xml:space="preserve">verification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small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likely</w:t>
      </w:r>
      <w:r>
        <w:t xml:space="preserve"> </w:t>
      </w:r>
      <w:r>
        <w:t xml:space="preserve">basins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replacing</w:t>
      </w:r>
      <w:r>
        <w:t xml:space="preserve"> </w:t>
      </w:r>
      <w:r>
        <w:t xml:space="preserve">broad</w:t>
      </w:r>
      <w:r>
        <w:t xml:space="preserve"> </w:t>
      </w:r>
      <w:r>
        <w:t xml:space="preserve">coverage.</w:t>
      </w:r>
    </w:p>
    <w:p>
      <w:pPr>
        <w:pStyle w:val="FirstParagraph"/>
      </w:pPr>
      <w:r>
        <w:rPr>
          <w:bCs/>
          <w:b/>
        </w:rPr>
        <w:t xml:space="preserve">Keywords:</w:t>
      </w:r>
      <w:r>
        <w:t xml:space="preserve"> </w:t>
      </w:r>
      <w:r>
        <w:t xml:space="preserve">Support Flow Tensor Field (SFTF); build orientation;</w:t>
      </w:r>
      <w:r>
        <w:t xml:space="preserve"> </w:t>
      </w:r>
      <w:r>
        <w:t xml:space="preserve">support volume; support-requiring additive manufacturing; local verification;</w:t>
      </w:r>
      <w:r>
        <w:t xml:space="preserve"> </w:t>
      </w:r>
      <w:r>
        <w:t xml:space="preserve">candidate generation</w:t>
      </w:r>
    </w:p>
    <w:bookmarkStart w:id="2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Build orientation strongly affects support volume, material use, print time, and</w:t>
      </w:r>
      <w:r>
        <w:t xml:space="preserve"> </w:t>
      </w:r>
      <w:r>
        <w:t xml:space="preserve">post-processing quality in support-requiring additive manufacturing, especially FDM</w:t>
      </w:r>
      <w:r>
        <w:t xml:space="preserve"> </w:t>
      </w:r>
      <w:r>
        <w:t xml:space="preserve">processes in which downward overhangs beyond a critical angle require removable</w:t>
      </w:r>
      <w:r>
        <w:t xml:space="preserve"> </w:t>
      </w:r>
      <w:r>
        <w:t xml:space="preserve">support </w:t>
      </w:r>
      <w:r>
        <w:t xml:space="preserve">. Existing explicit or voxel/slicer-based orientation searches</w:t>
      </w:r>
      <w:r>
        <w:t xml:space="preserve"> </w:t>
      </w:r>
      <w:r>
        <w:t xml:space="preserve">can evaluate support volume accurately, but exhaustive yaw–pitch sweeps remain</w:t>
      </w:r>
      <w:r>
        <w:t xml:space="preserve"> </w:t>
      </w:r>
      <w:r>
        <w:t xml:space="preserve">expensive because they evaluate a dense set of directions even for simple shapes.</w:t>
      </w:r>
    </w:p>
    <w:bookmarkStart w:id="20" w:name="sec:related"/>
    <w:p>
      <w:pPr>
        <w:pStyle w:val="Heading2"/>
      </w:pPr>
      <w:r>
        <w:t xml:space="preserve">Related work</w:t>
      </w:r>
    </w:p>
    <w:p>
      <w:pPr>
        <w:pStyle w:val="FirstParagraph"/>
      </w:pPr>
      <w:r>
        <w:t xml:space="preserve">Build-orientation studies include explicit support-volume evaluation, voxel/depth-normal</w:t>
      </w:r>
      <w:r>
        <w:t xml:space="preserve"> </w:t>
      </w:r>
      <w:r>
        <w:t xml:space="preserve">acceleration, support-structure design, and topology or multi-axis design</w:t>
      </w:r>
      <w:r>
        <w:t xml:space="preserve"> </w:t>
      </w:r>
      <w:r>
        <w:t xml:space="preserve">approaches </w:t>
      </w:r>
      <w:r>
        <w:t xml:space="preserve">.</w:t>
      </w:r>
      <w:r>
        <w:t xml:space="preserve"> </w:t>
      </w:r>
      <w:r>
        <w:t xml:space="preserve">Shadow-volume and tomographic formulations estimate support volume without full</w:t>
      </w:r>
      <w:r>
        <w:t xml:space="preserve"> </w:t>
      </w:r>
      <w:r>
        <w:t xml:space="preserve">slicer generation and can also be accelerated on GPUs </w:t>
      </w:r>
      <w:r>
        <w:t xml:space="preserve">. In</w:t>
      </w:r>
      <w:r>
        <w:t xml:space="preserve"> </w:t>
      </w:r>
      <w:r>
        <w:t xml:space="preserve">this manuscript, TOMO_CPU and TOMO_CUDA denote the CPU and GPU tomographic</w:t>
      </w:r>
      <w:r>
        <w:t xml:space="preserve"> </w:t>
      </w:r>
      <w:r>
        <w:t xml:space="preserve">support-volume evaluators used as verification and comparison backends </w:t>
      </w:r>
      <w:r>
        <w:t xml:space="preserve">;</w:t>
      </w:r>
      <w:r>
        <w:t xml:space="preserve"> </w:t>
      </w:r>
      <w:r>
        <w:t xml:space="preserve">SFTF is instead a candidate generator that reduces the number of directions passed</w:t>
      </w:r>
      <w:r>
        <w:t xml:space="preserve"> </w:t>
      </w:r>
      <w:r>
        <w:t xml:space="preserve">to such verifiers. Tensor or anisotropic formulations have also appeared in topology</w:t>
      </w:r>
      <w:r>
        <w:t xml:space="preserve"> </w:t>
      </w:r>
      <w:r>
        <w:t xml:space="preserve">optimization, where overhang constraints, anisotropic interface energy, and</w:t>
      </w:r>
      <w:r>
        <w:t xml:space="preserve"> </w:t>
      </w:r>
      <w:r>
        <w:t xml:space="preserve">deposition-direction-dependent stiffness bias a redesigned part toward</w:t>
      </w:r>
      <w:r>
        <w:t xml:space="preserve"> </w:t>
      </w:r>
      <w:r>
        <w:t xml:space="preserve">self-supporting geometry </w:t>
      </w:r>
      <w:r>
        <w:t xml:space="preserve">. The present work is</w:t>
      </w:r>
      <w:r>
        <w:t xml:space="preserve"> </w:t>
      </w:r>
      <w:r>
        <w:t xml:space="preserve">complementary: the input shape is fixed, and the tensor is used only to rank build</w:t>
      </w:r>
      <w:r>
        <w:t xml:space="preserve"> </w:t>
      </w:r>
      <w:r>
        <w:t xml:space="preserve">orientations before an accurate TOMO or slicer verification step. A related</w:t>
      </w:r>
      <w:r>
        <w:t xml:space="preserve"> </w:t>
      </w:r>
      <w:r>
        <w:t xml:space="preserve">industrial patent seeks build orientations for fixed complex parts but does not</w:t>
      </w:r>
      <w:r>
        <w:t xml:space="preserve"> </w:t>
      </w:r>
      <w:r>
        <w:t xml:space="preserve">disclose an open algorithmic procedure </w:t>
      </w:r>
      <w:r>
        <w:t xml:space="preserve">.</w:t>
      </w:r>
    </w:p>
    <w:bookmarkEnd w:id="20"/>
    <w:bookmarkStart w:id="21" w:name="contribution"/>
    <w:p>
      <w:pPr>
        <w:pStyle w:val="Heading2"/>
      </w:pPr>
      <w:r>
        <w:t xml:space="preserve">Contribution</w:t>
      </w:r>
    </w:p>
    <w:p>
      <w:pPr>
        <w:pStyle w:val="FirstParagraph"/>
      </w:pPr>
      <w:r>
        <w:t xml:space="preserve">This paper proposes the Support Flow Tensor Field (SFTF), a low-cost candidate</w:t>
      </w:r>
      <w:r>
        <w:t xml:space="preserve"> </w:t>
      </w:r>
      <w:r>
        <w:t xml:space="preserve">generator rather than a replacement for precise TOMO/slicer optimization. For each</w:t>
      </w:r>
      <w:r>
        <w:t xml:space="preserve"> </w:t>
      </w:r>
      <w:r>
        <w:t xml:space="preserve">sampled build direction, SFTF estimates internal face-to-face support flow by ray</w:t>
      </w:r>
      <w:r>
        <w:t xml:space="preserve"> </w:t>
      </w:r>
      <w:r>
        <w:t xml:space="preserve">casting, adds a build-plate contribution through a virtual ground node, and passes</w:t>
      </w:r>
      <w:r>
        <w:t xml:space="preserve"> </w:t>
      </w:r>
      <w:r>
        <w:t xml:space="preserve">only a small set of promising basins to local TOMO verification. The main</w:t>
      </w:r>
      <w:r>
        <w:t xml:space="preserve"> </w:t>
      </w:r>
      <w:r>
        <w:t xml:space="preserve">contributions are: (i) a direction-dependent asymmetric support-flow tensor for</w:t>
      </w:r>
      <w:r>
        <w:t xml:space="preserve"> </w:t>
      </w:r>
      <w:r>
        <w:t xml:space="preserve">fixed parts; (ii) a ground-node derivation showing that the build-plate term is an</w:t>
      </w:r>
      <w:r>
        <w:t xml:space="preserve"> </w:t>
      </w:r>
      <w:r>
        <w:t xml:space="preserve">exact Rayleigh contribution of the augmented tensor; (iii) a local-verification</w:t>
      </w:r>
      <w:r>
        <w:t xml:space="preserve"> </w:t>
      </w:r>
      <w:r>
        <w:t xml:space="preserve">budget curve demonstrating that on organic freeform meshes SFTF top-</w:t>
      </w:r>
      <m:oMath>
        <m:r>
          <m:t>20</m:t>
        </m:r>
      </m:oMath>
      <w:r>
        <w:t xml:space="preserve"> </w:t>
      </w:r>
      <w:r>
        <w:t xml:space="preserve">windows</w:t>
      </w:r>
      <w:r>
        <w:t xml:space="preserve"> </w:t>
      </w:r>
      <w:r>
        <w:t xml:space="preserve">recover a mean support-volume ratio of</w:t>
      </w:r>
      <w:r>
        <w:t xml:space="preserve"> </w:t>
      </w:r>
      <m:oMath>
        <m:r>
          <m:t>1.14</m:t>
        </m:r>
      </m:oMath>
      <w:r>
        <w:t xml:space="preserve"> </w:t>
      </w:r>
      <w:r>
        <w:t xml:space="preserve">with only</w:t>
      </w:r>
      <w:r>
        <w:t xml:space="preserve"> </w:t>
      </w:r>
      <m:oMath>
        <m:r>
          <m:t>3.40</m:t>
        </m:r>
        <m:r>
          <m:rPr>
            <m:sty m:val="p"/>
          </m:rPr>
          <m:t>%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grid; (iv) Adaptive Verification Escalation (AVE), an automatic escalation rule for</w:t>
      </w:r>
      <w:r>
        <w:t xml:space="preserve"> </w:t>
      </w:r>
      <w:r>
        <w:t xml:space="preserve">narrow-basin hard cases; (v) a five-group timing audit showing</w:t>
      </w:r>
      <w:r>
        <w:t xml:space="preserve"> </w:t>
      </w:r>
      <m:oMath>
        <m:r>
          <m:t>8.3</m:t>
        </m:r>
      </m:oMath>
      <w:r>
        <w:t xml:space="preserve">–</w:t>
      </w:r>
      <m:oMath>
        <m:r>
          <m:t>381.9</m:t>
        </m:r>
        <m:r>
          <m:rPr>
            <m:sty m:val="p"/>
          </m:rPr>
          <m:t>×</m:t>
        </m:r>
      </m:oMath>
      <w:r>
        <w:t xml:space="preserve"> </w:t>
      </w:r>
      <w:r>
        <w:t xml:space="preserve">Python and</w:t>
      </w:r>
      <w:r>
        <w:t xml:space="preserve"> </w:t>
      </w:r>
      <m:oMath>
        <m:r>
          <m:t>56.8</m:t>
        </m:r>
      </m:oMath>
      <w:r>
        <w:t xml:space="preserve">–</w:t>
      </w:r>
      <m:oMath>
        <m:r>
          <m:t>56</m:t>
        </m:r>
        <m:r>
          <m:rPr>
            <m:sty m:val="p"/>
          </m:rPr>
          <m:t>,</m:t>
        </m:r>
        <m:r>
          <m:t>027</m:t>
        </m:r>
        <m:r>
          <m:rPr>
            <m:sty m:val="p"/>
          </m:rPr>
          <m:t>×</m:t>
        </m:r>
      </m:oMath>
      <w:r>
        <w:t xml:space="preserve"> </w:t>
      </w:r>
      <w:r>
        <w:t xml:space="preserve">C++ speedups relative to TOMO_CPU on the same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sweep; and (vi) an honest characterization of where the method breaks</w:t>
      </w:r>
      <w:r>
        <w:t xml:space="preserve"> </w:t>
      </w:r>
      <w:r>
        <w:t xml:space="preserve">down—on large mechanical parts the tensor features stop predicting support volume</w:t>
      </w:r>
      <w:r>
        <w:t xml:space="preserve"> </w:t>
      </w:r>
      <w:r>
        <w:t xml:space="preserve">and a budget-matched uniform-axis control outperforms the ranking (§</w:t>
      </w:r>
      <w:hyperlink w:anchor="sec:limits">
        <w:r>
          <w:rPr>
            <w:rStyle w:val="Hyperlink"/>
          </w:rPr>
          <w:t xml:space="preserve">4.1</w:t>
        </w:r>
      </w:hyperlink>
      <w:r>
        <w:t xml:space="preserve">).</w:t>
      </w:r>
    </w:p>
    <w:bookmarkEnd w:id="21"/>
    <w:bookmarkEnd w:id="22"/>
    <w:bookmarkStart w:id="32" w:name="materials-and-methods"/>
    <w:p>
      <w:pPr>
        <w:pStyle w:val="Heading1"/>
      </w:pPr>
      <w:r>
        <w:t xml:space="preserve">Materials and Methods</w:t>
      </w:r>
    </w:p>
    <w:bookmarkStart w:id="23" w:name="sec:sftf"/>
    <w:p>
      <w:pPr>
        <w:pStyle w:val="Heading2"/>
      </w:pPr>
      <w:r>
        <w:t xml:space="preserve">From symmetric support tensor to directional flow</w:t>
      </w:r>
    </w:p>
    <w:p>
      <w:pPr>
        <w:pStyle w:val="FirstParagraph"/>
      </w:pPr>
      <w:r>
        <w:t xml:space="preserve">As a symmetric baseline, we define an area-weighted second-moment tensor of face</w:t>
      </w:r>
      <w:r>
        <w:t xml:space="preserve"> </w:t>
      </w:r>
      <w:r>
        <w:t xml:space="preserve">normals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m</m:t>
              </m:r>
            </m:e>
            <m:sub>
              <m:r>
                <m:t>i</m:t>
              </m:r>
            </m:sub>
          </m:sSub>
          <m:sSubSup>
            <m:e>
              <m:r>
                <m:t>m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following the general orientation/fabric-tensor construction for directional</w:t>
      </w:r>
      <w:r>
        <w:t xml:space="preserve"> </w:t>
      </w:r>
      <w:r>
        <w:t xml:space="preserve">data </w:t>
      </w:r>
      <w:r>
        <w:t xml:space="preserve">. Here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 area and outward normal of</w:t>
      </w:r>
      <w:r>
        <w:t xml:space="preserve"> </w:t>
      </w:r>
      <w:r>
        <w:t xml:space="preserve">triangular face</w:t>
      </w:r>
      <w:r>
        <w:t xml:space="preserve"> </w:t>
      </w:r>
      <m:oMath>
        <m:r>
          <m:t>i</m:t>
        </m:r>
      </m:oMath>
      <w:r>
        <w:t xml:space="preserve">. This tensor summarizes the distribution of surface normals but</w:t>
      </w:r>
      <w:r>
        <w:t xml:space="preserve"> </w:t>
      </w:r>
      <w:r>
        <w:t xml:space="preserve">does not encode whether a face is an overhang for a given build direction, whether</w:t>
      </w:r>
      <w:r>
        <w:t xml:space="preserve"> </w:t>
      </w:r>
      <w:r>
        <w:t xml:space="preserve">another face can receive the support, or how far an unsupported face is from the</w:t>
      </w:r>
      <w:r>
        <w:t xml:space="preserve"> </w:t>
      </w:r>
      <w:r>
        <w:t xml:space="preserve">build plate. SFTF therefore evaluates a direction-dependent asymmetric tensor for</w:t>
      </w:r>
      <w:r>
        <w:t xml:space="preserve"> </w:t>
      </w:r>
      <w:r>
        <w:t xml:space="preserve">each unit build direction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 For face centroid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, the overhang</w:t>
      </w:r>
      <w:r>
        <w:t xml:space="preserve"> </w:t>
      </w:r>
      <w:r>
        <w:t xml:space="preserve">coefficient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n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sampled overhang source faces, a ray is cast along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</m:oMath>
      <w:r>
        <w:t xml:space="preserve">; if the first valid</w:t>
      </w:r>
      <w:r>
        <w:t xml:space="preserve"> </w:t>
      </w:r>
      <w:r>
        <w:t xml:space="preserve">receiver is face</w:t>
      </w:r>
      <w:r>
        <w:t xml:space="preserve"> </w:t>
      </w:r>
      <m:oMath>
        <m:r>
          <m:t>j</m:t>
        </m:r>
      </m:oMath>
      <w:r>
        <w:t xml:space="preserve">, the height is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  <m:r>
              <m:t>j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and the face-to-face</w:t>
      </w:r>
      <w:r>
        <w:t xml:space="preserve"> </w:t>
      </w:r>
      <w:r>
        <w:t xml:space="preserve">influence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  <m:r>
                <m:t>j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O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r>
            <m:t>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mesh bounding-box diagonal. The face-to-face support flow tensor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sSub>
            <m:e>
              <m:r>
                <m:t>A</m:t>
              </m:r>
            </m:e>
            <m:sub>
              <m:r>
                <m:t>i</m:t>
              </m:r>
            </m:sub>
          </m:sSub>
          <m:sSub>
            <m:e>
              <m:r>
                <m:t>A</m:t>
              </m:r>
            </m:e>
            <m:sub>
              <m:r>
                <m:t>j</m:t>
              </m:r>
            </m:sub>
          </m:sSub>
          <m:sSub>
            <m:e>
              <m:r>
                <m:t>m</m:t>
              </m:r>
            </m:e>
            <m:sub>
              <m:r>
                <m:t>i</m:t>
              </m:r>
            </m:sub>
          </m:sSub>
          <m:sSubSup>
            <m:e>
              <m:r>
                <m:t>m</m:t>
              </m:r>
            </m:e>
            <m:sub>
              <m:r>
                <m:t>j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  <m:scr m:val="script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the valid ray-cast support relationships. The receiver must not</w:t>
      </w:r>
      <w:r>
        <w:t xml:space="preserve"> </w:t>
      </w:r>
      <w:r>
        <w:t xml:space="preserve">be the source face, must have positive height, and must face the build direction</w:t>
      </w:r>
      <w:r>
        <w:t xml:space="preserve"> </w:t>
      </w:r>
      <w:r>
        <w:t xml:space="preserve">sufficiently (</w:t>
      </w:r>
      <m:oMath>
        <m:sSub>
          <m:e>
            <m:r>
              <m:t>m</m:t>
            </m:r>
          </m:e>
          <m:sub>
            <m:r>
              <m:t>j</m:t>
            </m:r>
          </m:sub>
        </m:sSub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0.05</m:t>
        </m:r>
      </m:oMath>
      <w:r>
        <w:t xml:space="preserve">). To bound cost, source faces are sampled</w:t>
      </w:r>
      <w:r>
        <w:t xml:space="preserve"> </w:t>
      </w:r>
      <w:r>
        <w:t xml:space="preserve">deterministically in proportion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O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r</m:t>
              </m:r>
              <m:r>
                <m:t>a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0.02</m:t>
              </m:r>
              <m:sSub>
                <m:e>
                  <m:r>
                    <m:t>N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r>
                <m:t>500</m:t>
              </m:r>
              <m:r>
                <m:rPr>
                  <m:sty m:val="p"/>
                </m:rPr>
                <m:t>,</m:t>
              </m:r>
              <m:r>
                <m:t>3000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number of mesh faces. When the number of positive-weight source</w:t>
      </w:r>
      <w:r>
        <w:t xml:space="preserve"> </w:t>
      </w:r>
      <w:r>
        <w:t xml:space="preserve">faces exceeds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a</m:t>
            </m:r>
            <m:r>
              <m:t>y</m:t>
            </m:r>
          </m:sub>
        </m:sSub>
      </m:oMath>
      <w:r>
        <w:t xml:space="preserve">, the quantity computed is the plug-in estimator of</w:t>
      </w:r>
      <w:r>
        <w:t xml:space="preserve"> </w:t>
      </w:r>
      <w:r>
        <w:t xml:space="preserve">Eq. </w:t>
      </w:r>
      <w:hyperlink w:anchor="eq:sftf-tensor">
        <w:r>
          <w:rPr>
            <w:rStyle w:val="Hyperlink"/>
          </w:rPr>
          <w:t xml:space="preserve">[eq:sftf-tensor]</w:t>
        </w:r>
      </w:hyperlink>
      <w:r>
        <w:t xml:space="preserve"> </w:t>
      </w:r>
      <w:r>
        <w:t xml:space="preserve">restricted to the sampled source set</w:t>
      </w:r>
      <w:r>
        <w:t xml:space="preserve"> </w:t>
      </w:r>
      <m:oMath>
        <m:r>
          <m:rPr>
            <m:sty m:val="p"/>
            <m:scr m:val="script"/>
          </m:rPr>
          <m:t>S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e>
                    </m:d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script"/>
                      </m:rPr>
                      <m:t>R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</m:e>
                    </m:d>
                  </m:e>
                </m:mr>
                <m:mr>
                  <m:e>
                    <m:r>
                      <m:t>i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script"/>
                      </m:rP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</m:e>
                    </m:d>
                  </m:e>
                </m:mr>
              </m:m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sSub>
            <m:e>
              <m:r>
                <m:t>A</m:t>
              </m:r>
            </m:e>
            <m:sub>
              <m:r>
                <m:t>i</m:t>
              </m:r>
            </m:sub>
          </m:sSub>
          <m:sSub>
            <m:e>
              <m:r>
                <m:t>A</m:t>
              </m:r>
            </m:e>
            <m:sub>
              <m:r>
                <m:t>j</m:t>
              </m:r>
            </m:sub>
          </m:sSub>
          <m:sSub>
            <m:e>
              <m:r>
                <m:t>m</m:t>
              </m:r>
            </m:e>
            <m:sub>
              <m:r>
                <m:t>i</m:t>
              </m:r>
            </m:sub>
          </m:sSub>
          <m:sSubSup>
            <m:e>
              <m:r>
                <m:t>m</m:t>
              </m:r>
            </m:e>
            <m:sub>
              <m:r>
                <m:t>j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  <m:scr m:val="script"/>
          </m:rPr>
          <m:t>S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is selected by deterministic systematic sampling on the</w:t>
      </w:r>
      <w:r>
        <w:t xml:space="preserve"> </w:t>
      </w:r>
      <w:r>
        <w:t xml:space="preserve">cumulative weight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O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(fixed half-interval offsets, no random seed); the</w:t>
      </w:r>
      <w:r>
        <w:t xml:space="preserve"> </w:t>
      </w:r>
      <w:r>
        <w:t xml:space="preserve">scalar features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inherit the same restriction, and the sum is exact</w:t>
      </w:r>
      <w:r>
        <w:t xml:space="preserve"> </w:t>
      </w:r>
      <w:r>
        <w:t xml:space="preserve">whenever the positive-weight sources number at most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a</m:t>
            </m:r>
            <m:r>
              <m:t>y</m:t>
            </m:r>
          </m:sub>
        </m:sSub>
      </m:oMath>
      <w:r>
        <w:t xml:space="preserve">. No inverse-probability</w:t>
      </w:r>
      <w:r>
        <w:t xml:space="preserve"> </w:t>
      </w:r>
      <w:r>
        <w:t xml:space="preserve">reweighting is applied, so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a deterministic budget-normalized surrogate</w:t>
      </w:r>
      <w:r>
        <w:t xml:space="preserve"> </w:t>
      </w:r>
      <w:r>
        <w:t xml:space="preserve">used only to compare directions of the same mesh under an identical budget and</w:t>
      </w:r>
      <w:r>
        <w:t xml:space="preserve"> </w:t>
      </w:r>
      <w:r>
        <w:t xml:space="preserve">sampling rule.</w:t>
      </w:r>
    </w:p>
    <w:bookmarkEnd w:id="23"/>
    <w:bookmarkStart w:id="27" w:name="sec:groundnode"/>
    <w:p>
      <w:pPr>
        <w:pStyle w:val="Heading2"/>
      </w:pPr>
      <w:r>
        <w:t xml:space="preserve">Ground-node build-plate term</w:t>
      </w:r>
    </w:p>
    <w:p>
      <w:pPr>
        <w:pStyle w:val="FirstParagraph"/>
      </w:pPr>
      <w:r>
        <w:t xml:space="preserve">If no valid receiver face is found, the overhang is ultimately supported from the</w:t>
      </w:r>
      <w:r>
        <w:t xml:space="preserve"> </w:t>
      </w:r>
      <w:r>
        <w:t xml:space="preserve">build plate. 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p</m:t>
              </m:r>
              <m:r>
                <m:t>l</m:t>
              </m:r>
              <m:r>
                <m:t>a</m:t>
              </m:r>
              <m:r>
                <m:t>t</m:t>
              </m:r>
              <m: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lim>
          </m:limLow>
          <m:r>
            <m:t>v</m:t>
          </m:r>
          <m:r>
            <m:rPr>
              <m:sty m:val="p"/>
            </m:rPr>
            <m:t>⋅</m:t>
          </m:r>
          <m:r>
            <m:t>n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t>i</m:t>
              </m:r>
              <m: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t>n</m:t>
          </m:r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p</m:t>
              </m:r>
              <m:r>
                <m:t>l</m:t>
              </m:r>
              <m:r>
                <m:t>a</m:t>
              </m:r>
              <m:r>
                <m:t>t</m:t>
              </m:r>
              <m: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scalar plate penalty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sub>
            <m:sup>
              <m:r>
                <m:t>​</m:t>
              </m:r>
            </m:sup>
            <m:e>
              <m:sSub>
                <m:e>
                  <m:r>
                    <m:t>O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sSub>
            <m:e>
              <m:r>
                <m:t>A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P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illustrated in Fig. </w:t>
      </w:r>
      <w:hyperlink w:anchor="fig:unified-flow">
        <w:r>
          <w:rPr>
            <w:rStyle w:val="Hyperlink"/>
          </w:rPr>
          <w:t xml:space="preserve">1</w:t>
        </w:r>
      </w:hyperlink>
      <w:r>
        <w:t xml:space="preserve">, this term is exactly the Rayleigh</w:t>
      </w:r>
      <w:r>
        <w:t xml:space="preserve"> </w:t>
      </w:r>
      <w:r>
        <w:t xml:space="preserve">contribution obtained by adding a virtual receiver whose normal is the build</w:t>
      </w:r>
      <w:r>
        <w:t xml:space="preserve"> </w:t>
      </w:r>
      <w:r>
        <w:t xml:space="preserve">direction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F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sSub>
            <m:e>
              <m:r>
                <m:t>A</m:t>
              </m:r>
            </m:e>
            <m:sub>
              <m:r>
                <m:t>i</m:t>
              </m:r>
            </m:sub>
          </m:sSub>
          <m:sSub>
            <m:e>
              <m:r>
                <m:t>A</m:t>
              </m:r>
            </m:e>
            <m:sub>
              <m:r>
                <m:t>j</m:t>
              </m:r>
            </m:sub>
          </m:sSub>
          <m:sSub>
            <m:e>
              <m:r>
                <m:t>m</m:t>
              </m:r>
            </m:e>
            <m:sub>
              <m:r>
                <m:t>i</m:t>
              </m:r>
            </m:sub>
          </m:sSub>
          <m:sSubSup>
            <m:e>
              <m:r>
                <m:t>m</m:t>
              </m:r>
            </m:e>
            <m:sub>
              <m:r>
                <m:t>j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P</m:t>
                  </m:r>
                </m:sub>
              </m:sSub>
            </m:e>
          </m:d>
          <m:sSub>
            <m:e>
              <m:r>
                <m:t>m</m:t>
              </m:r>
            </m:e>
            <m:sub>
              <m:r>
                <m:t>i</m:t>
              </m:r>
            </m:sub>
          </m:sSub>
          <m:sSup>
            <m:e>
              <m:r>
                <m:t>n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O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, the symmetric Rayleigh contraction of the ground term</w:t>
      </w:r>
      <w:r>
        <w:t xml:space="preserve"> </w:t>
      </w:r>
      <w:r>
        <w:t xml:space="preserve">contributes exactly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to the support cost, giving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R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T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t>s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t>n</m:t>
              </m:r>
            </m:e>
          </m:d>
          <m:r>
            <m:rPr>
              <m:sty m:val="p"/>
            </m:rPr>
            <m:t>=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equality was numerically confirmed within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over the stored candidate pools.</w:t>
      </w:r>
    </w:p>
    <w:p>
      <w:pPr>
        <w:pStyle w:val="CaptionedFigure"/>
      </w:pPr>
      <w:r>
        <w:drawing>
          <wp:inline>
            <wp:extent cx="4800600" cy="223190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ics/FTree4x_fig1_unified_flow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3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Unified flow interpretation. Face-to-face support uses receiver normal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</m:sub>
        </m:sSub>
      </m:oMath>
      <w:r>
        <w:t xml:space="preserve">, while direct build-plate support is represented by a virtual receiver with</w:t>
      </w:r>
      <w:r>
        <w:t xml:space="preserve"> </w:t>
      </w:r>
      <w:r>
        <w:t xml:space="preserve">normal</w:t>
      </w:r>
      <w:r>
        <w:t xml:space="preserve"> </w:t>
      </w:r>
      <m:oMath>
        <m:r>
          <m:t>n</m:t>
        </m:r>
      </m:oMath>
      <w:r>
        <w:t xml:space="preserve">; the latter gives the Rayleigh contribution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in Eq. </w:t>
      </w:r>
      <w:hyperlink w:anchor="eq:Rtilde">
        <w:r>
          <w:rPr>
            <w:rStyle w:val="Hyperlink"/>
          </w:rPr>
          <w:t xml:space="preserve">[eq:Rtilde]</w:t>
        </w:r>
      </w:hyperlink>
      <w:r>
        <w:t xml:space="preserve">.</w:t>
      </w:r>
    </w:p>
    <w:bookmarkEnd w:id="27"/>
    <w:bookmarkStart w:id="29" w:name="candidate-generation-and-rescoring"/>
    <w:p>
      <w:pPr>
        <w:pStyle w:val="Heading2"/>
      </w:pPr>
      <w:r>
        <w:t xml:space="preserve">Candidate generation and rescoring</w:t>
      </w:r>
    </w:p>
    <w:p>
      <w:pPr>
        <w:pStyle w:val="FirstParagraph"/>
      </w:pPr>
      <w:r>
        <w:t xml:space="preserve">The deployed score is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R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sub>
            <m:sup>
              <m:r>
                <m:t>​</m:t>
              </m:r>
            </m:sup>
            <m:e>
              <m:sSub>
                <m:e>
                  <m:r>
                    <m:t>O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sSub>
            <m:e>
              <m:r>
                <m:t>A</m:t>
              </m:r>
            </m:e>
            <m:sub>
              <m:r>
                <m:t>i</m:t>
              </m:r>
            </m:sub>
          </m:sSub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face-to-face overhang amount after the height attenuation in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cancels. Because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and</w:t>
      </w:r>
      <w:r>
        <w:t xml:space="preserve"> </w:t>
      </w:r>
      <m:oMath>
        <m:r>
          <m:t>α</m:t>
        </m:r>
        <m:r>
          <m:t>h</m:t>
        </m:r>
      </m:oMath>
      <w:r>
        <w:t xml:space="preserve"> </w:t>
      </w:r>
      <w:r>
        <w:t xml:space="preserve">are dimensionless,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carry units of area squared while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carries units of area: under a uniform</w:t>
      </w:r>
      <w:r>
        <w:t xml:space="preserve"> </w:t>
      </w:r>
      <w:r>
        <w:t xml:space="preserve">rescaling by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scale as</w:t>
      </w:r>
      <w:r>
        <w:t xml:space="preserve"> </w:t>
      </w:r>
      <m:oMath>
        <m:sSup>
          <m:e>
            <m:r>
              <m:t>s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whereas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scales as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unit-dependent and is treated as a screening feature only. A</w:t>
      </w:r>
      <w:r>
        <w:t xml:space="preserve"> </w:t>
      </w:r>
      <m:oMath>
        <m:r>
          <m:t>512</m:t>
        </m:r>
      </m:oMath>
      <w:r>
        <w:t xml:space="preserve">-direction Fibonacci-sphere sample is first evaluated, the best directions are</w:t>
      </w:r>
      <w:r>
        <w:t xml:space="preserve"> </w:t>
      </w:r>
      <w:r>
        <w:t xml:space="preserve">locally resampled in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–</w:t>
      </w:r>
      <m:oMath>
        <m:sSup>
          <m:e>
            <m:r>
              <m:t>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cones, and angular non-maximum suppression</w:t>
      </w:r>
      <w:r>
        <w:t xml:space="preserve"> </w:t>
      </w:r>
      <w:r>
        <w:t xml:space="preserve">keeps separated candidates. To avoid treating dimensionally different quantities as</w:t>
      </w:r>
      <w:r>
        <w:t xml:space="preserve"> </w:t>
      </w:r>
      <w:r>
        <w:t xml:space="preserve">commensurate, the final candidate order uses rank-normalized</w:t>
      </w:r>
      <w:r>
        <w:t xml:space="preserve"> </w:t>
      </w:r>
      <w:r>
        <w:t xml:space="preserve">features</w:t>
      </w:r>
      <w:r>
        <w:rPr>
          <w:rStyle w:val="FootnoteReference"/>
        </w:rPr>
        <w:footnoteReference w:id="28"/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J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sSub>
              <m:e>
                <m:r>
                  <m:t>σ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following the standard</w:t>
      </w:r>
      <w:r>
        <w:t xml:space="preserve"> </w:t>
      </w:r>
      <w:r>
        <w:t xml:space="preserve">rank-transformation idea for scale-robust empirical modeling </w:t>
      </w:r>
      <w:r>
        <w:t xml:space="preserve">;</w:t>
      </w:r>
      <w:r>
        <w:t xml:space="preserve"> </w:t>
      </w:r>
      <w:r>
        <w:t xml:space="preserve">the rank transform makes the final ordering invariant to any strictly monotone</w:t>
      </w:r>
      <w:r>
        <w:t xml:space="preserve"> </w:t>
      </w:r>
      <w:r>
        <w:t xml:space="preserve">rescaling of each feature. 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valid-hit count and</w:t>
      </w:r>
      <w:r>
        <w:t xml:space="preserve"> </w:t>
      </w:r>
      <m:oMath>
        <m:r>
          <m:t>S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singular-value features retained only for post-processing. The reported calibration</w:t>
      </w:r>
      <w:r>
        <w:t xml:space="preserve"> </w:t>
      </w:r>
      <w:r>
        <w:t xml:space="preserve">uses weights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H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0.731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2.3897</m:t>
            </m:r>
            <m:r>
              <m:rPr>
                <m:sty m:val="p"/>
              </m:rPr>
              <m:t>,</m:t>
            </m:r>
            <m:r>
              <m:t>2.1447</m:t>
            </m:r>
            <m:r>
              <m:rPr>
                <m:sty m:val="p"/>
              </m:rPr>
              <m:t>,</m:t>
            </m:r>
            <m:r>
              <m:t>2.3109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2.2922</m:t>
            </m:r>
            <m:r>
              <m:rPr>
                <m:sty m:val="p"/>
              </m:rPr>
              <m:t>,</m:t>
            </m:r>
            <m:r>
              <m:t>1.6363</m:t>
            </m:r>
          </m:e>
        </m:d>
      </m:oMath>
      <w:r>
        <w:t xml:space="preserve">.</w:t>
      </w:r>
      <w:r>
        <w:t xml:space="preserve"> </w:t>
      </w:r>
      <w:r>
        <w:t xml:space="preserve">Implementation optimizations, including first-hit fallback and per-mesh cached</w:t>
      </w:r>
      <w:r>
        <w:t xml:space="preserve"> </w:t>
      </w:r>
      <w:r>
        <w:t xml:space="preserve">geometry, reduced a 1k-direction evaluation of</w:t>
      </w:r>
      <w:r>
        <w:t xml:space="preserve"> </w:t>
      </w:r>
      <w:r>
        <w:rPr>
          <w:iCs/>
          <w:i/>
        </w:rPr>
        <w:t xml:space="preserve">Bunny 69k</w:t>
      </w:r>
      <w:r>
        <w:t xml:space="preserve"> </w:t>
      </w:r>
      <w:r>
        <w:t xml:space="preserve">from about</w:t>
      </w:r>
      <w:r>
        <w:t xml:space="preserve"> </w:t>
      </w:r>
      <m:oMath>
        <m:r>
          <m:t>15.7</m:t>
        </m:r>
      </m:oMath>
      <w:r>
        <w:t xml:space="preserve"> s</w:t>
      </w:r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 s without changing selected directions.</w:t>
      </w:r>
    </w:p>
    <w:bookmarkEnd w:id="29"/>
    <w:bookmarkStart w:id="30" w:name="sec:datasets"/>
    <w:p>
      <w:pPr>
        <w:pStyle w:val="Heading2"/>
      </w:pPr>
      <w:r>
        <w:t xml:space="preserve">Datasets and experimental environment</w:t>
      </w:r>
    </w:p>
    <w:p>
      <w:pPr>
        <w:pStyle w:val="FirstParagraph"/>
      </w:pPr>
      <w:r>
        <w:t xml:space="preserve">The dataset consists of five groups that deliberately separate</w:t>
      </w:r>
      <w:r>
        <w:t xml:space="preserve"> </w:t>
      </w:r>
      <w:r>
        <w:rPr>
          <w:iCs/>
          <w:i/>
        </w:rPr>
        <w:t xml:space="preserve">shape</w:t>
      </w:r>
      <w:r>
        <w:rPr>
          <w:iCs/>
          <w:i/>
        </w:rPr>
        <w:t xml:space="preserve"> </w:t>
      </w:r>
      <w:r>
        <w:rPr>
          <w:iCs/>
          <w:i/>
        </w:rPr>
        <w:t xml:space="preserve">difficulty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mesh scale</w:t>
      </w:r>
      <w:r>
        <w:t xml:space="preserve">. Groups A–C set the scale in the</w:t>
      </w:r>
      <w:r>
        <w:t xml:space="preserve"> </w:t>
      </w:r>
      <m:oMath>
        <m:r>
          <m:rPr>
            <m:sty m:val="p"/>
          </m:rPr>
          <m:t>∼</m:t>
        </m:r>
      </m:oMath>
      <m:oMath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-face range and vary difficulty from basic to freeform organic</w:t>
      </w:r>
      <w:r>
        <w:t xml:space="preserve"> </w:t>
      </w:r>
      <w:r>
        <w:t xml:space="preserve">shapes, revealing the</w:t>
      </w:r>
      <w:r>
        <w:t xml:space="preserve"> </w:t>
      </w:r>
      <w:r>
        <w:rPr>
          <w:iCs/>
          <w:i/>
        </w:rPr>
        <w:t xml:space="preserve">fixed-cost floor</w:t>
      </w:r>
      <w:r>
        <w:t xml:space="preserve"> </w:t>
      </w:r>
      <w:r>
        <w:t xml:space="preserve">of the exhaustive sweep; groups D–E</w:t>
      </w:r>
      <w:r>
        <w:t xml:space="preserve"> </w:t>
      </w:r>
      <w:r>
        <w:t xml:space="preserve">fix the difficulty as real manufacturing parts while pushing the scale from</w:t>
      </w:r>
      <w:r>
        <w:t xml:space="preserve"> </w:t>
      </w:r>
      <m:oMath>
        <m:r>
          <m:t>256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1.04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faces, revealing the</w:t>
      </w:r>
      <w:r>
        <w:t xml:space="preserve"> </w:t>
      </w:r>
      <w:r>
        <w:rPr>
          <w:iCs/>
          <w:i/>
        </w:rPr>
        <w:t xml:space="preserve">adaptive cost</w:t>
      </w:r>
      <w:r>
        <w:t xml:space="preserve"> </w:t>
      </w:r>
      <w:r>
        <w:t xml:space="preserve">of SFTF candidate</w:t>
      </w:r>
      <w:r>
        <w:t xml:space="preserve"> </w:t>
      </w:r>
      <w:r>
        <w:t xml:space="preserve">evaluation. Group A: basic shapes (cube, sphere, cylinder, cone, torus,</w:t>
      </w:r>
      <w:r>
        <w:t xml:space="preserve"> </w:t>
      </w:r>
      <m:oMath>
        <m:r>
          <m:rPr>
            <m:sty m:val="p"/>
          </m:rPr>
          <m:t>∼</m:t>
        </m:r>
      </m:oMath>
      <m:oMath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faces). Group B: simple functional parts (u_bracket, hook, c_clamp, pipe_elbow,</w:t>
      </w:r>
      <w:r>
        <w:t xml:space="preserve"> </w:t>
      </w:r>
      <w:r>
        <w:t xml:space="preserve">hollow_box). Group C: organic/freeform benchmarks (</w:t>
      </w:r>
      <w:r>
        <w:rPr>
          <w:iCs/>
          <w:i/>
        </w:rPr>
        <w:t xml:space="preserve">Bunny 69k</w:t>
      </w:r>
      <w:r>
        <w:t xml:space="preserve">,</w:t>
      </w:r>
      <w:r>
        <w:t xml:space="preserve"> </w:t>
      </w:r>
      <w:r>
        <w:rPr>
          <w:iCs/>
          <w:i/>
        </w:rPr>
        <w:t xml:space="preserve">Manikin</w:t>
      </w:r>
      <w:r>
        <w:rPr>
          <w:iCs/>
          <w:i/>
        </w:rPr>
        <w:t xml:space="preserve"> </w:t>
      </w:r>
      <w:r>
        <w:rPr>
          <w:iCs/>
          <w:i/>
        </w:rPr>
        <w:t xml:space="preserve">13k</w:t>
      </w:r>
      <w:r>
        <w:t xml:space="preserve">,</w:t>
      </w:r>
      <w:r>
        <w:t xml:space="preserve"> </w:t>
      </w:r>
      <w:r>
        <w:rPr>
          <w:iCs/>
          <w:i/>
        </w:rPr>
        <w:t xml:space="preserve">Dragon 100k</w:t>
      </w:r>
      <w:r>
        <w:t xml:space="preserve">,</w:t>
      </w:r>
      <w:r>
        <w:t xml:space="preserve"> </w:t>
      </w:r>
      <w:r>
        <w:rPr>
          <w:iCs/>
          <w:i/>
        </w:rPr>
        <w:t xml:space="preserve">Happy 50k</w:t>
      </w:r>
      <w:r>
        <w:t xml:space="preserve">,</w:t>
      </w:r>
      <w:r>
        <w:t xml:space="preserve"> </w:t>
      </w:r>
      <w:r>
        <w:rPr>
          <w:iCs/>
          <w:i/>
        </w:rPr>
        <w:t xml:space="preserve">Lucy 50k</w:t>
      </w:r>
      <w:r>
        <w:t xml:space="preserve">). Group D: Thingi10K set 1,</w:t>
      </w:r>
      <w:r>
        <w:t xml:space="preserve"> </w:t>
      </w:r>
      <m:oMath>
        <m:r>
          <m:t>256</m:t>
        </m:r>
      </m:oMath>
      <w:r>
        <w:t xml:space="preserve">–</w:t>
      </w:r>
      <m:oMath>
        <m:r>
          <m:t>88</m:t>
        </m:r>
        <m:r>
          <m:rPr>
            <m:sty m:val="p"/>
          </m:rPr>
          <m:t>,</m:t>
        </m:r>
        <m:r>
          <m:t>106</m:t>
        </m:r>
      </m:oMath>
      <w:r>
        <w:t xml:space="preserve"> </w:t>
      </w:r>
      <w:r>
        <w:t xml:space="preserve">faces </w:t>
      </w:r>
      <w:r>
        <w:t xml:space="preserve">. Group E: Thingi10K set 2, about</w:t>
      </w:r>
      <w:r>
        <w:t xml:space="preserve"> </w:t>
      </w:r>
      <m:oMath>
        <m:r>
          <m:t>5.1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–</w:t>
      </w:r>
      <m:oMath>
        <m:r>
          <m:t>1.04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faces. All timing used a Windows 11 workstation with</w:t>
      </w:r>
      <w:r>
        <w:t xml:space="preserve"> </w:t>
      </w:r>
      <w:r>
        <w:t xml:space="preserve">an AMD Ryzen 9 9950X3D CPU (16 cores/32 threads), 125 GB RAM, and an NVIDIA GeForce</w:t>
      </w:r>
      <w:r>
        <w:t xml:space="preserve"> </w:t>
      </w:r>
      <w:r>
        <w:t xml:space="preserve">RTX 5080 GPU (16 GB). The Python implementation used Python 3.12 with NumPy, SciPy,</w:t>
      </w:r>
      <w:r>
        <w:t xml:space="preserve"> </w:t>
      </w:r>
      <w:r>
        <w:t xml:space="preserve">Trimesh, and scikit-learn; TOMO_CPU/TOMO_CUDA were called through Windows DLL</w:t>
      </w:r>
      <w:r>
        <w:t xml:space="preserve"> </w:t>
      </w:r>
      <w:r>
        <w:t xml:space="preserve">interfaces, and SFTF_C++ was built as an x64 C++ DLL (MSVC, OpenMP).</w:t>
      </w:r>
    </w:p>
    <w:bookmarkEnd w:id="30"/>
    <w:bookmarkStart w:id="31" w:name="sec:protocol"/>
    <w:p>
      <w:pPr>
        <w:pStyle w:val="Heading2"/>
      </w:pPr>
      <w:r>
        <w:t xml:space="preserve">Comparison targets and evaluation protocol</w:t>
      </w:r>
    </w:p>
    <w:p>
      <w:pPr>
        <w:pStyle w:val="FirstParagraph"/>
      </w:pPr>
      <w:r>
        <w:t xml:space="preserve">The comparison targets are: (1) PCA-based direction; (2) existing Support Tensor</w:t>
      </w:r>
      <w:r>
        <w:t xml:space="preserve"> </w:t>
      </w:r>
      <w:r>
        <w:t xml:space="preserve">eigenvector direction; (3) initial eigenvector-based concave direction; (4) this</w:t>
      </w:r>
      <w:r>
        <w:t xml:space="preserve"> </w:t>
      </w:r>
      <w:r>
        <w:t xml:space="preserve">study’s SFTF direction; and (5) TOMO_CPU or commercial-slicer-based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optimal</w:t>
      </w:r>
      <w:r>
        <w:t xml:space="preserve"> </w:t>
      </w:r>
      <w:r>
        <w:t xml:space="preserve">direction. For each mesh we generate a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contour at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intervals under a</w:t>
      </w:r>
      <w:r>
        <w:t xml:space="preserve"> </w:t>
      </w:r>
      <w:r>
        <w:t xml:space="preserve">critical angle of</w:t>
      </w:r>
      <w: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and evaluate how close the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value at our top</w:t>
      </w:r>
      <w:r>
        <w:t xml:space="preserve"> </w:t>
      </w:r>
      <w:r>
        <w:t xml:space="preserve">candidate directions is to the global optimum; if the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values are similar we</w:t>
      </w:r>
      <w:r>
        <w:t xml:space="preserve"> </w:t>
      </w:r>
      <w:r>
        <w:t xml:space="preserve">regard directions as optimal orientations of the same level. Because the global</w:t>
      </w:r>
      <w:r>
        <w:t xml:space="preserve"> </w:t>
      </w:r>
      <w:r>
        <w:t xml:space="preserve">optimum can be scattered across multiple basins, we compare angularly separated</w:t>
      </w:r>
      <w:r>
        <w:t xml:space="preserve"> </w:t>
      </w:r>
      <w:r>
        <w:t xml:space="preserve">top-</w:t>
      </w:r>
      <m:oMath>
        <m:r>
          <m:t>k</m:t>
        </m:r>
      </m:oMath>
      <w:r>
        <w:t xml:space="preserve"> </w:t>
      </w:r>
      <w:r>
        <w:t xml:space="preserve">basin representatives, re-inputting SFTF candidate basins to TOMO_CPU to</w:t>
      </w:r>
      <w:r>
        <w:t xml:space="preserve"> </w:t>
      </w:r>
      <w:r>
        <w:t xml:space="preserve">measure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directly. Unless otherwise stated, both the five-mesh accuracy</w:t>
      </w:r>
      <w:r>
        <w:t xml:space="preserve"> </w:t>
      </w:r>
      <w:r>
        <w:t xml:space="preserve">results and the A–E audit use stored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TOMO_CPU grids. Ratio statistics at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exclude records whose TOMO global best is nonpositive, because</w:t>
      </w:r>
      <w:r>
        <w:t xml:space="preserve"> </w:t>
      </w:r>
      <w:r>
        <w:t xml:space="preserve">those cases make a positive support-volume ratio ill-defined.</w:t>
      </w:r>
    </w:p>
    <w:bookmarkEnd w:id="31"/>
    <w:bookmarkEnd w:id="32"/>
    <w:bookmarkStart w:id="47" w:name="results"/>
    <w:p>
      <w:pPr>
        <w:pStyle w:val="Heading1"/>
      </w:pPr>
      <w:r>
        <w:t xml:space="preserve">Results</w:t>
      </w:r>
    </w:p>
    <w:bookmarkStart w:id="34" w:name="stored-tomo-grid-comparison"/>
    <w:p>
      <w:pPr>
        <w:pStyle w:val="Heading2"/>
      </w:pPr>
      <w:r>
        <w:t xml:space="preserve">Stored TOMO grid comparison</w:t>
      </w:r>
    </w:p>
    <w:p>
      <w:pPr>
        <w:pStyle w:val="FirstParagraph"/>
      </w:pPr>
      <w:r>
        <w:t xml:space="preserve">The stored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TOMO_CPU grids were used as the accuracy</w:t>
      </w:r>
      <w:r>
        <w:t xml:space="preserve"> </w:t>
      </w:r>
      <w:r>
        <w:t xml:space="preserve">reference. SFTF candidates were mapped to the nearest signed TOMO yaw–pitch cell,</w:t>
      </w:r>
      <w:r>
        <w:t xml:space="preserve"> </w:t>
      </w:r>
      <w:r>
        <w:t xml:space="preserve">and ratios were computed against the global TOMO best value</w:t>
      </w:r>
      <w:r>
        <w:t xml:space="preserve"> </w:t>
      </w:r>
      <w:r>
        <w:t xml:space="preserve">(Table </w:t>
      </w:r>
      <w:hyperlink w:anchor="tab:sftf-tomo-comparison">
        <w:r>
          <w:rPr>
            <w:rStyle w:val="Hyperlink"/>
          </w:rPr>
          <w:t xml:space="preserve">1</w:t>
        </w:r>
      </w:hyperlink>
      <w:r>
        <w:t xml:space="preserve">). Raw ranking alone is insufficient for the</w:t>
      </w:r>
      <w:r>
        <w:t xml:space="preserve"> </w:t>
      </w:r>
      <w:r>
        <w:rPr>
          <w:iCs/>
          <w:i/>
        </w:rPr>
        <w:t xml:space="preserve">Happy 50k</w:t>
      </w:r>
      <w:r>
        <w:t xml:space="preserve"> </w:t>
      </w:r>
      <w:r>
        <w:t xml:space="preserve">hard case (ratio</w:t>
      </w:r>
      <w:r>
        <w:t xml:space="preserve"> </w:t>
      </w:r>
      <m:oMath>
        <m:r>
          <m:t>2.34</m:t>
        </m:r>
      </m:oMath>
      <w:r>
        <w:t xml:space="preserve">), so SFTF is used as a warm start for local</w:t>
      </w:r>
      <w:r>
        <w:t xml:space="preserve"> </w:t>
      </w:r>
      <w:r>
        <w:t xml:space="preserve">TOMO verification rather than as a standalone optimizer.</w:t>
      </w:r>
    </w:p>
    <w:bookmarkStart w:id="33" w:name="tab:sftf-tomo-comparison"/>
    <w:p>
      <w:pPr>
        <w:pStyle w:val="TableCaption"/>
      </w:pPr>
      <w:r>
        <w:t xml:space="preserve">Stored TOMO_CPU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grid versus the current SFTF candidates. Ratio is</w:t>
      </w:r>
      <w:r>
        <w:t xml:space="preserve"> </w:t>
      </w:r>
      <w:r>
        <w:t xml:space="preserve">the SFTF candidate’s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over the TOMO global optimum.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Stored TOMO_CPU v_{ss} grid versus the current SFTF candidates. Ratio is the SFTF candidate’s v_{ss} over the TOMO global optimum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TOMO best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SFTF score1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SFTF best-of-3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Bunny 69k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4440.34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5217.86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5217.86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Manikin 13k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2956.12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5565.56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5565.56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Dragon 100k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28106.97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37640.00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36067.25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Happy 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8512.64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19894.23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18592.73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Lucy 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7605.40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9132.08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9132.08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</w:tr>
    </w:tbl>
    <w:bookmarkEnd w:id="33"/>
    <w:bookmarkEnd w:id="34"/>
    <w:bookmarkStart w:id="43" w:name="sec:ave"/>
    <w:p>
      <w:pPr>
        <w:pStyle w:val="Heading2"/>
      </w:pPr>
      <w:r>
        <w:t xml:space="preserve">Local verification and adaptive verification escalation</w:t>
      </w:r>
    </w:p>
    <w:p>
      <w:pPr>
        <w:pStyle w:val="FirstParagraph"/>
      </w:pPr>
      <w:r>
        <w:t xml:space="preserve">The deployed metric is a budget curve: the top-</w:t>
      </w:r>
      <m:oMath>
        <m:r>
          <m:t>K</m:t>
        </m:r>
      </m:oMath>
      <w:r>
        <w:t xml:space="preserve"> </w:t>
      </w:r>
      <w:r>
        <w:t xml:space="preserve">SFTF candidates define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local windows, and the best TOMO grid value inside their union is</w:t>
      </w:r>
      <w:r>
        <w:t xml:space="preserve"> </w:t>
      </w:r>
      <w:r>
        <w:t xml:space="preserve">selected (Table </w:t>
      </w:r>
      <w:hyperlink w:anchor="tab:budget-curve">
        <w:r>
          <w:rPr>
            <w:rStyle w:val="Hyperlink"/>
          </w:rPr>
          <w:t xml:space="preserve">2</w:t>
        </w:r>
      </w:hyperlink>
      <w:r>
        <w:t xml:space="preserve">). At top-</w:t>
      </w:r>
      <m:oMath>
        <m:r>
          <m:t>20</m:t>
        </m:r>
      </m:oMath>
      <w:r>
        <w:t xml:space="preserve">, the mean support-volume ratio</w:t>
      </w:r>
      <w:r>
        <w:t xml:space="preserve"> </w:t>
      </w:r>
      <w:r>
        <w:t xml:space="preserve">is</w:t>
      </w:r>
      <w:r>
        <w:t xml:space="preserve"> </w:t>
      </w:r>
      <m:oMath>
        <m:r>
          <m:t>1.14</m:t>
        </m:r>
      </m:oMath>
      <w:r>
        <w:t xml:space="preserve"> </w:t>
      </w:r>
      <w:r>
        <w:t xml:space="preserve">(maximum</w:t>
      </w:r>
      <w:r>
        <w:t xml:space="preserve"> </w:t>
      </w:r>
      <m:oMath>
        <m:r>
          <m:t>1.66</m:t>
        </m:r>
      </m:oMath>
      <w:r>
        <w:t xml:space="preserve">) using only</w:t>
      </w:r>
      <w:r>
        <w:t xml:space="preserve"> </w:t>
      </w:r>
      <m:oMath>
        <m:r>
          <m:t>3.40</m:t>
        </m:r>
        <m:r>
          <m:rPr>
            <m:sty m:val="p"/>
          </m:rPr>
          <m:t>%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grid. A budget-matched</w:t>
      </w:r>
      <w:r>
        <w:t xml:space="preserve"> </w:t>
      </w:r>
      <w:r>
        <w:t xml:space="preserve">farthest-point uniform-axis control performs on par with SFTF on these organic meshes</w:t>
      </w:r>
      <w:r>
        <w:t xml:space="preserve"> </w:t>
      </w:r>
      <w:r>
        <w:t xml:space="preserve">and is slightly better in the worst case (Supplementary Table S7), so on organic parts</w:t>
      </w:r>
      <w:r>
        <w:t xml:space="preserve"> </w:t>
      </w:r>
      <w:r>
        <w:t xml:space="preserve">the warm-start value is the small verified budget rather than the exact window</w:t>
      </w:r>
      <w:r>
        <w:t xml:space="preserve"> </w:t>
      </w:r>
      <w:r>
        <w:t xml:space="preserve">placement; §</w:t>
      </w:r>
      <w:hyperlink w:anchor="sec:limits">
        <w:r>
          <w:rPr>
            <w:rStyle w:val="Hyperlink"/>
          </w:rPr>
          <w:t xml:space="preserve">4.1</w:t>
        </w:r>
      </w:hyperlink>
      <w:r>
        <w:t xml:space="preserve"> </w:t>
      </w:r>
      <w:r>
        <w:t xml:space="preserve">shows the two diverge sharply on large parts.</w:t>
      </w:r>
    </w:p>
    <w:bookmarkStart w:id="35" w:name="tab:budget-curve"/>
    <w:p>
      <w:pPr>
        <w:pStyle w:val="TableCaption"/>
      </w:pPr>
      <w:r>
        <w:t xml:space="preserve">Budget curve of top-</w:t>
      </w:r>
      <m:oMath>
        <m:r>
          <m:t>K</m:t>
        </m:r>
      </m:oMath>
      <w:r>
        <w:t xml:space="preserve"> </w:t>
      </w:r>
      <w:r>
        <w:t xml:space="preserve">local TOMO verification around SFTF candidates. The</w:t>
      </w:r>
      <w:r>
        <w:t xml:space="preserve"> </w:t>
      </w:r>
      <w:r>
        <w:t xml:space="preserve">budget is the mean fraction of the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TOMO grid covered by the union of local</w:t>
      </w:r>
      <w:r>
        <w:t xml:space="preserve"> </w:t>
      </w:r>
      <w:r>
        <w:t xml:space="preserve">windows.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Budget curve of top-K local TOMO verification around SFTF candidates. The budget is the mean fraction of the 1^\circ TOMO grid covered by the union of local window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Top-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Mean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grid budget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Ratio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2.0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</w:tbl>
    <w:bookmarkEnd w:id="35"/>
    <w:p>
      <w:pPr>
        <w:pStyle w:val="BodyText"/>
      </w:pPr>
      <w:r>
        <w:t xml:space="preserve">Adaptive Verification Escalation (AVE) escalates only when ordinary top-</w:t>
      </w:r>
      <m:oMath>
        <m:r>
          <m:t>10</m:t>
        </m:r>
      </m:oMath>
      <w:r>
        <w:t xml:space="preserve"> </w:t>
      </w:r>
      <w:r>
        <w:t xml:space="preserve">local</w:t>
      </w:r>
      <w:r>
        <w:t xml:space="preserve"> </w:t>
      </w:r>
      <w:r>
        <w:t xml:space="preserve">verification is uncertain (organic-mesh result in Supplementary Table S8). The trigger</w:t>
      </w:r>
      <w:r>
        <w:t xml:space="preserve"> </w:t>
      </w:r>
      <w:r>
        <w:t xml:space="preserve">uses local-verification quantities only,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g</m:t>
                    </m:r>
                    <m:r>
                      <m:rPr>
                        <m:sty m:val="p"/>
                      </m:rPr>
                      <m:t>g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r</m:t>
                    </m:r>
                  </m:e>
                  <m:sub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V</m:t>
                    </m:r>
                    <m:r>
                      <m:rPr>
                        <m:sty m:val="p"/>
                      </m:rPr>
                      <m:t>E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η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0.008</m:t>
                    </m:r>
                  </m:e>
                </m:d>
                <m:r>
                  <m:rPr>
                    <m:sty m:val="p"/>
                  </m:rPr>
                  <m:t>∧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g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∨</m:t>
                    </m:r>
                    <m:r>
                      <m:t>g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∨</m:t>
                    </m:r>
                    <m:r>
                      <m:t>g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3.0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  <m:mr>
              <m:e>
                <m:r>
                  <m:t>η</m:t>
                </m:r>
              </m:e>
              <m:e>
                <m:r>
                  <m:rPr>
                    <m:sty m:val="p"/>
                  </m:rPr>
                  <m:t>=</m:t>
                </m:r>
                <m:sSubSup>
                  <m:e>
                    <m:r>
                      <m:t>V</m:t>
                    </m:r>
                  </m:e>
                  <m:sub>
                    <m:r>
                      <m:t>s</m:t>
                    </m:r>
                    <m:r>
                      <m:t>s</m:t>
                    </m:r>
                  </m:sub>
                  <m:sup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c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x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g</m:t>
                </m:r>
                <m:r>
                  <m:rPr>
                    <m:sty m:val="p"/>
                  </m:rPr>
                  <m:t>=</m:t>
                </m:r>
                <m:sSubSup>
                  <m:e>
                    <m:r>
                      <m:t>V</m:t>
                    </m:r>
                  </m:e>
                  <m:sub>
                    <m:r>
                      <m:t>s</m:t>
                    </m:r>
                    <m:r>
                      <m:t>s</m:t>
                    </m:r>
                  </m:sub>
                  <m:sup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d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V</m:t>
                    </m:r>
                  </m:e>
                  <m:sub>
                    <m:r>
                      <m:t>s</m:t>
                    </m:r>
                    <m:r>
                      <m:t>s</m:t>
                    </m:r>
                  </m:sub>
                  <m:sup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c</m:t>
                    </m:r>
                  </m:sup>
                </m:sSubSup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the best local cell lies within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of a window</w:t>
      </w:r>
      <w:r>
        <w:t xml:space="preserve"> </w:t>
      </w:r>
      <w:r>
        <w:t xml:space="preserve">boundary, a small gain</w:t>
      </w:r>
      <w:r>
        <w:t xml:space="preserve"> </w:t>
      </w:r>
      <m:oMath>
        <m:r>
          <m:t>g</m:t>
        </m:r>
        <m:r>
          <m:rPr>
            <m:sty m:val="p"/>
          </m:rPr>
          <m:t>≤</m:t>
        </m:r>
        <m:r>
          <m:t>1.5</m:t>
        </m:r>
      </m:oMath>
      <w:r>
        <w:t xml:space="preserve"> </w:t>
      </w:r>
      <w:r>
        <w:t xml:space="preserve">means the window search barely improved on the seed</w:t>
      </w:r>
      <w:r>
        <w:t xml:space="preserve"> </w:t>
      </w:r>
      <w:r>
        <w:t xml:space="preserve">(a plateau), and a large gain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3.0</m:t>
        </m:r>
      </m:oMath>
      <w:r>
        <w:t xml:space="preserve"> </w:t>
      </w:r>
      <w:r>
        <w:t xml:space="preserve">means it moved far (an unreliable seed).</w:t>
      </w:r>
      <w:r>
        <w:t xml:space="preserve"> </w:t>
      </w:r>
      <w:r>
        <w:t xml:space="preserve">Escalation only expands the verified candidate set, so it can spend more budget but</w:t>
      </w:r>
      <w:r>
        <w:t xml:space="preserve"> </w:t>
      </w:r>
      <w:r>
        <w:t xml:space="preserve">cannot worsen the selected value. Table </w:t>
      </w:r>
      <w:hyperlink w:anchor="tab:ave-g5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reports the held-out cached</w:t>
      </w:r>
      <w:r>
        <w:t xml:space="preserve"> </w:t>
      </w:r>
      <w:r>
        <w:t xml:space="preserve">A–E audit of</w:t>
      </w:r>
      <w:r>
        <w:t xml:space="preserve"> </w:t>
      </w:r>
      <m:oMath>
        <m:r>
          <m:t>21</m:t>
        </m:r>
      </m:oMath>
      <w:r>
        <w:t xml:space="preserve"> </w:t>
      </w:r>
      <w:r>
        <w:t xml:space="preserve">ratio-valid records (after excluding</w:t>
      </w:r>
      <w:r>
        <w:t xml:space="preserve"> </w:t>
      </w:r>
      <m:oMath>
        <m:r>
          <m:t>14</m:t>
        </m:r>
      </m:oMath>
      <w:r>
        <w:t xml:space="preserve"> </w:t>
      </w:r>
      <w:r>
        <w:t xml:space="preserve">with nonpositive TOMO</w:t>
      </w:r>
      <w:r>
        <w:t xml:space="preserve"> </w:t>
      </w:r>
      <w:r>
        <w:t xml:space="preserve">best at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). The valid set is larger than in the original submission</w:t>
      </w:r>
      <w:r>
        <w:t xml:space="preserve"> </w:t>
      </w:r>
      <w:r>
        <w:t xml:space="preserve">because a</w:t>
      </w:r>
      <w:r>
        <w:t xml:space="preserve"> </w:t>
      </w:r>
      <m:oMath>
        <m:r>
          <m:t>16</m:t>
        </m:r>
      </m:oMath>
      <w:r>
        <w:t xml:space="preserve">-bit per-column overflow in the TOMO_CPU voxel accumulator had</w:t>
      </w:r>
      <w:r>
        <w:t xml:space="preserve"> </w:t>
      </w:r>
      <w:r>
        <w:t xml:space="preserve">corrupted the support volume of the high-face-count group-E meshes; with the</w:t>
      </w:r>
      <w:r>
        <w:t xml:space="preserve"> </w:t>
      </w:r>
      <w:r>
        <w:t xml:space="preserve">accumulator corrected, those meshes yield positive optima and become ratio-valid.</w:t>
      </w:r>
    </w:p>
    <w:bookmarkStart w:id="36" w:name="tab:ave-g5"/>
    <w:p>
      <w:pPr>
        <w:pStyle w:val="TableCaption"/>
      </w:pPr>
      <w:r>
        <w:t xml:space="preserve">Cached five-group audit of the tiered AVE policy on ratio-valid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TOMO_CPU records. The top-</w:t>
      </w:r>
      <m:oMath>
        <m:r>
          <m:t>10</m:t>
        </m:r>
      </m:oMath>
      <w:r>
        <w:t xml:space="preserve"> </w:t>
      </w:r>
      <w:r>
        <w:t xml:space="preserve">baseline over all ratio-valid</w:t>
      </w:r>
      <w:r>
        <w:t xml:space="preserve"> </w:t>
      </w:r>
      <w:r>
        <w:t xml:space="preserve">records has mean ratio</w:t>
      </w:r>
      <w:r>
        <w:t xml:space="preserve"> </w:t>
      </w:r>
      <m:oMath>
        <m:r>
          <m:t>5.10</m:t>
        </m:r>
      </m:oMath>
      <w:r>
        <w:t xml:space="preserve">, maximum</w:t>
      </w:r>
      <w:r>
        <w:t xml:space="preserve"> </w:t>
      </w:r>
      <m:oMath>
        <m:r>
          <m:t>62.59</m:t>
        </m:r>
      </m:oMath>
      <w:r>
        <w:t xml:space="preserve">, mean budget</w:t>
      </w:r>
      <w:r>
        <w:t xml:space="preserve"> </w:t>
      </w:r>
      <m:oMath>
        <m:r>
          <m:t>2.26</m:t>
        </m:r>
        <m:r>
          <m:rPr>
            <m:sty m:val="p"/>
          </m:rPr>
          <m:t>%</m:t>
        </m:r>
      </m:oMath>
      <w:r>
        <w:t xml:space="preserve">, and</w:t>
      </w:r>
      <w:r>
        <w:t xml:space="preserve"> </w:t>
      </w:r>
      <m:oMath>
        <m:r>
          <m:t>14</m:t>
        </m:r>
        <m:r>
          <m:rPr>
            <m:sty m:val="p"/>
          </m:rPr>
          <m:t>/</m:t>
        </m:r>
        <m:r>
          <m:t>21</m:t>
        </m:r>
      </m:oMath>
      <w:r>
        <w:t xml:space="preserve"> </w:t>
      </w:r>
      <w:r>
        <w:t xml:space="preserve">below ratio</w:t>
      </w:r>
      <w:r>
        <w:t xml:space="preserve"> </w:t>
      </w:r>
      <m:oMath>
        <m:r>
          <m:t>2.0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ached five-group audit of the tiered AVE policy on ratio-valid 1^\circ, \theta_c=60^\circ TOMO_CPU records. The top-10 baseline over all ratio-valid records has mean ratio 5.10, maximum 62.59, mean budget 2.26\%, and 14/21 below ratio 2.0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Expanded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≤</m:t>
              </m:r>
              <m:r>
                <m:t>2.0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23.58%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13.94%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21/21</w:t>
            </w:r>
          </w:p>
        </w:tc>
      </w:tr>
    </w:tbl>
    <w:bookmarkEnd w:id="36"/>
    <w:p>
      <w:pPr>
        <w:pStyle w:val="BodyText"/>
      </w:pPr>
      <w:r>
        <w:t xml:space="preserve">The audit reduces the maximum ratio from</w:t>
      </w:r>
      <w:r>
        <w:t xml:space="preserve"> </w:t>
      </w:r>
      <m:oMath>
        <m:r>
          <m:t>62.59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1.93</m:t>
        </m:r>
      </m:oMath>
      <w:r>
        <w:t xml:space="preserve"> </w:t>
      </w:r>
      <w:r>
        <w:t xml:space="preserve">and keeps all ratio-valid</w:t>
      </w:r>
      <w:r>
        <w:t xml:space="preserve"> </w:t>
      </w:r>
      <w:r>
        <w:t xml:space="preserve">records below</w:t>
      </w:r>
      <w:r>
        <w:t xml:space="preserve"> </w:t>
      </w:r>
      <m:oMath>
        <m:r>
          <m:t>2.0</m:t>
        </m:r>
      </m:oMath>
      <w:r>
        <w:t xml:space="preserve"> </w:t>
      </w:r>
      <w:r>
        <w:t xml:space="preserve">at a mean budget of</w:t>
      </w:r>
      <w:r>
        <w:t xml:space="preserve"> </w:t>
      </w:r>
      <m:oMath>
        <m:r>
          <m:t>13.94</m:t>
        </m:r>
        <m:r>
          <m:rPr>
            <m:sty m:val="p"/>
          </m:rPr>
          <m:t>%</m:t>
        </m:r>
      </m:oMath>
      <w:r>
        <w:t xml:space="preserve"> </w:t>
      </w:r>
      <w:r>
        <w:t xml:space="preserve">(under one seventh of the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grid). The single hardest case is the</w:t>
      </w:r>
      <w:r>
        <w:t xml:space="preserve"> </w:t>
      </w:r>
      <m:oMath>
        <m:r>
          <m:t>1.04</m:t>
        </m:r>
      </m:oMath>
      <w:r>
        <w:t xml:space="preserve">M-face</w:t>
      </w:r>
      <w:r>
        <w:t xml:space="preserve"> </w:t>
      </w:r>
      <w:r>
        <w:rPr>
          <w:iCs/>
          <w:i/>
        </w:rPr>
        <w:t xml:space="preserve">Group_E2_790253</w:t>
      </w:r>
      <w:r>
        <w:t xml:space="preserve"> </w:t>
      </w:r>
      <w:r>
        <w:t xml:space="preserve">at ratio</w:t>
      </w:r>
      <w:r>
        <w:t xml:space="preserve"> </w:t>
      </w:r>
      <m:oMath>
        <m:r>
          <m:t>1.93</m:t>
        </m:r>
      </m:oMath>
      <w:r>
        <w:t xml:space="preserve">, marking the practical ceiling of coarse SFTF coverage on large parts.</w:t>
      </w:r>
      <w:r>
        <w:t xml:space="preserve"> </w:t>
      </w:r>
      <w:r>
        <w:t xml:space="preserve">Representative TOMO landscapes for a broad-basin case (</w:t>
      </w:r>
      <w:r>
        <w:rPr>
          <w:iCs/>
          <w:i/>
        </w:rPr>
        <w:t xml:space="preserve">Dragon 100k</w:t>
      </w:r>
      <w:r>
        <w:t xml:space="preserve">,</w:t>
      </w:r>
      <w:r>
        <w:t xml:space="preserve"> </w:t>
      </w:r>
      <w:r>
        <w:t xml:space="preserve">Fig. </w:t>
      </w:r>
      <w:hyperlink w:anchor="fig:dragon-landscape">
        <w:r>
          <w:rPr>
            <w:rStyle w:val="Hyperlink"/>
          </w:rPr>
          <w:t xml:space="preserve">2</w:t>
        </w:r>
      </w:hyperlink>
      <w:r>
        <w:t xml:space="preserve">) and the</w:t>
      </w:r>
      <w:r>
        <w:t xml:space="preserve"> </w:t>
      </w:r>
      <w:r>
        <w:rPr>
          <w:iCs/>
          <w:i/>
        </w:rPr>
        <w:t xml:space="preserve">Happy 50k</w:t>
      </w:r>
      <w:r>
        <w:t xml:space="preserve"> </w:t>
      </w:r>
      <w:r>
        <w:t xml:space="preserve">hard case before/after AVE</w:t>
      </w:r>
      <w:r>
        <w:t xml:space="preserve"> </w:t>
      </w:r>
      <w:r>
        <w:t xml:space="preserve">(Fig. </w:t>
      </w:r>
      <w:hyperlink w:anchor="fig:happy-landscape">
        <w:r>
          <w:rPr>
            <w:rStyle w:val="Hyperlink"/>
          </w:rPr>
          <w:t xml:space="preserve">3</w:t>
        </w:r>
      </w:hyperlink>
      <w:r>
        <w:t xml:space="preserve">) are shown below; additional</w:t>
      </w:r>
      <w:r>
        <w:t xml:space="preserve"> </w:t>
      </w:r>
      <w:r>
        <w:rPr>
          <w:iCs/>
          <w:i/>
        </w:rPr>
        <w:t xml:space="preserve">Bunny</w:t>
      </w:r>
      <w:r>
        <w:t xml:space="preserve">,</w:t>
      </w:r>
      <w:r>
        <w:t xml:space="preserve"> </w:t>
      </w:r>
      <w:r>
        <w:rPr>
          <w:iCs/>
          <w:i/>
        </w:rPr>
        <w:t xml:space="preserve">Manikin</w:t>
      </w:r>
      <w:r>
        <w:t xml:space="preserve">, and</w:t>
      </w:r>
      <w:r>
        <w:t xml:space="preserve"> </w:t>
      </w:r>
      <w:r>
        <w:rPr>
          <w:iCs/>
          <w:i/>
        </w:rPr>
        <w:t xml:space="preserve">Lucy</w:t>
      </w:r>
      <w:r>
        <w:t xml:space="preserve"> </w:t>
      </w:r>
      <w:r>
        <w:t xml:space="preserve">landscapes are in Supplementary Figs. S5–S7.</w:t>
      </w:r>
    </w:p>
    <w:p>
      <w:pPr>
        <w:pStyle w:val="CaptionedFigure"/>
      </w:pPr>
      <w:r>
        <w:drawing>
          <wp:inline>
            <wp:extent cx="5334000" cy="4702999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pics/appendix_contour_drago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2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Representative TOMO_CPU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landscape of</w:t>
      </w:r>
      <w:r>
        <w:t xml:space="preserve"> </w:t>
      </w:r>
      <w:r>
        <w:rPr>
          <w:iCs/>
          <w:i/>
        </w:rPr>
        <w:t xml:space="preserve">Dragon 100k</w:t>
      </w:r>
      <w:r>
        <w:t xml:space="preserve">. The global</w:t>
      </w:r>
      <w:r>
        <w:t xml:space="preserve"> </w:t>
      </w:r>
      <w:r>
        <w:t xml:space="preserve">optimum forms a distinct low-cost basin, a non-hard case where coarse SFTF candidates</w:t>
      </w:r>
      <w:r>
        <w:t xml:space="preserve"> </w:t>
      </w:r>
      <w:r>
        <w:t xml:space="preserve">already cover useful regions.</w:t>
      </w:r>
    </w:p>
    <w:p>
      <w:pPr>
        <w:pStyle w:val="CaptionedFigure"/>
      </w:pPr>
      <w:r>
        <w:drawing>
          <wp:inline>
            <wp:extent cx="5334000" cy="243929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pics/appendix_contour_happy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9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iCs/>
          <w:i/>
        </w:rPr>
        <w:t xml:space="preserve">Happy 50k</w:t>
      </w:r>
      <w:r>
        <w:t xml:space="preserve"> </w:t>
      </w:r>
      <w:r>
        <w:t xml:space="preserve">before and after AVE on the same TOMO_CPU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landscape</w:t>
      </w:r>
      <w:r>
        <w:t xml:space="preserve"> </w:t>
      </w:r>
      <w:r>
        <w:t xml:space="preserve">(corrected grids; TOMO optimum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513</m:t>
        </m:r>
      </m:oMath>
      <w:r>
        <w:t xml:space="preserve">). Base top-</w:t>
      </w:r>
      <m:oMath>
        <m:r>
          <m:t>10</m:t>
        </m:r>
      </m:oMath>
      <w:r>
        <w:t xml:space="preserve"> </w:t>
      </w:r>
      <w:r>
        <w:t xml:space="preserve">local verification</w:t>
      </w:r>
      <w:r>
        <w:t xml:space="preserve"> </w:t>
      </w:r>
      <w:r>
        <w:t xml:space="preserve">lands at ratio</w:t>
      </w:r>
      <w:r>
        <w:t xml:space="preserve"> </w:t>
      </w:r>
      <m:oMath>
        <m:r>
          <m:t>1.84</m:t>
        </m:r>
      </m:oMath>
      <w:r>
        <w:t xml:space="preserve"> </w:t>
      </w:r>
      <w:r>
        <w:t xml:space="preserve">and AVE improves it to</w:t>
      </w:r>
      <w:r>
        <w:t xml:space="preserve"> </w:t>
      </w:r>
      <m:oMath>
        <m:r>
          <m:t>1.66</m:t>
        </m:r>
      </m:oMath>
      <w:r>
        <w:t xml:space="preserve">.</w:t>
      </w:r>
    </w:p>
    <w:bookmarkEnd w:id="43"/>
    <w:bookmarkStart w:id="45" w:name="sec:ablation"/>
    <w:p>
      <w:pPr>
        <w:pStyle w:val="Heading2"/>
      </w:pPr>
      <w:r>
        <w:t xml:space="preserve">Feature contribution and generalization</w:t>
      </w:r>
    </w:p>
    <w:p>
      <w:pPr>
        <w:pStyle w:val="FirstParagraph"/>
      </w:pPr>
      <w:r>
        <w:t xml:space="preserve">Spearman rank correlations over the full candidate pools (Supplementary Table S9) show</w:t>
      </w:r>
      <w:r>
        <w:t xml:space="preserve"> </w:t>
      </w:r>
      <w:r>
        <w:t xml:space="preserve">that the build-plate term is the most stable single predictor of TOMO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.</w:t>
      </w:r>
      <w:r>
        <w:t xml:space="preserve"> </w:t>
      </w:r>
      <w:r>
        <w:t xml:space="preserve">Table </w:t>
      </w:r>
      <w:hyperlink w:anchor="tab:unified-corr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separates the unified Rayleigh term from its components:</w:t>
      </w:r>
      <w:r>
        <w:t xml:space="preserve"> </w:t>
      </w:r>
      <w:r>
        <w:t xml:space="preserve">the ground-node reformulation explains why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merely a scalar patch, because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tensor contraction and has the strongest average single-feature</w:t>
      </w:r>
      <w:r>
        <w:t xml:space="preserve"> </w:t>
      </w:r>
      <w:r>
        <w:t xml:space="preserve">correlation (</w:t>
      </w:r>
      <m:oMath>
        <m:r>
          <m:t>0.61</m:t>
        </m:r>
      </m:oMath>
      <w:r>
        <w:t xml:space="preserve">). Excluding the</w:t>
      </w:r>
      <w:r>
        <w:t xml:space="preserve"> </w:t>
      </w:r>
      <w:r>
        <w:rPr>
          <w:iCs/>
          <w:i/>
        </w:rPr>
        <w:t xml:space="preserve">Happy 50k</w:t>
      </w:r>
      <w:r>
        <w:t xml:space="preserve"> </w:t>
      </w:r>
      <w:r>
        <w:t xml:space="preserve">hard case, removing the</w:t>
      </w:r>
      <w:r>
        <w:t xml:space="preserve"> </w:t>
      </w:r>
      <w:r>
        <w:t xml:space="preserve">negative-signal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 (from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to build-plate-only</w:t>
      </w:r>
      <w:r>
        <w:t xml:space="preserve"> </w:t>
      </w:r>
      <m:oMath>
        <m:r>
          <m:t>B</m:t>
        </m:r>
      </m:oMath>
      <w:r>
        <w:t xml:space="preserve">) improves the mean</w:t>
      </w:r>
      <w:r>
        <w:t xml:space="preserve"> </w:t>
      </w:r>
      <w:r>
        <w:t xml:space="preserve">best-of-3 ratio from</w:t>
      </w:r>
      <w:r>
        <w:t xml:space="preserve"> </w:t>
      </w:r>
      <m:oMath>
        <m:r>
          <m:t>2.00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1.67</m:t>
        </m:r>
      </m:oMath>
      <w:r>
        <w:t xml:space="preserve"> </w:t>
      </w:r>
      <w:r>
        <w:t xml:space="preserve">(Supplementary Table S6).</w:t>
      </w:r>
    </w:p>
    <w:bookmarkStart w:id="44" w:name="tab:unified-corr"/>
    <w:p>
      <w:pPr>
        <w:pStyle w:val="TableCaption"/>
      </w:pPr>
      <w:r>
        <w:t xml:space="preserve">Spearman correlation of the unified Rayleigh term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 single</w:t>
      </w:r>
      <w:r>
        <w:t xml:space="preserve"> </w:t>
      </w:r>
      <w:r>
        <w:t xml:space="preserve">terms with TOMO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(higher is better).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</m:oMath>
      <w:r>
        <w:t xml:space="preserve"> </w:t>
      </w:r>
      <w:r>
        <w:t xml:space="preserve">was computed directly from the</w:t>
      </w:r>
      <w:r>
        <w:t xml:space="preserve"> </w:t>
      </w:r>
      <w:r>
        <w:t xml:space="preserve">augmented tensor and agrees 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within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Spearman correlation of the unified Rayleigh term \tilde R=R+B and single terms with TOMO v_{ss} (higher is better). \tilde R was computed directly from the augmented tensor and agrees with R+B within 10^{-12}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Mesh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̃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Bunny 69k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Manikin 13k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0.35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Dragon 100k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0.56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Happy 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Lucy 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</w:tr>
    </w:tbl>
    <w:bookmarkEnd w:id="44"/>
    <w:p>
      <w:pPr>
        <w:pStyle w:val="BodyText"/>
      </w:pPr>
      <w:r>
        <w:t xml:space="preserve">Cross-validation exposes the optimism of calibration-set rank tuning. A</w:t>
      </w:r>
      <w:r>
        <w:t xml:space="preserve"> </w:t>
      </w:r>
      <w:r>
        <w:t xml:space="preserve">leave-one-mesh-out (LOMO) check (Supplementary Table S10) raises the in-sample average</w:t>
      </w:r>
      <w:r>
        <w:t xml:space="preserve"> </w:t>
      </w:r>
      <w:r>
        <w:t xml:space="preserve">best-of-3 ratio from</w:t>
      </w:r>
      <w:r>
        <w:t xml:space="preserve"> </w:t>
      </w:r>
      <m:oMath>
        <m:r>
          <m:t>1.64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1.71</m:t>
        </m:r>
      </m:oMath>
      <w:r>
        <w:t xml:space="preserve"> </w:t>
      </w:r>
      <w:r>
        <w:t xml:space="preserve">on these organic meshes, still better than PCA</w:t>
      </w:r>
      <w:r>
        <w:t xml:space="preserve"> </w:t>
      </w:r>
      <w:r>
        <w:t xml:space="preserve">(</w:t>
      </w:r>
      <m:oMath>
        <m:r>
          <m:t>1.95</m:t>
        </m:r>
      </m:oMath>
      <w:r>
        <w:t xml:space="preserve">) and the symmetric Support Tensor baseline (</w:t>
      </w:r>
      <m:oMath>
        <m:r>
          <m:t>2.46</m:t>
        </m:r>
      </m:oMath>
      <w:r>
        <w:t xml:space="preserve">) (Supplementary Table S11);</w:t>
      </w:r>
      <w:r>
        <w:t xml:space="preserve"> </w:t>
      </w:r>
      <w:r>
        <w:rPr>
          <w:iCs/>
          <w:i/>
        </w:rPr>
        <w:t xml:space="preserve">Manikin 13k</w:t>
      </w:r>
      <w:r>
        <w:t xml:space="preserve"> </w:t>
      </w:r>
      <w:r>
        <w:t xml:space="preserve">is the one case where PCA edges out the tuned SFTF ordering. This</w:t>
      </w:r>
      <w:r>
        <w:t xml:space="preserve"> </w:t>
      </w:r>
      <w:r>
        <w:t xml:space="preserve">reinforces the role of rank tuning as an organic-mesh candidate-ordering heuristic,</w:t>
      </w:r>
      <w:r>
        <w:t xml:space="preserve"> </w:t>
      </w:r>
      <w:r>
        <w:t xml:space="preserve">not the final optimizer; the reliable result is obtained when SFTF candidates are</w:t>
      </w:r>
      <w:r>
        <w:t xml:space="preserve"> </w:t>
      </w:r>
      <w:r>
        <w:t xml:space="preserve">followed by local TOMO verification.</w:t>
      </w:r>
    </w:p>
    <w:bookmarkEnd w:id="45"/>
    <w:bookmarkStart w:id="46" w:name="sec:fivegroup"/>
    <w:p>
      <w:pPr>
        <w:pStyle w:val="Heading2"/>
      </w:pPr>
      <w:r>
        <w:t xml:space="preserve">Five-group implementation audit</w:t>
      </w:r>
    </w:p>
    <w:p>
      <w:pPr>
        <w:pStyle w:val="FirstParagraph"/>
      </w:pPr>
      <w:r>
        <w:t xml:space="preserve">On the same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sweep, Python SFTF is</w:t>
      </w:r>
      <w:r>
        <w:t xml:space="preserve"> </w:t>
      </w:r>
      <m:oMath>
        <m:r>
          <m:t>8.3</m:t>
        </m:r>
      </m:oMath>
      <w:r>
        <w:t xml:space="preserve">–</w:t>
      </w:r>
      <m:oMath>
        <m:r>
          <m:t>381.9</m:t>
        </m:r>
        <m:r>
          <m:rPr>
            <m:sty m:val="p"/>
          </m:rPr>
          <m:t>×</m:t>
        </m:r>
      </m:oMath>
      <w:r>
        <w:t xml:space="preserve"> </w:t>
      </w:r>
      <w:r>
        <w:t xml:space="preserve">faster than TOMO_CPU over all</w:t>
      </w:r>
      <w:r>
        <w:t xml:space="preserve"> </w:t>
      </w:r>
      <m:oMath>
        <m:r>
          <m:t>35</m:t>
        </m:r>
      </m:oMath>
      <w:r>
        <w:t xml:space="preserve"> </w:t>
      </w:r>
      <w:r>
        <w:t xml:space="preserve">meshes and SFTF_C++ is</w:t>
      </w:r>
      <w:r>
        <w:t xml:space="preserve"> </w:t>
      </w:r>
      <m:oMath>
        <m:r>
          <m:t>56.8</m:t>
        </m:r>
      </m:oMath>
      <w:r>
        <w:t xml:space="preserve">–</w:t>
      </w:r>
      <m:oMath>
        <m:r>
          <m:t>56</m:t>
        </m:r>
        <m:r>
          <m:rPr>
            <m:sty m:val="p"/>
          </m:rPr>
          <m:t>,</m:t>
        </m:r>
        <m:r>
          <m:t>027</m:t>
        </m:r>
        <m:r>
          <m:rPr>
            <m:sty m:val="p"/>
          </m:rPr>
          <m:t>×</m:t>
        </m:r>
      </m:oMath>
      <w:r>
        <w:t xml:space="preserve"> </w:t>
      </w:r>
      <w:r>
        <w:t xml:space="preserve">faster (group averages in Supplementary Table S12; full per-mesh timing in</w:t>
      </w:r>
      <w:r>
        <w:t xml:space="preserve"> </w:t>
      </w:r>
      <w:r>
        <w:t xml:space="preserve">Supplementary Table S1). TOMO_CUDA helps on simple A/B shapes but is often slower than</w:t>
      </w:r>
      <w:r>
        <w:t xml:space="preserve"> </w:t>
      </w:r>
      <w:r>
        <w:t xml:space="preserve">CPU on organic and large meshes here, so the dominant gain is algorithmic—reducing</w:t>
      </w:r>
      <w:r>
        <w:t xml:space="preserve"> </w:t>
      </w:r>
      <w:r>
        <w:t xml:space="preserve">the number of directions to evaluate, not changing the exhaustive-sweep backend. The</w:t>
      </w:r>
      <w:r>
        <w:t xml:space="preserve"> </w:t>
      </w:r>
      <w:r>
        <w:t xml:space="preserve">clipped ray budget in Eq. </w:t>
      </w:r>
      <w:hyperlink w:anchor="eq:kray-budget">
        <w:r>
          <w:rPr>
            <w:rStyle w:val="Hyperlink"/>
          </w:rPr>
          <w:t xml:space="preserve">[eq:kray-budget]</w:t>
        </w:r>
      </w:hyperlink>
      <w:r>
        <w:t xml:space="preserve"> </w:t>
      </w:r>
      <w:r>
        <w:t xml:space="preserve">caps per-direction ray cost at</w:t>
      </w:r>
      <w:r>
        <w:t xml:space="preserve"> </w:t>
      </w:r>
      <m:oMath>
        <m:r>
          <m:t>3000</m:t>
        </m:r>
      </m:oMath>
      <w:r>
        <w:t xml:space="preserve"> </w:t>
      </w:r>
      <w:r>
        <w:t xml:space="preserve">samples, so meshes near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faces remain feasible.</w:t>
      </w:r>
    </w:p>
    <w:bookmarkEnd w:id="46"/>
    <w:bookmarkEnd w:id="47"/>
    <w:bookmarkStart w:id="51" w:name="discussion"/>
    <w:p>
      <w:pPr>
        <w:pStyle w:val="Heading1"/>
      </w:pPr>
      <w:r>
        <w:t xml:space="preserve">Discussion</w:t>
      </w:r>
    </w:p>
    <w:bookmarkStart w:id="49" w:name="sec:limits"/>
    <w:p>
      <w:pPr>
        <w:pStyle w:val="Heading2"/>
      </w:pPr>
      <w:r>
        <w:t xml:space="preserve">Limitations: candidate ranking does not transfer to large mechanical parts</w:t>
      </w:r>
    </w:p>
    <w:p>
      <w:pPr>
        <w:pStyle w:val="FirstParagraph"/>
      </w:pPr>
      <w:r>
        <w:t xml:space="preserve">The correlation and warm-start evidence above is drawn from the organic freeform</w:t>
      </w:r>
      <w:r>
        <w:t xml:space="preserve"> </w:t>
      </w:r>
      <w:r>
        <w:t xml:space="preserve">meshes (group C), on which the tensor features predict TOMO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has mean</w:t>
      </w:r>
      <w:r>
        <w:t xml:space="preserve"> </w:t>
      </w:r>
      <w:r>
        <w:t xml:space="preserve">Spearman</w:t>
      </w:r>
      <w:r>
        <w:t xml:space="preserve"> </w:t>
      </w:r>
      <m:oMath>
        <m:r>
          <m:t>0.59</m:t>
        </m:r>
      </m:oMath>
      <w:r>
        <w:t xml:space="preserve">, unified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r>
          <m:t>0.61</m:t>
        </m:r>
      </m:oMath>
      <w:r>
        <w:t xml:space="preserve">). This does not carry over to the large</w:t>
      </w:r>
      <w:r>
        <w:t xml:space="preserve"> </w:t>
      </w:r>
      <w:r>
        <w:t xml:space="preserve">mechanical parts of groups D–E, where the Spearman correlation between every SFTF</w:t>
      </w:r>
      <w:r>
        <w:t xml:space="preserve"> </w:t>
      </w:r>
      <w:r>
        <w:t xml:space="preserve">feature and TOMO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is near zero (for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on D/E and</w:t>
      </w:r>
      <w:r>
        <w:t xml:space="preserve"> </w:t>
      </w:r>
      <m:oMath>
        <m:r>
          <m:rPr>
            <m:sty m:val="p"/>
          </m:rPr>
          <m:t>−</m:t>
        </m:r>
        <m:r>
          <m:t>0.40</m:t>
        </m:r>
      </m:oMath>
      <w:r>
        <w:t xml:space="preserve"> </w:t>
      </w:r>
      <w:r>
        <w:t xml:space="preserve">on</w:t>
      </w:r>
      <w:r>
        <w:t xml:space="preserve"> </w:t>
      </w:r>
      <w:r>
        <w:rPr>
          <w:iCs/>
          <w:i/>
        </w:rPr>
        <w:t xml:space="preserve">Group_E10</w:t>
      </w:r>
      <w:r>
        <w:t xml:space="preserve">). The tuned score then carries essentially no ranking signal, its</w:t>
      </w:r>
      <w:r>
        <w:t xml:space="preserve"> </w:t>
      </w:r>
      <w:r>
        <w:t xml:space="preserve">top-</w:t>
      </w:r>
      <m:oMath>
        <m:r>
          <m:t>20</m:t>
        </m:r>
      </m:oMath>
      <w:r>
        <w:t xml:space="preserve"> </w:t>
      </w:r>
      <w:r>
        <w:t xml:space="preserve">candidates cluster near the</w:t>
      </w:r>
      <w: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non-maximum-suppression floor, and the</w:t>
      </w:r>
      <w:r>
        <w:t xml:space="preserve"> </w:t>
      </w:r>
      <w:r>
        <w:t xml:space="preserve">optimum-covering candidate sits deep in the pool (rank</w:t>
      </w:r>
      <w:r>
        <w:t xml:space="preserve"> </w:t>
      </w:r>
      <m:oMath>
        <m:r>
          <m:t>41</m:t>
        </m:r>
      </m:oMath>
      <w:r>
        <w:t xml:space="preserve">–</w:t>
      </w:r>
      <m:oMath>
        <m:r>
          <m:t>255</m:t>
        </m:r>
      </m:oMath>
      <w:r>
        <w:t xml:space="preserve">, or outside the pool</w:t>
      </w:r>
      <w:r>
        <w:t xml:space="preserve"> </w:t>
      </w:r>
      <w:r>
        <w:t xml:space="preserve">for the</w:t>
      </w:r>
      <w:r>
        <w:t xml:space="preserve"> </w:t>
      </w:r>
      <m:oMath>
        <m:r>
          <m:t>1.04</m:t>
        </m:r>
      </m:oMath>
      <w:r>
        <w:t xml:space="preserve">M-face</w:t>
      </w:r>
      <w:r>
        <w:t xml:space="preserve"> </w:t>
      </w:r>
      <w:r>
        <w:rPr>
          <w:iCs/>
          <w:i/>
        </w:rPr>
        <w:t xml:space="preserve">Group_E2_790253</w:t>
      </w:r>
      <w:r>
        <w:t xml:space="preserve">), which is why AVE must spend a larger</w:t>
      </w:r>
      <w:r>
        <w:t xml:space="preserve"> </w:t>
      </w:r>
      <w:r>
        <w:t xml:space="preserve">budget on group E (Table </w:t>
      </w:r>
      <w:hyperlink w:anchor="tab:ave-g5">
        <w:r>
          <w:rPr>
            <w:rStyle w:val="Hyperlink"/>
          </w:rPr>
          <w:t xml:space="preserve">3</w:t>
        </w:r>
      </w:hyperlink>
      <w:r>
        <w:t xml:space="preserve">). A budget-matched control makes the</w:t>
      </w:r>
      <w:r>
        <w:t xml:space="preserve"> </w:t>
      </w:r>
      <w:r>
        <w:t xml:space="preserve">consequence explicit (Table </w:t>
      </w:r>
      <w:hyperlink w:anchor="tab:budget-matched-g5">
        <w:r>
          <w:rPr>
            <w:rStyle w:val="Hyperlink"/>
          </w:rPr>
          <w:t xml:space="preserve">5</w:t>
        </w:r>
      </w:hyperlink>
      <w:r>
        <w:t xml:space="preserve">): on the large parts a</w:t>
      </w:r>
      <w:r>
        <w:t xml:space="preserve"> </w:t>
      </w:r>
      <w:r>
        <w:t xml:space="preserve">farthest-point uniform-axis seeding clearly outperforms the SFTF ranking.</w:t>
      </w:r>
    </w:p>
    <w:bookmarkStart w:id="48" w:name="tab:budget-matched-g5"/>
    <w:p>
      <w:pPr>
        <w:pStyle w:val="TableCaption"/>
      </w:pPr>
      <w:r>
        <w:t xml:space="preserve">Budget-matched local TOMO controls over the full</w:t>
      </w:r>
      <w:r>
        <w:t xml:space="preserve"> </w:t>
      </w:r>
      <m:oMath>
        <m:r>
          <m:t>21</m:t>
        </m:r>
      </m:oMath>
      <w:r>
        <w:t xml:space="preserve">-mesh ratio-valid set</w:t>
      </w:r>
      <w:r>
        <w:t xml:space="preserve"> </w:t>
      </w:r>
      <w:r>
        <w:t xml:space="preserve">(top-</w:t>
      </w:r>
      <m:oMath>
        <m:r>
          <m:t>20</m:t>
        </m:r>
      </m:oMath>
      <w:r>
        <w:t xml:space="preserve"> </w:t>
      </w:r>
      <w:r>
        <w:t xml:space="preserve">grid-cell budget,</w:t>
      </w:r>
      <w:r>
        <w:t xml:space="preserve"> </w:t>
      </w:r>
      <m:oMath>
        <m:r>
          <m:rPr>
            <m:sty m:val="p"/>
          </m:rPr>
          <m:t>≈</m:t>
        </m:r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grid). On the large</w:t>
      </w:r>
      <w:r>
        <w:t xml:space="preserve"> </w:t>
      </w:r>
      <w:r>
        <w:t xml:space="preserve">mechanical parts, spreading the same budget uniformly beats the SFTF candidate ranking.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Budget-matched local TOMO controls over the full 21-mesh ratio-valid set (top-20 grid-cell budget, \approx 4\% of the 1^\circ grid). On the large mechanical parts, spreading the same budget uniformly beats the SFTF candidate ranking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≤</m:t>
              </m:r>
              <m:r>
                <m:t>2.0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D 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 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SFTF top-</w:t>
            </w:r>
            <m:oMath>
              <m:r>
                <m:t>20</m:t>
              </m:r>
            </m:oMath>
            <w:r>
              <w:t xml:space="preserve"> </w:t>
            </w:r>
            <w:r>
              <w:t xml:space="preserve">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Uniform-axis matched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matched (median)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</w:tr>
    </w:tbl>
    <w:bookmarkEnd w:id="48"/>
    <w:p>
      <w:pPr>
        <w:pStyle w:val="BodyText"/>
      </w:pPr>
      <w:r>
        <w:t xml:space="preserve">We report this openly because an earlier version of this study, before the</w:t>
      </w:r>
      <w:r>
        <w:t xml:space="preserve"> </w:t>
      </w:r>
      <m:oMath>
        <m:r>
          <m:t>16</m:t>
        </m:r>
      </m:oMath>
      <w:r>
        <w:t xml:space="preserve">-bit</w:t>
      </w:r>
      <w:r>
        <w:t xml:space="preserve"> </w:t>
      </w:r>
      <w:r>
        <w:t xml:space="preserve">overflow in the TOMO_CPU voxel accumulator was corrected, excluded all of these large</w:t>
      </w:r>
      <w:r>
        <w:t xml:space="preserve"> </w:t>
      </w:r>
      <w:r>
        <w:t xml:space="preserve">parts as having nonpositive support volume; the corrected data admits them and reveals</w:t>
      </w:r>
      <w:r>
        <w:t xml:space="preserve"> </w:t>
      </w:r>
      <w:r>
        <w:t xml:space="preserve">the limit. A partial explanation is that on mechanical parts the symmetric</w:t>
      </w:r>
      <w:r>
        <w:t xml:space="preserve"> </w:t>
      </w:r>
      <w:r>
        <w:t xml:space="preserve">second-moment tensor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m</m:t>
            </m:r>
          </m:e>
          <m:sub>
            <m:r>
              <m:t>i</m:t>
            </m:r>
          </m:sub>
        </m:sSub>
        <m:sSubSup>
          <m:e>
            <m:r>
              <m:t>m</m:t>
            </m:r>
          </m:e>
          <m:sub>
            <m:r>
              <m:t>i</m:t>
            </m:r>
          </m:sub>
          <m:sup>
            <m:r>
              <m:t>T</m:t>
            </m:r>
          </m:sup>
        </m:sSubSup>
      </m:oMath>
      <w:r>
        <w:t xml:space="preserve"> </w:t>
      </w:r>
      <w:r>
        <w:t xml:space="preserve">of Eq. (1) is actually the more useful</w:t>
      </w:r>
      <w:r>
        <w:t xml:space="preserve"> </w:t>
      </w:r>
      <w:r>
        <w:t xml:space="preserve">predictor: its Rayleigh quotient</w:t>
      </w:r>
      <w:r>
        <w:t xml:space="preserve"> </w:t>
      </w:r>
      <m:oMath>
        <m:sSup>
          <m:e>
            <m:r>
              <m:t>n</m:t>
            </m:r>
          </m:e>
          <m:sup>
            <m:r>
              <m:t>T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has mean Spearman</w:t>
      </w:r>
      <w:r>
        <w:t xml:space="preserve"> </w:t>
      </w:r>
      <m:oMath>
        <m:r>
          <m:t>0.51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over</w:t>
      </w:r>
      <w:r>
        <w:t xml:space="preserve"> </w:t>
      </w:r>
      <w:r>
        <w:t xml:space="preserve">the valid set (versus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for the asymmetric score), though it too fails on a</w:t>
      </w:r>
      <w:r>
        <w:t xml:space="preserve"> </w:t>
      </w:r>
      <w:r>
        <w:t xml:space="preserve">minority of parts and does not by itself beat uniform seeding.</w:t>
      </w:r>
    </w:p>
    <w:bookmarkEnd w:id="49"/>
    <w:bookmarkStart w:id="50" w:name="positioning-and-future-work"/>
    <w:p>
      <w:pPr>
        <w:pStyle w:val="Heading2"/>
      </w:pPr>
      <w:r>
        <w:t xml:space="preserve">Positioning and future work</w:t>
      </w:r>
    </w:p>
    <w:p>
      <w:pPr>
        <w:pStyle w:val="FirstParagraph"/>
      </w:pPr>
      <w:r>
        <w:t xml:space="preserve">The practical takeaway is that SFTF is best positioned as a fast, interpretable</w:t>
      </w:r>
      <w:r>
        <w:t xml:space="preserve"> </w:t>
      </w:r>
      <w:r>
        <w:t xml:space="preserve">candidate generator for organic freeform parts, and as a warm start it should be</w:t>
      </w:r>
      <w:r>
        <w:t xml:space="preserve"> </w:t>
      </w:r>
      <w:r>
        <w:t xml:space="preserve">combined with, not substituted for, broad angular coverage on large mechanical</w:t>
      </w:r>
      <w:r>
        <w:t xml:space="preserve"> </w:t>
      </w:r>
      <w:r>
        <w:t xml:space="preserve">geometries. Most of the predictive power originates from the build-plate penalty and</w:t>
      </w:r>
      <w:r>
        <w:t xml:space="preserve"> </w:t>
      </w:r>
      <w:r>
        <w:t xml:space="preserve">internal-visibility evaluation, and the ground-node reformulation unifies this driver</w:t>
      </w:r>
      <w:r>
        <w:t xml:space="preserve"> </w:t>
      </w:r>
      <w:r>
        <w:t xml:space="preserve">into the tensor contraction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B</m:t>
        </m:r>
      </m:oMath>
      <w:r>
        <w:t xml:space="preserve">, justifying the</w:t>
      </w:r>
      <w:r>
        <w:t xml:space="preserve"> </w:t>
      </w:r>
      <w:r>
        <w:t xml:space="preserve">“</w:t>
      </w:r>
      <w:r>
        <w:t xml:space="preserve">tensor</w:t>
      </w:r>
      <w:r>
        <w:t xml:space="preserve">”</w:t>
      </w:r>
      <w:r>
        <w:t xml:space="preserve"> </w:t>
      </w:r>
      <w:r>
        <w:t xml:space="preserve">formulation.</w:t>
      </w:r>
      <w:r>
        <w:t xml:space="preserve"> </w:t>
      </w:r>
      <w:r>
        <w:t xml:space="preserve">Future work will (i) fit weights by cross-validation rather than on a calibration set;</w:t>
      </w:r>
      <w:r>
        <w:t xml:space="preserve"> </w:t>
      </w:r>
      <w:r>
        <w:t xml:space="preserve">(ii) replace marginal terms with features more correlated with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, such as</w:t>
      </w:r>
      <w:r>
        <w:t xml:space="preserve"> </w:t>
      </w:r>
      <w:r>
        <w:t xml:space="preserve">face-to-face self-support coverage; (iii) normalize the objective terms dimensionally</w:t>
      </w:r>
      <w:r>
        <w:t xml:space="preserve"> </w:t>
      </w:r>
      <w:r>
        <w:t xml:space="preserve">to secure transferable weights; (iv) add projection-area, print-height, and</w:t>
      </w:r>
      <w:r>
        <w:t xml:space="preserve"> </w:t>
      </w:r>
      <w:r>
        <w:t xml:space="preserve">contact-stability terms toward multi-objective orientation optimization; and (v)</w:t>
      </w:r>
      <w:r>
        <w:t xml:space="preserve"> </w:t>
      </w:r>
      <w:r>
        <w:t xml:space="preserve">extend to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-dependent candidate generation, since the TOMO optimum shifts with</w:t>
      </w:r>
      <w:r>
        <w:t xml:space="preserve"> </w:t>
      </w:r>
      <w:r>
        <w:t xml:space="preserve">the critical angle while current SFTF candidates are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-invariant. For cases</w:t>
      </w:r>
      <w:r>
        <w:t xml:space="preserve"> </w:t>
      </w:r>
      <w:r>
        <w:t xml:space="preserve">lacking a stable near-optimal basin among the top-</w:t>
      </w:r>
      <m:oMath>
        <m:r>
          <m:t>K</m:t>
        </m:r>
      </m:oMath>
      <w:r>
        <w:t xml:space="preserve"> </w:t>
      </w:r>
      <w:r>
        <w:t xml:space="preserve">candidates, AVE provides an</w:t>
      </w:r>
      <w:r>
        <w:t xml:space="preserve"> </w:t>
      </w:r>
      <w:r>
        <w:t xml:space="preserve">automatic escalation path whose thresholds will be refined on a larger</w:t>
      </w:r>
      <w:r>
        <w:t xml:space="preserve"> </w:t>
      </w:r>
      <w:r>
        <w:t xml:space="preserve">family-held-out validation set.</w:t>
      </w:r>
    </w:p>
    <w:bookmarkEnd w:id="50"/>
    <w:bookmarkEnd w:id="51"/>
    <w:bookmarkStart w:id="52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This study proposed a direction-evaluation method combining the Support Flow Tensor</w:t>
      </w:r>
      <w:r>
        <w:t xml:space="preserve"> </w:t>
      </w:r>
      <w:r>
        <w:t xml:space="preserve">Field with a build-plate penalty for build-orientation screening in additive</w:t>
      </w:r>
      <w:r>
        <w:t xml:space="preserve"> </w:t>
      </w:r>
      <w:r>
        <w:t xml:space="preserve">manufacturing. SFTF directly computes an asymmetric support-flow tensor for each</w:t>
      </w:r>
      <w:r>
        <w:t xml:space="preserve"> </w:t>
      </w:r>
      <w:r>
        <w:t xml:space="preserve">candidate direction and forms the objective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+</m:t>
        </m:r>
        <m:r>
          <m:t>B</m:t>
        </m:r>
      </m:oMath>
      <w:r>
        <w:t xml:space="preserve">, then selects promising</w:t>
      </w:r>
      <w:r>
        <w:t xml:space="preserve"> </w:t>
      </w:r>
      <w:r>
        <w:t xml:space="preserve">orientations by rank-normalized tuning for slicer/TOMO verification. On organic</w:t>
      </w:r>
      <w:r>
        <w:t xml:space="preserve"> </w:t>
      </w:r>
      <w:r>
        <w:t xml:space="preserve">freeform parts, verifying the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neighborhoods of only the top-</w:t>
      </w:r>
      <m:oMath>
        <m:r>
          <m:t>20</m:t>
        </m:r>
      </m:oMath>
      <w:r>
        <w:t xml:space="preserve"> </w:t>
      </w:r>
      <w:r>
        <w:t xml:space="preserve">candidates recovers a mean support-volume ratio of</w:t>
      </w:r>
      <w:r>
        <w:t xml:space="preserve"> </w:t>
      </w:r>
      <m:oMath>
        <m:r>
          <m:t>1.14</m:t>
        </m:r>
      </m:oMath>
      <w:r>
        <w:t xml:space="preserve"> </w:t>
      </w:r>
      <w:r>
        <w:t xml:space="preserve">(maximum</w:t>
      </w:r>
      <w:r>
        <w:t xml:space="preserve"> </w:t>
      </w:r>
      <m:oMath>
        <m:r>
          <m:t>1.66</m:t>
        </m:r>
      </m:oMath>
      <w:r>
        <w:t xml:space="preserve">) while</w:t>
      </w:r>
      <w:r>
        <w:t xml:space="preserve"> </w:t>
      </w:r>
      <w:r>
        <w:t xml:space="preserve">inspecting</w:t>
      </w:r>
      <w:r>
        <w:t xml:space="preserve"> </w:t>
      </w:r>
      <m:oMath>
        <m:r>
          <m:t>3.40</m:t>
        </m:r>
        <m:r>
          <m:rPr>
            <m:sty m:val="p"/>
          </m:rPr>
          <m:t>%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grid, and AVE automatically widens this budget</w:t>
      </w:r>
      <w:r>
        <w:t xml:space="preserve"> </w:t>
      </w:r>
      <w:r>
        <w:t xml:space="preserve">only for detected hard cases. The build-plate penalty is exactly the Rayleigh</w:t>
      </w:r>
      <w:r>
        <w:t xml:space="preserve"> </w:t>
      </w:r>
      <w:r>
        <w:t xml:space="preserve">contribution of a virtual ground node added to the flow tensor, unifying the dominant</w:t>
      </w:r>
      <w:r>
        <w:t xml:space="preserve"> </w:t>
      </w:r>
      <w:r>
        <w:t xml:space="preserve">predictor into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B</m:t>
        </m:r>
      </m:oMath>
      <w:r>
        <w:t xml:space="preserve">. On large mechanical parts, however, the tensor features</w:t>
      </w:r>
      <w:r>
        <w:t xml:space="preserve"> </w:t>
      </w:r>
      <w:r>
        <w:t xml:space="preserve">no longer predict support volume and a budget-matched uniform control outperforms the</w:t>
      </w:r>
      <w:r>
        <w:t xml:space="preserve"> </w:t>
      </w:r>
      <w:r>
        <w:t xml:space="preserve">ranking, so SFTF is best used as an interpretable warm start for organic parts rather</w:t>
      </w:r>
      <w:r>
        <w:t xml:space="preserve"> </w:t>
      </w:r>
      <w:r>
        <w:t xml:space="preserve">than as a general replacement for broad coverage.</w:t>
      </w:r>
    </w:p>
    <w:bookmarkEnd w:id="52"/>
    <w:bookmarkStart w:id="54" w:name="acknowledgments"/>
    <w:p>
      <w:pPr>
        <w:pStyle w:val="Heading1"/>
      </w:pPr>
      <w:r>
        <w:t xml:space="preserve">Acknowledgments</w:t>
      </w:r>
    </w:p>
    <w:bookmarkStart w:id="53" w:name="use-of-ai-assisted-tools."/>
    <w:p>
      <w:pPr>
        <w:pStyle w:val="Heading4"/>
      </w:pPr>
      <w:r>
        <w:t xml:space="preserve">Use of AI-assisted tools.</w:t>
      </w:r>
    </w:p>
    <w:p>
      <w:pPr>
        <w:pStyle w:val="FirstParagraph"/>
      </w:pPr>
      <w:r>
        <w:t xml:space="preserve">AI coding assistants, including OpenAI Codex and Anthropic Claude Code, were used to</w:t>
      </w:r>
      <w:r>
        <w:t xml:space="preserve"> </w:t>
      </w:r>
      <w:r>
        <w:t xml:space="preserve">assist with portions of the research-code implementation, figure-generation scripts,</w:t>
      </w:r>
      <w:r>
        <w:t xml:space="preserve"> </w:t>
      </w:r>
      <w:r>
        <w:t xml:space="preserve">and manuscript-support automation. All generated code, experimental results, and</w:t>
      </w:r>
      <w:r>
        <w:t xml:space="preserve"> </w:t>
      </w:r>
      <w:r>
        <w:t xml:space="preserve">manuscript changes were reviewed and validated by the author(s), who take full</w:t>
      </w:r>
      <w:r>
        <w:t xml:space="preserve"> </w:t>
      </w:r>
      <w:r>
        <w:t xml:space="preserve">responsibility for the correctness of the methodology, data, results, and conclusions.</w:t>
      </w:r>
      <w:r>
        <w:t xml:space="preserve"> </w:t>
      </w:r>
      <w:r>
        <w:t xml:space="preserve">No generative AI was used to generate research data, figures presented as novel</w:t>
      </w:r>
      <w:r>
        <w:t xml:space="preserve"> </w:t>
      </w:r>
      <w:r>
        <w:t xml:space="preserve">research images, or references.</w:t>
      </w:r>
    </w:p>
    <w:bookmarkEnd w:id="53"/>
    <w:bookmarkEnd w:id="54"/>
    <w:bookmarkStart w:id="55" w:name="author-contributions"/>
    <w:p>
      <w:pPr>
        <w:pStyle w:val="Heading1"/>
      </w:pPr>
      <w:r>
        <w:t xml:space="preserve">Author Contributions</w:t>
      </w:r>
    </w:p>
    <w:p>
      <w:pPr>
        <w:pStyle w:val="FirstParagraph"/>
      </w:pPr>
      <w:r>
        <w:rPr>
          <w:bCs/>
          <w:b/>
        </w:rPr>
        <w:t xml:space="preserve">InHwan Sul:</w:t>
      </w:r>
      <w:r>
        <w:t xml:space="preserve"> </w:t>
      </w:r>
      <w:r>
        <w:t xml:space="preserve">Conceptualization, Methodology, Software, Validation, Formal</w:t>
      </w:r>
      <w:r>
        <w:t xml:space="preserve"> </w:t>
      </w:r>
      <w:r>
        <w:t xml:space="preserve">analysis, Investigation, Data curation, Writing – original draft, Writing –</w:t>
      </w:r>
      <w:r>
        <w:t xml:space="preserve"> </w:t>
      </w:r>
      <w:r>
        <w:t xml:space="preserve">review &amp; editing, Visualization, Funding acquisition.</w:t>
      </w:r>
    </w:p>
    <w:bookmarkEnd w:id="55"/>
    <w:bookmarkStart w:id="62" w:name="statements-and-declarations"/>
    <w:p>
      <w:pPr>
        <w:pStyle w:val="Heading1"/>
      </w:pPr>
      <w:r>
        <w:t xml:space="preserve">Statements and Declarations</w:t>
      </w:r>
    </w:p>
    <w:bookmarkStart w:id="56" w:name="ethical-considerations."/>
    <w:p>
      <w:pPr>
        <w:pStyle w:val="Heading4"/>
      </w:pPr>
      <w:r>
        <w:t xml:space="preserve">Ethical considerations.</w:t>
      </w:r>
    </w:p>
    <w:p>
      <w:pPr>
        <w:pStyle w:val="FirstParagraph"/>
      </w:pPr>
      <w:r>
        <w:t xml:space="preserve">Not applicable (no human participants, human data,</w:t>
      </w:r>
      <w:r>
        <w:t xml:space="preserve"> </w:t>
      </w:r>
      <w:r>
        <w:t xml:space="preserve">human tissue, or animals).</w:t>
      </w:r>
    </w:p>
    <w:bookmarkEnd w:id="56"/>
    <w:bookmarkStart w:id="57" w:name="consent-to-participate."/>
    <w:p>
      <w:pPr>
        <w:pStyle w:val="Heading4"/>
      </w:pPr>
      <w:r>
        <w:t xml:space="preserve">Consent to participate.</w:t>
      </w:r>
    </w:p>
    <w:p>
      <w:pPr>
        <w:pStyle w:val="FirstParagraph"/>
      </w:pPr>
      <w:r>
        <w:t xml:space="preserve">Not applicable.</w:t>
      </w:r>
    </w:p>
    <w:bookmarkEnd w:id="57"/>
    <w:bookmarkStart w:id="58" w:name="consent-for-publication."/>
    <w:p>
      <w:pPr>
        <w:pStyle w:val="Heading4"/>
      </w:pPr>
      <w:r>
        <w:t xml:space="preserve">Consent for publication.</w:t>
      </w:r>
    </w:p>
    <w:p>
      <w:pPr>
        <w:pStyle w:val="FirstParagraph"/>
      </w:pPr>
      <w:r>
        <w:t xml:space="preserve">Not applicable.</w:t>
      </w:r>
    </w:p>
    <w:bookmarkEnd w:id="58"/>
    <w:bookmarkStart w:id="59" w:name="declaration-of-conflicting-interest."/>
    <w:p>
      <w:pPr>
        <w:pStyle w:val="Heading4"/>
      </w:pPr>
      <w:r>
        <w:t xml:space="preserve">Declaration of conflicting interest.</w:t>
      </w:r>
    </w:p>
    <w:p>
      <w:pPr>
        <w:pStyle w:val="FirstParagraph"/>
      </w:pPr>
      <w:r>
        <w:t xml:space="preserve">The author(s) declared no potential conflicts of interest with respect to the</w:t>
      </w:r>
      <w:r>
        <w:t xml:space="preserve"> </w:t>
      </w:r>
      <w:r>
        <w:t xml:space="preserve">research, authorship, and/or publication of this article.</w:t>
      </w:r>
    </w:p>
    <w:bookmarkEnd w:id="59"/>
    <w:bookmarkStart w:id="60" w:name="funding-statement."/>
    <w:p>
      <w:pPr>
        <w:pStyle w:val="Heading4"/>
      </w:pPr>
      <w:r>
        <w:t xml:space="preserve">Funding statement.</w:t>
      </w:r>
    </w:p>
    <w:p>
      <w:pPr>
        <w:pStyle w:val="FirstParagraph"/>
      </w:pPr>
      <w:r>
        <w:t xml:space="preserve">This work was supported by the National Research Foundation of Korea (NRF) grant</w:t>
      </w:r>
      <w:r>
        <w:t xml:space="preserve"> </w:t>
      </w:r>
      <w:r>
        <w:t xml:space="preserve">funded by the Korean government (MSIT) (NRF-2022R1A2C1010072).</w:t>
      </w:r>
    </w:p>
    <w:bookmarkEnd w:id="60"/>
    <w:bookmarkStart w:id="61" w:name="data-availability."/>
    <w:p>
      <w:pPr>
        <w:pStyle w:val="Heading4"/>
      </w:pPr>
      <w:r>
        <w:t xml:space="preserve">Data availability.</w:t>
      </w:r>
    </w:p>
    <w:p>
      <w:pPr>
        <w:pStyle w:val="FirstParagraph"/>
      </w:pPr>
      <w:r>
        <w:t xml:space="preserve">The datasets and code generated and analysed during the current study are available</w:t>
      </w:r>
      <w:r>
        <w:t xml:space="preserve"> </w:t>
      </w:r>
      <w:r>
        <w:t xml:space="preserve">from the corresponding author on reasonable request. Third-party mesh models should</w:t>
      </w:r>
      <w:r>
        <w:t xml:space="preserve"> </w:t>
      </w:r>
      <w:r>
        <w:t xml:space="preserve">be obtained from their original sources under their respective licenses.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urlstyle</w:t>
      </w:r>
    </w:p>
    <w:p>
      <w:pPr>
        <w:pStyle w:val="BodyText"/>
      </w:pPr>
      <w:r>
        <w:t xml:space="preserve">Ian Gibson, David Rosen, and Brent Stucker.</w:t>
      </w:r>
      <w:r>
        <w:t xml:space="preserve"> </w:t>
      </w:r>
      <w:r>
        <w:rPr>
          <w:iCs/>
          <w:i/>
        </w:rPr>
        <w:t xml:space="preserve">Additive Manufacturing Technologies</w:t>
      </w:r>
      <w:r>
        <w:t xml:space="preserve">.</w:t>
      </w:r>
      <w:r>
        <w:t xml:space="preserve"> </w:t>
      </w:r>
      <w:r>
        <w:t xml:space="preserve">Springer, New York, 2 edition, 2015.</w:t>
      </w:r>
    </w:p>
    <w:p>
      <w:pPr>
        <w:pStyle w:val="BodyText"/>
      </w:pPr>
      <w:r>
        <w:t xml:space="preserve">Paramita Das, Kunal Mhapsekar, Souran Chowdhury, Rutuja Samant, and Sam Anand.</w:t>
      </w:r>
      <w:r>
        <w:t xml:space="preserve"> </w:t>
      </w:r>
      <w:r>
        <w:t xml:space="preserve">Selection of build orientation for optimal support structures and</w:t>
      </w:r>
      <w:r>
        <w:t xml:space="preserve"> </w:t>
      </w:r>
      <w:r>
        <w:t xml:space="preserve">minimum part errors in additive manufacturing.</w:t>
      </w:r>
      <w:r>
        <w:t xml:space="preserve"> </w:t>
      </w:r>
      <w:r>
        <w:rPr>
          <w:iCs/>
          <w:i/>
        </w:rPr>
        <w:t xml:space="preserve">Computer-Aided Design and Applications</w:t>
      </w:r>
      <w:r>
        <w:t xml:space="preserve">, 14</w:t>
      </w:r>
      <w:r>
        <w:t xml:space="preserve"> </w:t>
      </w:r>
      <w:r>
        <w:t xml:space="preserve">(sup1): 1–13, 2017.</w:t>
      </w:r>
      <w:r>
        <w:t xml:space="preserve"> </w:t>
      </w:r>
      <w:r>
        <w:t xml:space="preserve">doi: 10.1080/16864360.2017.1308074.</w:t>
      </w:r>
    </w:p>
    <w:p>
      <w:pPr>
        <w:pStyle w:val="BodyText"/>
      </w:pPr>
      <w:r>
        <w:t xml:space="preserve">Charlie C. L. Wang, Yong-Shun Leung, and Yong Chen.</w:t>
      </w:r>
      <w:r>
        <w:t xml:space="preserve"> </w:t>
      </w:r>
      <w:r>
        <w:t xml:space="preserve">Solid modeling of polyhedral objects by layered depth-normal images</w:t>
      </w:r>
      <w:r>
        <w:t xml:space="preserve"> </w:t>
      </w:r>
      <w:r>
        <w:t xml:space="preserve">on the</w:t>
      </w:r>
      <w:r>
        <w:t xml:space="preserve"> </w:t>
      </w:r>
      <w:r>
        <w:t xml:space="preserve">GPU</w:t>
      </w:r>
      <w:r>
        <w:t xml:space="preserve">.</w:t>
      </w:r>
      <w:r>
        <w:t xml:space="preserve"> </w:t>
      </w:r>
      <w:r>
        <w:rPr>
          <w:iCs/>
          <w:i/>
        </w:rPr>
        <w:t xml:space="preserve">Computer-Aided Design</w:t>
      </w:r>
      <w:r>
        <w:t xml:space="preserve">, 42 (6): 535–544,</w:t>
      </w:r>
      <w:r>
        <w:t xml:space="preserve"> </w:t>
      </w:r>
      <w:r>
        <w:t xml:space="preserve">2010.</w:t>
      </w:r>
      <w:r>
        <w:t xml:space="preserve"> </w:t>
      </w:r>
      <w:r>
        <w:t xml:space="preserve">doi: 10.1016/j.cad.2010.02.001.</w:t>
      </w:r>
    </w:p>
    <w:p>
      <w:pPr>
        <w:pStyle w:val="BodyText"/>
      </w:pPr>
      <w:r>
        <w:t xml:space="preserve">Benjamin Vaissier, Jean-Philippe Pernot, Laurent Chougrani, and Philippe</w:t>
      </w:r>
      <w:r>
        <w:t xml:space="preserve"> </w:t>
      </w:r>
      <w:r>
        <w:t xml:space="preserve">V</w:t>
      </w:r>
      <w:r>
        <w:t xml:space="preserve">é</w:t>
      </w:r>
      <w:r>
        <w:t xml:space="preserve">ron.</w:t>
      </w:r>
      <w:r>
        <w:t xml:space="preserve"> </w:t>
      </w:r>
      <w:r>
        <w:t xml:space="preserve">Genetic-algorithm based framework for lattice support structure</w:t>
      </w:r>
      <w:r>
        <w:t xml:space="preserve"> </w:t>
      </w:r>
      <w:r>
        <w:t xml:space="preserve">optimization in additive manufacturing.</w:t>
      </w:r>
      <w:r>
        <w:t xml:space="preserve"> </w:t>
      </w:r>
      <w:r>
        <w:rPr>
          <w:iCs/>
          <w:i/>
        </w:rPr>
        <w:t xml:space="preserve">Computer-Aided Design</w:t>
      </w:r>
      <w:r>
        <w:t xml:space="preserve">, 110: 11–23, 2019.</w:t>
      </w:r>
      <w:r>
        <w:t xml:space="preserve"> </w:t>
      </w:r>
      <w:r>
        <w:t xml:space="preserve">doi: 10.1016/j.cad.2018.12.007.</w:t>
      </w:r>
    </w:p>
    <w:p>
      <w:pPr>
        <w:pStyle w:val="BodyText"/>
      </w:pPr>
      <w:r>
        <w:t xml:space="preserve">Jingchao Jiang, Jonathan Stringer, Xun Xu, and Ray Y. Zhong.</w:t>
      </w:r>
      <w:r>
        <w:t xml:space="preserve"> </w:t>
      </w:r>
      <w:r>
        <w:t xml:space="preserve">Investigation of printable threshold overhang angle in</w:t>
      </w:r>
      <w:r>
        <w:t xml:space="preserve"> </w:t>
      </w:r>
      <w:r>
        <w:t xml:space="preserve">extrusion-based additive manufacturing for reducing support waste.</w:t>
      </w:r>
      <w:r>
        <w:t xml:space="preserve"> </w:t>
      </w:r>
      <w:r>
        <w:rPr>
          <w:iCs/>
          <w:i/>
        </w:rPr>
        <w:t xml:space="preserve">International Journal of Computer Integrated Manufacturing</w:t>
      </w:r>
      <w:r>
        <w:t xml:space="preserve">,</w:t>
      </w:r>
      <w:r>
        <w:t xml:space="preserve"> </w:t>
      </w:r>
      <w:r>
        <w:t xml:space="preserve">31 (10): 961–969, 2018.</w:t>
      </w:r>
      <w:r>
        <w:t xml:space="preserve"> </w:t>
      </w:r>
      <w:r>
        <w:t xml:space="preserve">doi: 10.1080/0951192X.2018.1466398.</w:t>
      </w:r>
    </w:p>
    <w:p>
      <w:pPr>
        <w:pStyle w:val="BodyText"/>
      </w:pPr>
      <w:r>
        <w:t xml:space="preserve">Amir M. Mirzendehdel and Krishnan Suresh.</w:t>
      </w:r>
      <w:r>
        <w:t xml:space="preserve"> </w:t>
      </w:r>
      <w:r>
        <w:t xml:space="preserve">Support structure constrained topology optimization for additive</w:t>
      </w:r>
      <w:r>
        <w:t xml:space="preserve"> </w:t>
      </w:r>
      <w:r>
        <w:t xml:space="preserve">manufacturing.</w:t>
      </w:r>
      <w:r>
        <w:t xml:space="preserve"> </w:t>
      </w:r>
      <w:r>
        <w:rPr>
          <w:iCs/>
          <w:i/>
        </w:rPr>
        <w:t xml:space="preserve">Computer-Aided Design</w:t>
      </w:r>
      <w:r>
        <w:t xml:space="preserve">, 81: 1–13, 2016.</w:t>
      </w:r>
      <w:r>
        <w:t xml:space="preserve"> </w:t>
      </w:r>
      <w:r>
        <w:t xml:space="preserve">doi: 10.1016/j.cad.2016.07.006.</w:t>
      </w:r>
    </w:p>
    <w:p>
      <w:pPr>
        <w:pStyle w:val="BodyText"/>
      </w:pPr>
      <w:r>
        <w:t xml:space="preserve">Matthijs Langelaar.</w:t>
      </w:r>
      <w:r>
        <w:t xml:space="preserve"> </w:t>
      </w:r>
      <w:r>
        <w:t xml:space="preserve">Combined optimization of part topology, support structure layout and</w:t>
      </w:r>
      <w:r>
        <w:t xml:space="preserve"> </w:t>
      </w:r>
      <w:r>
        <w:t xml:space="preserve">build orientation for additive manufacturing.</w:t>
      </w:r>
      <w:r>
        <w:t xml:space="preserve"> </w:t>
      </w:r>
      <w:r>
        <w:rPr>
          <w:iCs/>
          <w:i/>
        </w:rPr>
        <w:t xml:space="preserve">Structural and Multidisciplinary Optimization</w:t>
      </w:r>
      <w:r>
        <w:t xml:space="preserve">, 57</w:t>
      </w:r>
      <w:r>
        <w:t xml:space="preserve"> </w:t>
      </w:r>
      <w:r>
        <w:t xml:space="preserve">(5): 1985–2004, 2018.</w:t>
      </w:r>
      <w:r>
        <w:t xml:space="preserve"> </w:t>
      </w:r>
      <w:r>
        <w:t xml:space="preserve">doi: 10.1007/s00158-017-1877-z.</w:t>
      </w:r>
    </w:p>
    <w:p>
      <w:pPr>
        <w:pStyle w:val="BodyText"/>
      </w:pPr>
      <w:r>
        <w:t xml:space="preserve">Chengkai Dai, Charlie C. L. Wang, Chenming Wu, Sylvain Lefebvre, Guoxin Fang,</w:t>
      </w:r>
      <w:r>
        <w:t xml:space="preserve"> </w:t>
      </w:r>
      <w:r>
        <w:t xml:space="preserve">and Yong-Jin Liu.</w:t>
      </w:r>
      <w:r>
        <w:t xml:space="preserve"> </w:t>
      </w:r>
      <w:r>
        <w:t xml:space="preserve">Support-free volume printing by multi-axis motion.</w:t>
      </w:r>
      <w:r>
        <w:t xml:space="preserve"> </w:t>
      </w:r>
      <w:r>
        <w:rPr>
          <w:iCs/>
          <w:i/>
        </w:rPr>
        <w:t xml:space="preserve">ACM Transactions on Graphics</w:t>
      </w:r>
      <w:r>
        <w:t xml:space="preserve">, 37 (4): 1–14,</w:t>
      </w:r>
      <w:r>
        <w:t xml:space="preserve"> </w:t>
      </w:r>
      <w:r>
        <w:t xml:space="preserve">2018.</w:t>
      </w:r>
      <w:r>
        <w:t xml:space="preserve"> </w:t>
      </w:r>
      <w:r>
        <w:t xml:space="preserve">doi: 10.1145/3197517.3201342.</w:t>
      </w:r>
    </w:p>
    <w:p>
      <w:pPr>
        <w:pStyle w:val="BodyText"/>
      </w:pPr>
      <w:r>
        <w:t xml:space="preserve">Ben Ezair, Fady Massarwi, and Gershon Elber.</w:t>
      </w:r>
      <w:r>
        <w:t xml:space="preserve"> </w:t>
      </w:r>
      <w:r>
        <w:t xml:space="preserve">Orientation analysis of</w:t>
      </w:r>
      <w:r>
        <w:t xml:space="preserve"> </w:t>
      </w:r>
      <w:r>
        <w:t xml:space="preserve">3D</w:t>
      </w:r>
      <w:r>
        <w:t xml:space="preserve"> </w:t>
      </w:r>
      <w:r>
        <w:t xml:space="preserve">objects toward minimal support volume in</w:t>
      </w:r>
      <w:r>
        <w:t xml:space="preserve"> </w:t>
      </w:r>
      <w:r>
        <w:t xml:space="preserve">3D</w:t>
      </w:r>
      <w:r>
        <w:t xml:space="preserve">-printing.</w:t>
      </w:r>
      <w:r>
        <w:t xml:space="preserve"> </w:t>
      </w:r>
      <w:r>
        <w:rPr>
          <w:iCs/>
          <w:i/>
        </w:rPr>
        <w:t xml:space="preserve">Computers &amp; Graphics</w:t>
      </w:r>
      <w:r>
        <w:t xml:space="preserve">, 51: 117–124, 2015.</w:t>
      </w:r>
      <w:r>
        <w:t xml:space="preserve"> </w:t>
      </w:r>
      <w:r>
        <w:t xml:space="preserve">doi: 10.1016/j.cag.2015.05.009.</w:t>
      </w:r>
    </w:p>
    <w:p>
      <w:pPr>
        <w:pStyle w:val="BodyText"/>
      </w:pPr>
      <w:r>
        <w:t xml:space="preserve">Jae Yeol Jung, Seokjae Chee, and In Hwan Sul.</w:t>
      </w:r>
      <w:r>
        <w:t xml:space="preserve"> </w:t>
      </w:r>
      <w:r>
        <w:t xml:space="preserve">Support structure tomography using per-pixel signed shadow casting in</w:t>
      </w:r>
      <w:r>
        <w:t xml:space="preserve"> </w:t>
      </w:r>
      <w:r>
        <w:t xml:space="preserve">human manikin</w:t>
      </w:r>
      <w:r>
        <w:t xml:space="preserve"> </w:t>
      </w:r>
      <w:r>
        <w:t xml:space="preserve">3D</w:t>
      </w:r>
      <w:r>
        <w:t xml:space="preserve"> </w:t>
      </w:r>
      <w:r>
        <w:t xml:space="preserve">printing.</w:t>
      </w:r>
      <w:r>
        <w:t xml:space="preserve"> </w:t>
      </w:r>
      <w:r>
        <w:rPr>
          <w:iCs/>
          <w:i/>
        </w:rPr>
        <w:t xml:space="preserve">Fashion and Textiles</w:t>
      </w:r>
      <w:r>
        <w:t xml:space="preserve">, 9 (1): 1–18, 2022.</w:t>
      </w:r>
      <w:r>
        <w:t xml:space="preserve"> </w:t>
      </w:r>
      <w:r>
        <w:t xml:space="preserve">doi: 10.1186/s40691-022-00290-z.</w:t>
      </w:r>
    </w:p>
    <w:p>
      <w:pPr>
        <w:pStyle w:val="BodyText"/>
      </w:pPr>
      <w:r>
        <w:t xml:space="preserve">Jae Ryoung Kim and In Hwan Sul.</w:t>
      </w:r>
      <w:r>
        <w:t xml:space="preserve"> </w:t>
      </w:r>
      <w:r>
        <w:t xml:space="preserve">Fast prediction of</w:t>
      </w:r>
      <w:r>
        <w:t xml:space="preserve"> </w:t>
      </w:r>
      <w:r>
        <w:t xml:space="preserve">3D</w:t>
      </w:r>
      <w:r>
        <w:t xml:space="preserve"> </w:t>
      </w:r>
      <w:r>
        <w:t xml:space="preserve">printing optimal orientation using</w:t>
      </w:r>
      <w:r>
        <w:t xml:space="preserve"> </w:t>
      </w:r>
      <w:r>
        <w:t xml:space="preserve">general-purpose graphic processor unit calculation.</w:t>
      </w:r>
      <w:r>
        <w:t xml:space="preserve"> </w:t>
      </w:r>
      <w:r>
        <w:rPr>
          <w:iCs/>
          <w:i/>
        </w:rPr>
        <w:t xml:space="preserve">3D Printing and Additive Manufacturing</w:t>
      </w:r>
      <w:r>
        <w:t xml:space="preserve">, 13</w:t>
      </w:r>
      <w:r>
        <w:t xml:space="preserve"> </w:t>
      </w:r>
      <w:r>
        <w:t xml:space="preserve">(1): 50–62, 2026.</w:t>
      </w:r>
      <w:r>
        <w:t xml:space="preserve"> </w:t>
      </w:r>
      <w:r>
        <w:t xml:space="preserve">doi: 10.1089/3dp.2024.0165.</w:t>
      </w:r>
    </w:p>
    <w:p>
      <w:pPr>
        <w:pStyle w:val="BodyText"/>
      </w:pPr>
      <w:r>
        <w:t xml:space="preserve">Andrew T. Gaynor, Nicholas A. Meisel, Christopher B. Williams, and James K.</w:t>
      </w:r>
      <w:r>
        <w:t xml:space="preserve"> </w:t>
      </w:r>
      <w:r>
        <w:t xml:space="preserve">Guest.</w:t>
      </w:r>
      <w:r>
        <w:t xml:space="preserve"> </w:t>
      </w:r>
      <w:r>
        <w:t xml:space="preserve">Topology optimization for additive manufacturing: Considering maximum</w:t>
      </w:r>
      <w:r>
        <w:t xml:space="preserve"> </w:t>
      </w:r>
      <w:r>
        <w:t xml:space="preserve">overhang constraint.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15th AIAA/ISSMO Multidisciplinary Analysis and Optimization</w:t>
      </w:r>
      <w:r>
        <w:rPr>
          <w:iCs/>
          <w:i/>
        </w:rPr>
        <w:t xml:space="preserve"> </w:t>
      </w:r>
      <w:r>
        <w:rPr>
          <w:iCs/>
          <w:i/>
        </w:rPr>
        <w:t xml:space="preserve">Conference</w:t>
      </w:r>
      <w:r>
        <w:t xml:space="preserve">, page 2036, 2014.</w:t>
      </w:r>
      <w:r>
        <w:t xml:space="preserve"> </w:t>
      </w:r>
      <w:r>
        <w:t xml:space="preserve">doi: 10.2514/6.2014-2036.</w:t>
      </w:r>
    </w:p>
    <w:p>
      <w:pPr>
        <w:pStyle w:val="BodyText"/>
      </w:pPr>
      <w:r>
        <w:t xml:space="preserve">Harald Garcke, Kei Fong Lam, Robert N</w:t>
      </w:r>
      <w:r>
        <w:t xml:space="preserve">ü</w:t>
      </w:r>
      <w:r>
        <w:t xml:space="preserve">rnberg, and Andrea Signori.</w:t>
      </w:r>
      <w:r>
        <w:t xml:space="preserve"> </w:t>
      </w:r>
      <w:r>
        <w:t xml:space="preserve">Overhang penalization in additive manufacturing via phase field</w:t>
      </w:r>
      <w:r>
        <w:t xml:space="preserve"> </w:t>
      </w:r>
      <w:r>
        <w:t xml:space="preserve">structural topology optimization with anisotropic energies.</w:t>
      </w:r>
      <w:r>
        <w:t xml:space="preserve"> </w:t>
      </w:r>
      <w:r>
        <w:rPr>
          <w:iCs/>
          <w:i/>
        </w:rPr>
        <w:t xml:space="preserve">Applied Mathematics &amp; Optimization</w:t>
      </w:r>
      <w:r>
        <w:t xml:space="preserve">, 87 (3):</w:t>
      </w:r>
      <w:r>
        <w:t xml:space="preserve"> </w:t>
      </w:r>
      <w:r>
        <w:t xml:space="preserve">44, 2023.</w:t>
      </w:r>
      <w:r>
        <w:t xml:space="preserve"> </w:t>
      </w:r>
      <w:r>
        <w:t xml:space="preserve">doi: 10.1007/s00245-022-09939-z.</w:t>
      </w:r>
    </w:p>
    <w:p>
      <w:pPr>
        <w:pStyle w:val="BodyText"/>
      </w:pPr>
      <w:r>
        <w:t xml:space="preserve">Seungheon Shin, Yujin Park, and Gil Ho Yoon.</w:t>
      </w:r>
      <w:r>
        <w:t xml:space="preserve"> </w:t>
      </w:r>
      <w:r>
        <w:t xml:space="preserve">Topology optimization for multi-axis additive manufacturing</w:t>
      </w:r>
      <w:r>
        <w:t xml:space="preserve"> </w:t>
      </w:r>
      <w:r>
        <w:t xml:space="preserve">considering overhang and anisotropy.</w:t>
      </w:r>
      <w:r>
        <w:t xml:space="preserve"> </w:t>
      </w:r>
      <w:r>
        <w:rPr>
          <w:iCs/>
          <w:i/>
        </w:rPr>
        <w:t xml:space="preserve">International Journal of Mechanical Sciences</w:t>
      </w:r>
      <w:r>
        <w:t xml:space="preserve">, 301:</w:t>
      </w:r>
      <w:r>
        <w:t xml:space="preserve"> </w:t>
      </w:r>
      <w:r>
        <w:t xml:space="preserve">110443, 2025.</w:t>
      </w:r>
      <w:r>
        <w:t xml:space="preserve"> </w:t>
      </w:r>
      <w:r>
        <w:t xml:space="preserve">doi: 10.1016/j.ijmecsci.2025.110443.</w:t>
      </w:r>
    </w:p>
    <w:p>
      <w:pPr>
        <w:pStyle w:val="BodyText"/>
      </w:pPr>
      <w:r>
        <w:t xml:space="preserve">Robert Smith and Michael C. Hollenbeck.</w:t>
      </w:r>
      <w:r>
        <w:t xml:space="preserve"> </w:t>
      </w:r>
      <w:r>
        <w:t xml:space="preserve">Build orientation for additive manufacturing of complex structures.</w:t>
      </w:r>
      <w:r>
        <w:t xml:space="preserve"> </w:t>
      </w:r>
      <w:r>
        <w:t xml:space="preserve">U.S. Patent No. 12,343,928, 2025.</w:t>
      </w:r>
      <w:r>
        <w:t xml:space="preserve"> </w:t>
      </w:r>
      <w:r>
        <w:t xml:space="preserve">Assignee: Optisys, Inc.</w:t>
      </w:r>
    </w:p>
    <w:p>
      <w:pPr>
        <w:pStyle w:val="BodyText"/>
      </w:pPr>
      <w:r>
        <w:t xml:space="preserve">Ken-Ichi Kanatani.</w:t>
      </w:r>
      <w:r>
        <w:t xml:space="preserve"> </w:t>
      </w:r>
      <w:r>
        <w:t xml:space="preserve">Distribution of directional data and fabric tensors.</w:t>
      </w:r>
      <w:r>
        <w:t xml:space="preserve"> </w:t>
      </w:r>
      <w:r>
        <w:rPr>
          <w:iCs/>
          <w:i/>
        </w:rPr>
        <w:t xml:space="preserve">International Journal of Engineering Science</w:t>
      </w:r>
      <w:r>
        <w:t xml:space="preserve">, 22</w:t>
      </w:r>
      <w:r>
        <w:t xml:space="preserve"> </w:t>
      </w:r>
      <w:r>
        <w:t xml:space="preserve">(2): 149–164, 1984.</w:t>
      </w:r>
      <w:r>
        <w:t xml:space="preserve"> </w:t>
      </w:r>
      <w:r>
        <w:t xml:space="preserve">doi: 10.1016/0020-7225(84)90090-9.</w:t>
      </w:r>
    </w:p>
    <w:p>
      <w:pPr>
        <w:pStyle w:val="BodyText"/>
      </w:pPr>
      <w:r>
        <w:t xml:space="preserve">W. J. Conover and Ronald L. Iman.</w:t>
      </w:r>
      <w:r>
        <w:t xml:space="preserve"> </w:t>
      </w:r>
      <w:r>
        <w:t xml:space="preserve">Rank transformations as a bridge between parametric and nonparametric</w:t>
      </w:r>
      <w:r>
        <w:t xml:space="preserve"> </w:t>
      </w:r>
      <w:r>
        <w:t xml:space="preserve">statistics.</w:t>
      </w:r>
      <w:r>
        <w:t xml:space="preserve"> </w:t>
      </w:r>
      <w:r>
        <w:rPr>
          <w:iCs/>
          <w:i/>
        </w:rPr>
        <w:t xml:space="preserve">The American Statistician</w:t>
      </w:r>
      <w:r>
        <w:t xml:space="preserve">, 35 (3): 124–129,</w:t>
      </w:r>
      <w:r>
        <w:t xml:space="preserve"> </w:t>
      </w:r>
      <w:r>
        <w:t xml:space="preserve">1981.</w:t>
      </w:r>
      <w:r>
        <w:t xml:space="preserve"> </w:t>
      </w:r>
      <w:r>
        <w:t xml:space="preserve">doi: 10.1080/00031305.1981.10479327.</w:t>
      </w:r>
    </w:p>
    <w:p>
      <w:pPr>
        <w:pStyle w:val="BodyText"/>
      </w:pPr>
      <w:r>
        <w:t xml:space="preserve">Qingnan Zhou and Alec Jacobson.</w:t>
      </w:r>
      <w:r>
        <w:t xml:space="preserve"> </w:t>
      </w:r>
      <w:r>
        <w:t xml:space="preserve">Thingi10k: A dataset of 10,000</w:t>
      </w:r>
      <w:r>
        <w:t xml:space="preserve"> </w:t>
      </w:r>
      <w:r>
        <w:t xml:space="preserve">3D</w:t>
      </w:r>
      <w:r>
        <w:t xml:space="preserve">-printing models.</w:t>
      </w:r>
      <w:r>
        <w:t xml:space="preserve"> </w:t>
      </w:r>
      <w:r>
        <w:rPr>
          <w:iCs/>
          <w:i/>
        </w:rPr>
        <w:t xml:space="preserve">arXiv preprint arXiv:1605.04797</w:t>
      </w:r>
      <w:r>
        <w:t xml:space="preserve">, 2016.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Rank tuning denotes fitting weights after converting each feature</w:t>
      </w:r>
      <w:r>
        <w:t xml:space="preserve"> </w:t>
      </w:r>
      <w:r>
        <w:t xml:space="preserve">to its within-candidate rank; it is an empirical candidate-ranking calibration, not</w:t>
      </w:r>
      <w:r>
        <w:t xml:space="preserve"> </w:t>
      </w:r>
      <w:r>
        <w:t xml:space="preserve">continuous geometric optimization.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37" Target="media/rId37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 Flow Tensor Field for Fast Build-Orientation Candidate Generation in Support-Requiring Additive Manufacturing</dc:title>
  <dc:creator>InHwan Sul Department of Materials Design Engineering, Kumoh National Institute of Technology, Gumi 39177, Republic of Korea Email: snowman0@kumoh.ac.kr ORCID: 0000-0003-0105-920X</dc:creator>
  <cp:keywords/>
  <dcterms:created xsi:type="dcterms:W3CDTF">2026-07-05T06:32:50Z</dcterms:created>
  <dcterms:modified xsi:type="dcterms:W3CDTF">2026-07-05T06:32:50Z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Build orientation strongly controls support volume in additive manufacturing, but exhaustive orientation sweeps remain costly. The proposed method targets support-requiring processes in which build orientation changes the amount of removable support material; it is not intended for inherently support-free processes. This paper proposes the Support Flow Tensor Field (SFTF), a fast candidate generator that ranks promising build directions before local verification by a support-volume grid or slicer. For each sampled direction, SFTF casts rays from overhang faces to actual receiver faces and forms a direction-dependent asymmetric flow tensor; the build-plate support term is interpreted as a virtual ground receiver, making the dominant predictive term a unified Rayleigh cost. On five organic freeform benchmark meshes with a 1^\circ tomography grid, verifying the \pm 10^\circ neighborhoods of the top-20 SFTF candidates uses 3.40\% of the grid on average and obtains a mean support-volume ratio of 1.14 (maximum 1.66); the tensor features B and \tilde R=R+B are the most stable single predictors of the tomographic support volume (mean Spearman 0.59 and 0.61). We also introduce Adaptive Verification Escalation (AVE), an automatic hard-case escalation rule based on local-verification confidence signals; on a five-group cached 1^\circ audit of 21 ratio-valid records it keeps every record below ratio 2.0 (mean 1.14, maximum 1.93) at a mean budget of 13.94\%. We report a clear limitation: on large mechanical parts (up to 1.04M faces) the tensor features do not predict support volume, and at a matched budget a simple uniform-axis window seeding outperforms the SFTF ranking. SFTF is therefore best positioned as an interpretable warm start for organic parts that concentrates expensive verification on a small number of likely basins rather than replacing broad coverage.</vt:lpwstr>
  </property>
  <property fmtid="{D5CDD505-2E9C-101B-9397-08002B2CF9AE}" pid="3" name="date">
    <vt:lpwstr/>
  </property>
</Properties>
</file>