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 Flow Tensor Field for Fast Build-Orientation Candidate Generation in Support-Requiring Additive Manufacturing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Build orientation strongly controls support volume in additive manufacturing, but exhaustive orientation sweeps remain costly.</w:t>
      </w:r>
      <w:r>
        <w:t xml:space="preserve"> </w:t>
      </w:r>
      <w:r>
        <w:t xml:space="preserve">The proposed method targets support-requiring additive-manufacturing processes in which build orientation changes the amount of removable support material; it is not intended for inherently support-free processes.</w:t>
      </w:r>
      <w:r>
        <w:t xml:space="preserve"> </w:t>
      </w:r>
      <w:r>
        <w:t xml:space="preserve">This paper proposes the Support Flow Tensor Field (SFTF), a fast candidate generator that ranks promising build directions before local verification by a support-volume grid or slicer.</w:t>
      </w:r>
      <w:r>
        <w:t xml:space="preserve"> </w:t>
      </w:r>
      <w:r>
        <w:t xml:space="preserve">For each sampled direction, SFTF casts rays from overhang faces to actual receiver faces and forms a direction-dependent asymmetric flow tensor.</w:t>
      </w:r>
      <w:r>
        <w:t xml:space="preserve"> </w:t>
      </w:r>
      <w:r>
        <w:t xml:space="preserve">The build-plate support term is further interpreted as a virtual ground receiver, making the dominant predictive term a unified Rayleigh cost.</w:t>
      </w:r>
      <w:r>
        <w:t xml:space="preserve"> </w:t>
      </w:r>
      <w:r>
        <w:t xml:space="preserve">On five organic freeform benchmark meshes with a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tomography grid, verifying the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neighborhoods of the top-20 SFTF candidates uses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grid on average and obtains a mean support-volume ratio of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with maximum</w:t>
      </w:r>
      <w:r>
        <w:t xml:space="preserve"> </w:t>
      </w:r>
      <m:oMath>
        <m:r>
          <m:t>1.66</m:t>
        </m:r>
      </m:oMath>
      <w:r>
        <w:t xml:space="preserve">; on these meshes the tensor features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are the most stable single predictors of the tomographic support volume (mean Spearman</w:t>
      </w:r>
      <w:r>
        <w:t xml:space="preserve"> </w:t>
      </w:r>
      <m:oMath>
        <m:r>
          <m:t>0.59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0.61</m:t>
        </m:r>
      </m:oMath>
      <w:r>
        <w:t xml:space="preserve">).</w:t>
      </w:r>
      <w:r>
        <w:t xml:space="preserve"> </w:t>
      </w:r>
      <w:r>
        <w:t xml:space="preserve">The paper also introduces Adaptive Verification Escalation (AVE), an automatic hard-case escalation rule based on local-verification confidence signals; on a five-group cached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audit of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ratio-valid records it keeps every record below ratio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t>1.14</m:t>
        </m:r>
      </m:oMath>
      <w:r>
        <w:t xml:space="preserve">, maximum</w:t>
      </w:r>
      <w:r>
        <w:t xml:space="preserve"> </w:t>
      </w:r>
      <m:oMath>
        <m:r>
          <m:t>1.93</m:t>
        </m:r>
      </m:oMath>
      <w:r>
        <w:t xml:space="preserve">) at a mean budget of</w:t>
      </w:r>
      <w:r>
        <w:t xml:space="preserve"> </w:t>
      </w:r>
      <m:oMath>
        <m:r>
          <m:t>13.94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We also report a clear limitation: on large mechanical parts (up to</w:t>
      </w:r>
      <w:r>
        <w:t xml:space="preserve"> </w:t>
      </w:r>
      <m:oMath>
        <m:r>
          <m:t>1.04</m:t>
        </m:r>
      </m:oMath>
      <w:r>
        <w:t xml:space="preserve">M faces) the tensor features do not predict support volume, and at a matched budget a simple uniform-axis window seeding outperforms the SFTF ranking, so SFTF is best positioned as an interpretable warm start for organic parts rather than a general replacement for broad coverage.</w:t>
      </w:r>
      <w:r>
        <w:t xml:space="preserve"> </w:t>
      </w:r>
      <w:r>
        <w:t xml:space="preserve">These results show that SFTF is best viewed not as a replacement for precise support-volume optimization, but as a low-cost warm start that concentrates expensive verification on a small number of likely basins.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Support Flow Tensor Field (SFTF), build orientation, support volume, support-requiring additive manufacturing, local verification, candidate generation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Build orientation strongly affects support volume, material use, print time, and post-processing quality in support-requiring additive manufacturing, especially FDM processes in which downward overhangs beyond a critical angle require removable support </w:t>
      </w:r>
      <w:r>
        <w:rPr>
          <w:vertAlign w:val="superscript"/>
        </w:rPr>
        <w:t xml:space="preserve">1</w:t>
      </w:r>
      <w:r>
        <w:t xml:space="preserve">. Existing explicit or voxel/slicer-based orientation searches can evaluate support volume accurately, but exhaustive yaw–pitch sweeps remain expensive because they evaluate a dense set of directions even for simple shapes.</w:t>
      </w:r>
    </w:p>
    <w:bookmarkStart w:id="9" w:name="sec:related"/>
    <w:p>
      <w:pPr>
        <w:pStyle w:val="Heading2"/>
      </w:pPr>
      <w:r>
        <w:t xml:space="preserve">Related Work</w:t>
      </w:r>
    </w:p>
    <w:p>
      <w:pPr>
        <w:pStyle w:val="FirstParagraph"/>
      </w:pPr>
      <w:r>
        <w:t xml:space="preserve">Build-orientation studies include explicit support-volume evaluation, voxel/depth-normal acceleration, support-structure design, and topology or multi-axis design approaches </w:t>
      </w:r>
      <w:r>
        <w:rPr>
          <w:vertAlign w:val="superscript"/>
        </w:rPr>
        <w:t xml:space="preserve">2–8</w:t>
      </w:r>
      <w:r>
        <w:t xml:space="preserve">. Shadow-volume and tomographic formulations estimate support volume without full slicer generation and can also be accelerated on GPUs </w:t>
      </w:r>
      <w:r>
        <w:rPr>
          <w:vertAlign w:val="superscript"/>
        </w:rPr>
        <w:t xml:space="preserve">9–11</w:t>
      </w:r>
      <w:r>
        <w:t xml:space="preserve">. In this manuscript, TOMO_CPU and TOMO_CUDA denote the CPU and GPU tomographic support-volume evaluators used as verification and comparison backends </w:t>
      </w:r>
      <w:r>
        <w:rPr>
          <w:vertAlign w:val="superscript"/>
        </w:rPr>
        <w:t xml:space="preserve">11</w:t>
      </w:r>
      <w:r>
        <w:t xml:space="preserve">; SFTF is instead a candidate generator that reduces the number of directions passed to such verifiers.</w:t>
      </w:r>
    </w:p>
    <w:p>
      <w:pPr>
        <w:pStyle w:val="BodyText"/>
      </w:pPr>
      <w:r>
        <w:t xml:space="preserve">Tensor or anisotropic formulations have also appeared in topology optimization: overhang constraints, anisotropic interface energy, and deposition-direction-dependent stiffness can bias a redesigned part toward self-supporting geometry </w:t>
      </w:r>
      <w:r>
        <w:rPr>
          <w:vertAlign w:val="superscript"/>
        </w:rPr>
        <w:t xml:space="preserve">12–14</w:t>
      </w:r>
      <w:r>
        <w:t xml:space="preserve">. The present work is complementary: the input shape is fixed, and the tensor is used only to rank build orientations before an accurate TOMO or slicer verification step. A related industrial patent seeks build orientations for fixed complex parts but does not disclose an open algorithmic procedure </w:t>
      </w:r>
      <w:r>
        <w:rPr>
          <w:vertAlign w:val="superscript"/>
        </w:rPr>
        <w:t xml:space="preserve">15</w:t>
      </w:r>
      <w:r>
        <w:t xml:space="preserve">.</w:t>
      </w:r>
    </w:p>
    <w:bookmarkEnd w:id="9"/>
    <w:bookmarkStart w:id="10" w:name="contribution"/>
    <w:p>
      <w:pPr>
        <w:pStyle w:val="Heading2"/>
      </w:pPr>
      <w:r>
        <w:t xml:space="preserve">Contribution</w:t>
      </w:r>
    </w:p>
    <w:p>
      <w:pPr>
        <w:pStyle w:val="FirstParagraph"/>
      </w:pPr>
      <w:r>
        <w:t xml:space="preserve">This paper proposes the Support Flow Tensor Field (SFTF), a low-cost candidate generator rather than a replacement for precise TOMO/slicer optimization. For each sampled build direction, SFTF estimates internal face-to-face support flow by ray casting, adds a build-plate contribution through a virtual ground node, and then passes only a small set of promising basins to local TOMO verification. The main contributions are: (i) a direction-dependent asymmetric support-flow tensor for fixed parts; (ii) a ground-node derivation showing that the build-plate term is an exact Rayleigh contribution of the augmented tensor; (iii) a local-verification budget curve demonstrating that on organic freeform meshes SFTF top-</w:t>
      </w:r>
      <m:oMath>
        <m:r>
          <m:t>20</m:t>
        </m:r>
      </m:oMath>
      <w:r>
        <w:t xml:space="preserve"> </w:t>
      </w:r>
      <w:r>
        <w:t xml:space="preserve">windows recover a mean support-volume ratio of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with only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grid; (iv) Adaptive Verification Escalation (AVE), an automatic escalation rule for narrow-basin hard cases; (v) a five-group timing audit showing</w:t>
      </w:r>
      <w:r>
        <w:t xml:space="preserve"> </w:t>
      </w:r>
      <m:oMath>
        <m:r>
          <m:t>8.3</m:t>
        </m:r>
      </m:oMath>
      <w:r>
        <w:t xml:space="preserve">–</w:t>
      </w:r>
      <m:oMath>
        <m:r>
          <m:t>381.9</m:t>
        </m:r>
        <m:r>
          <m:rPr>
            <m:sty m:val="p"/>
          </m:rPr>
          <m:t>×</m:t>
        </m:r>
      </m:oMath>
      <w:r>
        <w:t xml:space="preserve"> </w:t>
      </w:r>
      <w:r>
        <w:t xml:space="preserve">Python and</w:t>
      </w:r>
      <w:r>
        <w:t xml:space="preserve"> </w:t>
      </w:r>
      <m:oMath>
        <m:r>
          <m:t>56.8</m:t>
        </m:r>
      </m:oMath>
      <w:r>
        <w:t xml:space="preserve">–</w:t>
      </w:r>
      <m:oMath>
        <m:r>
          <m:t>56</m:t>
        </m:r>
        <m:r>
          <m:rPr>
            <m:sty m:val="p"/>
          </m:rPr>
          <m:t>,</m:t>
        </m:r>
        <m:r>
          <m:t>027</m:t>
        </m:r>
        <m:r>
          <m:rPr>
            <m:sty m:val="p"/>
          </m:rPr>
          <m:t>×</m:t>
        </m:r>
      </m:oMath>
      <w:r>
        <w:t xml:space="preserve"> </w:t>
      </w:r>
      <w:r>
        <w:t xml:space="preserve">C++ speedups relative to TOMO_CPU on the same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sweep; and (vi) an honest characterization of where the method breaks down—on large mechanical parts the tensor features stop predicting support volume and a budget-matched uniform-axis control outperforms the ranking (§</w:t>
      </w:r>
      <w:hyperlink w:anchor="sec:limits">
        <w:r>
          <w:rPr>
            <w:rStyle w:val="Hyperlink"/>
          </w:rPr>
          <w:t xml:space="preserve">4.5</w:t>
        </w:r>
      </w:hyperlink>
      <w:r>
        <w:t xml:space="preserve">).</w:t>
      </w:r>
    </w:p>
    <w:bookmarkEnd w:id="10"/>
    <w:bookmarkEnd w:id="11"/>
    <w:bookmarkStart w:id="21" w:name="method"/>
    <w:p>
      <w:pPr>
        <w:pStyle w:val="Heading1"/>
      </w:pPr>
      <w:r>
        <w:t xml:space="preserve">Method</w:t>
      </w:r>
    </w:p>
    <w:bookmarkStart w:id="13" w:name="sec:support-tensor-limit"/>
    <w:p>
      <w:pPr>
        <w:pStyle w:val="Heading2"/>
      </w:pPr>
      <w:r>
        <w:t xml:space="preserve">From Symmetric Support Tensor to Directional Flow</w:t>
      </w:r>
    </w:p>
    <w:p>
      <w:pPr>
        <w:pStyle w:val="FirstParagraph"/>
      </w:pPr>
      <w:bookmarkStart w:id="12" w:name="sec:sftf"/>
      <w:bookmarkEnd w:id="12"/>
    </w:p>
    <w:p>
      <w:pPr>
        <w:pStyle w:val="BodyText"/>
      </w:pPr>
      <w:r>
        <w:t xml:space="preserve">As a symmetric baseline, we define an area-weighted second-moment tensor of face normals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following the general orientation/fabric-tensor construction for directional data </w:t>
      </w:r>
      <w:r>
        <w:rPr>
          <w:vertAlign w:val="superscript"/>
        </w:rPr>
        <w:t xml:space="preserve">16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area and outward normal of triangular face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this paper, this tensor is used only as a support-oriented baseline: it summarizes the distribution of surface normals, but it does not encode whether a face is an overhang for a given build direction, whether another face can actually receive the support, or how far an unsupported face is from the build plate.</w:t>
      </w:r>
      <w:r>
        <w:t xml:space="preserve"> </w:t>
      </w:r>
      <w:r>
        <w:t xml:space="preserve">SFTF therefore evaluates a direction-dependent asymmetric tensor for each unit build direction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face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 the overhang coefficient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sampled overhang source faces, a ray is cast along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; if the first valid receiver is face</w:t>
      </w:r>
      <w:r>
        <w:t xml:space="preserve"> </w:t>
      </w:r>
      <m:oMath>
        <m:r>
          <m:t>j</m:t>
        </m:r>
      </m:oMath>
      <w:r>
        <w:t xml:space="preserve">, the height is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and the face-to-face influence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mesh bounding-box diagonal. The face-to-face support flow tensor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denoting valid ray-cast support relationships. The receiver must not be the source face, must have positive height, and must face the build direction sufficiently (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0.05</m:t>
        </m:r>
      </m:oMath>
      <w:r>
        <w:t xml:space="preserve">). To bound cost, source faces are sampled deterministically in proportion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0.02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500</m:t>
          </m:r>
          <m:r>
            <m:rPr>
              <m:sty m:val="p"/>
            </m:rPr>
            <m:t>,</m:t>
          </m:r>
          <m:r>
            <m:t>3000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number of mesh faces. When the number of positive-weight source faces exceeds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, the quantity actually computed is the plug-in estimator of Eq. </w:t>
      </w:r>
      <w:hyperlink w:anchor="eq:sftf-tensor">
        <w:r>
          <w:rPr>
            <w:rStyle w:val="Hyperlink"/>
          </w:rPr>
          <w:t xml:space="preserve">[eq:sftf-tensor]</w:t>
        </w:r>
      </w:hyperlink>
      <w:r>
        <w:t xml:space="preserve"> </w:t>
      </w:r>
      <w:r>
        <w:t xml:space="preserve">restricted to the sampled source set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selected by deterministic systematic sampling on the cumulative weight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(fixed half-interval offsets, no random seed); the scalar features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derived below inherit the same restriction, and the sum is exact whenever the positive-weight sources number at most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. No inverse-probability reweighting is applied, so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a deterministic budget-normalized surrogate rather than an unbiased estimate of</w:t>
      </w:r>
      <w:r>
        <w:t xml:space="preserve"> </w:t>
      </w:r>
      <m:oMath>
        <m:r>
          <m:t>F</m:t>
        </m:r>
      </m:oMath>
      <w:r>
        <w:t xml:space="preserve">; it is used only to compare directions of the same mesh, all evaluated under the identical budget and sampling rule.</w:t>
      </w:r>
    </w:p>
    <w:bookmarkEnd w:id="13"/>
    <w:bookmarkStart w:id="18" w:name="sec:groundnode"/>
    <w:p>
      <w:pPr>
        <w:pStyle w:val="Heading2"/>
      </w:pPr>
      <w:r>
        <w:t xml:space="preserve">Ground-Node Build-Plate Term</w:t>
      </w:r>
    </w:p>
    <w:p>
      <w:pPr>
        <w:pStyle w:val="FirstParagraph"/>
      </w:pPr>
      <w:r>
        <w:t xml:space="preserve">If no valid receiver face is found, the overhang is ultimately supported from the build plate.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r>
            <m:t>v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scalar plate penalty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term is not ad hoc: as illustrated in Fig. </w:t>
      </w:r>
      <w:hyperlink w:anchor="fig:unified-flow">
        <w:r>
          <w:rPr>
            <w:rStyle w:val="Hyperlink"/>
          </w:rPr>
          <w:t xml:space="preserve">1</w:t>
        </w:r>
      </w:hyperlink>
      <w:r>
        <w:t xml:space="preserve">, it is exactly the Rayleigh contribution obtained by adding a virtual receiver whose normal is the build direction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p>
            <m:e>
              <m:r>
                <m:t>n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the symmetric Rayleigh contraction of the ground term contributes exactly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to the support cost, giving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p>
            <m:e>
              <m:r>
                <m:t>n</m:t>
              </m:r>
            </m:e>
            <m:sup>
              <m:r>
                <m:t>T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equality was numerically confirmed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over the stored candidate pools.</w:t>
      </w:r>
    </w:p>
    <w:bookmarkStart w:id="17" w:name="fig:unified-flow"/>
    <w:p>
      <w:pPr>
        <w:pStyle w:val="CaptionedFigure"/>
      </w:pPr>
      <w:r>
        <w:drawing>
          <wp:inline>
            <wp:extent cx="4800600" cy="223190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ics/_docx_auto/FTree4x_fig1_unified_flo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3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flow interpretation. Face-to-face support uses receiver normal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, while direct build-plate support is represented by a virtual receiver with normal</w:t>
      </w:r>
      <w:r>
        <w:t xml:space="preserve"> </w:t>
      </w:r>
      <m:oMath>
        <m:r>
          <m:t>n</m:t>
        </m:r>
      </m:oMath>
      <w:r>
        <w:t xml:space="preserve">; the latter gives the Rayleigh contribution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Eq. </w:t>
      </w:r>
      <w:hyperlink w:anchor="eq:Rtilde">
        <w:r>
          <w:rPr>
            <w:rStyle w:val="Hyperlink"/>
          </w:rPr>
          <w:t xml:space="preserve">[eq:Rtilde]</w:t>
        </w:r>
      </w:hyperlink>
      <w:r>
        <w:t xml:space="preserve">.</w:t>
      </w:r>
    </w:p>
    <w:bookmarkEnd w:id="17"/>
    <w:bookmarkEnd w:id="18"/>
    <w:bookmarkStart w:id="20" w:name="candidate-generation-and-rescoring"/>
    <w:p>
      <w:pPr>
        <w:pStyle w:val="Heading2"/>
      </w:pPr>
      <w:r>
        <w:t xml:space="preserve">Candidate Generation and Rescoring</w:t>
      </w:r>
    </w:p>
    <w:p>
      <w:pPr>
        <w:pStyle w:val="FirstParagraph"/>
      </w:pPr>
      <w:r>
        <w:t xml:space="preserve">The deployed score is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face-to-face overhang amount after the height attenuation in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cancels. Because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and</w:t>
      </w:r>
      <w:r>
        <w:t xml:space="preserve"> </w:t>
      </w:r>
      <m:oMath>
        <m:r>
          <m:t>α</m:t>
        </m:r>
        <m:r>
          <m:t>h</m:t>
        </m:r>
      </m:oMath>
      <w:r>
        <w:t xml:space="preserve"> </w:t>
      </w:r>
      <w:r>
        <w:t xml:space="preserve">are dimensionless,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carry units of area squared while the build-plate term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carries units of area: under a uniform rescaling of the mesh by a factor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scale as</w:t>
      </w:r>
      <w:r>
        <w:t xml:space="preserve"> </w:t>
      </w:r>
      <m:oMath>
        <m:sSup>
          <m:e>
            <m:r>
              <m:t>s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whereas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scales as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so the raw sum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unit-dependent and the balance among its terms shifts with model size.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therefore treated as a screening feature only, never as the final ranking criterion. A</w:t>
      </w:r>
      <w:r>
        <w:t xml:space="preserve"> </w:t>
      </w:r>
      <m:oMath>
        <m:r>
          <m:t>512</m:t>
        </m:r>
      </m:oMath>
      <w:r>
        <w:t xml:space="preserve">-direction Fibonacci-sphere sample is first evaluated, the best directions are locally resampled in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cones, and angular non-maximum suppression keeps separated candidates. To avoid treating dimensionally different quantities as directly commensurate, the final candidate order uses rank-normalized features</w:t>
      </w:r>
      <w:r>
        <w:rPr>
          <w:rStyle w:val="FootnoteReference"/>
        </w:rPr>
        <w:footnoteReference w:id="19"/>
      </w:r>
      <w:r>
        <w:t xml:space="preserve"> </w:t>
      </w:r>
      <m:oMath>
        <m:r>
          <m:rPr>
            <m:sty m:val="p"/>
          </m:rPr>
          <m:t>[</m:t>
        </m:r>
        <m:r>
          <m:t>J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 following the standard rank-transformation idea for scale-robust empirical modeling </w:t>
      </w:r>
      <w:r>
        <w:rPr>
          <w:vertAlign w:val="superscript"/>
        </w:rPr>
        <w:t xml:space="preserve">17</w:t>
      </w:r>
      <w:r>
        <w:t xml:space="preserve">; the rank transform makes the final ordering invariant to any strictly monotone rescaling of each feature, and hence independent of the model’s units. 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valid-hit count and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singular-value features retained only for post-processing. The reported calibration uses weights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0.731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2.3897</m:t>
        </m:r>
        <m:r>
          <m:rPr>
            <m:sty m:val="p"/>
          </m:rPr>
          <m:t>,</m:t>
        </m:r>
        <m:r>
          <m:t>2.1447</m:t>
        </m:r>
        <m:r>
          <m:rPr>
            <m:sty m:val="p"/>
          </m:rPr>
          <m:t>,</m:t>
        </m:r>
        <m:r>
          <m:t>2.3109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2.2922</m:t>
        </m:r>
        <m:r>
          <m:rPr>
            <m:sty m:val="p"/>
          </m:rPr>
          <m:t>,</m:t>
        </m:r>
        <m:r>
          <m:t>1.6363</m:t>
        </m:r>
        <m:r>
          <m:rPr>
            <m:sty m:val="p"/>
          </m:rPr>
          <m:t>)</m:t>
        </m:r>
      </m:oMath>
      <w:r>
        <w:t xml:space="preserve">, and cross-validation below reports the expected loss when these weights are not fit in sample. Implementation optimizations, including first-hit fallback and per-mesh cached geometry, reduced a 1k-direction evaluation of</w:t>
      </w:r>
      <w:r>
        <w:t xml:space="preserve"> </w:t>
      </w:r>
      <w:r>
        <w:rPr>
          <w:i/>
          <w:iCs/>
        </w:rPr>
        <w:t xml:space="preserve">Bunny 69k</w:t>
      </w:r>
      <w:r>
        <w:t xml:space="preserve"> </w:t>
      </w:r>
      <w:r>
        <w:t xml:space="preserve">from about</w:t>
      </w:r>
      <w:r>
        <w:t xml:space="preserve"> </w:t>
      </w:r>
      <m:oMath>
        <m:r>
          <m:t>15.7</m:t>
        </m:r>
      </m:oMath>
      <w:r>
        <w:t xml:space="preserve"> </w:t>
      </w:r>
      <w:r>
        <w:t xml:space="preserve">s 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s without changing selected directions.</w:t>
      </w:r>
    </w:p>
    <w:bookmarkEnd w:id="20"/>
    <w:bookmarkEnd w:id="21"/>
    <w:bookmarkStart w:id="24" w:name="evaluation-protocol-and-datasets"/>
    <w:p>
      <w:pPr>
        <w:pStyle w:val="Heading1"/>
      </w:pPr>
      <w:r>
        <w:t xml:space="preserve">Evaluation Protocol and Datasets</w:t>
      </w:r>
    </w:p>
    <w:bookmarkStart w:id="22" w:name="sec:datasets"/>
    <w:p>
      <w:pPr>
        <w:pStyle w:val="Heading2"/>
      </w:pPr>
      <w:r>
        <w:t xml:space="preserve">Datasets and Experimental Environment</w:t>
      </w:r>
    </w:p>
    <w:p>
      <w:pPr>
        <w:pStyle w:val="FirstParagraph"/>
      </w:pPr>
      <w:r>
        <w:t xml:space="preserve">The dataset consists of five groups that deliberately separate and control the two axes of</w:t>
      </w:r>
      <w:r>
        <w:t xml:space="preserve"> </w:t>
      </w:r>
      <w:r>
        <w:rPr>
          <w:i/>
          <w:iCs/>
        </w:rPr>
        <w:t xml:space="preserve">shape difficulty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mesh scale</w:t>
      </w:r>
      <w:r>
        <w:t xml:space="preserve">.</w:t>
      </w:r>
      <w:r>
        <w:t xml:space="preserve"> </w:t>
      </w:r>
      <w:r>
        <w:t xml:space="preserve">A–C set the scale in the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-face range and vary the difficulty axis from basic shapes to freeform organic shapes,</w:t>
      </w:r>
      <w:r>
        <w:t xml:space="preserve"> </w:t>
      </w:r>
      <w:r>
        <w:t xml:space="preserve">revealing the</w:t>
      </w:r>
      <w:r>
        <w:t xml:space="preserve"> </w:t>
      </w:r>
      <w:r>
        <w:rPr>
          <w:i/>
          <w:iCs/>
        </w:rPr>
        <w:t xml:space="preserve">fixed-cost floor</w:t>
      </w:r>
      <w:r>
        <w:t xml:space="preserve"> </w:t>
      </w:r>
      <w:r>
        <w:t xml:space="preserve">of the exhaustive sweep (a cost almost independent of mesh complexity).</w:t>
      </w:r>
      <w:r>
        <w:t xml:space="preserve"> </w:t>
      </w:r>
      <w:r>
        <w:t xml:space="preserve">D–E fix the difficulty as real manufacturing parts while pushing the scale axis from</w:t>
      </w:r>
      <w:r>
        <w:t xml:space="preserve"> </w:t>
      </w:r>
      <m:oMath>
        <m:r>
          <m:t>256</m:t>
        </m:r>
      </m:oMath>
      <w:r>
        <w:t xml:space="preserve"> </w:t>
      </w:r>
      <w:r>
        <w:t xml:space="preserve">faces to</w:t>
      </w:r>
      <w:r>
        <w:t xml:space="preserve"> 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faces,</w:t>
      </w:r>
      <w:r>
        <w:t xml:space="preserve"> </w:t>
      </w:r>
      <w:r>
        <w:t xml:space="preserve">revealing the</w:t>
      </w:r>
      <w:r>
        <w:t xml:space="preserve"> </w:t>
      </w:r>
      <w:r>
        <w:rPr>
          <w:i/>
          <w:iCs/>
        </w:rPr>
        <w:t xml:space="preserve">adaptive cost</w:t>
      </w:r>
      <w:r>
        <w:t xml:space="preserve"> </w:t>
      </w:r>
      <w:r>
        <w:t xml:space="preserve">by which the SFTF candidate-evaluation cost increases adaptively to mesh complexity.</w:t>
      </w:r>
      <w:r>
        <w:t xml:space="preserve"> </w:t>
      </w:r>
      <w:r>
        <w:t xml:space="preserve">Therefore A–E is not a single size ramp, and the partial overlap of the face-count ranges of groups C and D</w:t>
      </w:r>
      <w:r>
        <w:t xml:space="preserve"> </w:t>
      </w:r>
      <w:r>
        <w:t xml:space="preserve">is the result of a design that separates and controls the two axes, not an ordering error.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(basic shapes, 5; lower difficulty)</w:t>
      </w:r>
      <w:r>
        <w:t xml:space="preserve">: cube, sphere, cylinder, cone, torus (face count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 (simple functional parts, 5; mid difficulty)</w:t>
      </w:r>
      <w:r>
        <w:t xml:space="preserve">: u_bracket, hook, c_clamp, pipe_elbow, hollow_box.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 (organic/freeform benchmarks, 5; upper difficulty)</w:t>
      </w:r>
      <w:r>
        <w:t xml:space="preserve">: standard scan/sculpture meshes such as</w:t>
      </w:r>
      <w:r>
        <w:t xml:space="preserve"> </w:t>
      </w:r>
      <w:r>
        <w:rPr>
          <w:i/>
          <w:iCs/>
        </w:rPr>
        <w:t xml:space="preserve">Bunny 69k</w:t>
      </w:r>
      <w:r>
        <w:t xml:space="preserve">,</w:t>
      </w:r>
      <w:r>
        <w:t xml:space="preserve"> </w:t>
      </w:r>
      <w:r>
        <w:rPr>
          <w:i/>
          <w:iCs/>
        </w:rPr>
        <w:t xml:space="preserve">Manikin 13k</w:t>
      </w:r>
      <w:r>
        <w:t xml:space="preserve">,</w:t>
      </w:r>
      <w:r>
        <w:t xml:space="preserve"> </w:t>
      </w:r>
      <w:r>
        <w:rPr>
          <w:i/>
          <w:iCs/>
        </w:rPr>
        <w:t xml:space="preserve">Dragon 100k</w:t>
      </w:r>
      <w:r>
        <w:t xml:space="preserve">,</w:t>
      </w:r>
      <w:r>
        <w:t xml:space="preserve"> </w:t>
      </w:r>
      <w:r>
        <w:rPr>
          <w:i/>
          <w:iCs/>
        </w:rPr>
        <w:t xml:space="preserve">Happy 50k</w:t>
      </w:r>
      <w:r>
        <w:t xml:space="preserve">, and</w:t>
      </w:r>
      <w:r>
        <w:t xml:space="preserve"> </w:t>
      </w:r>
      <w:r>
        <w:rPr>
          <w:i/>
          <w:iCs/>
        </w:rPr>
        <w:t xml:space="preserve">Lucy 50k</w:t>
      </w:r>
      <w:r>
        <w:t xml:space="preserve">. The Stanford grid meshes used in §</w:t>
      </w:r>
      <w:hyperlink w:anchor="sec:baseline">
        <w:r>
          <w:rPr>
            <w:rStyle w:val="Hyperlink"/>
          </w:rPr>
          <w:t xml:space="preserve">[sec:baseline]</w:t>
        </w:r>
      </w:hyperlink>
      <w:r>
        <w:t xml:space="preserve"> </w:t>
      </w:r>
      <w:r>
        <w:t xml:space="preserve">are exactly this group.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 (Thingi10K set 1, 10; lower scale)</w:t>
      </w:r>
      <w:r>
        <w:t xml:space="preserve">: real manufacturing parts with</w:t>
      </w:r>
      <w:r>
        <w:t xml:space="preserve"> </w:t>
      </w:r>
      <m:oMath>
        <m:r>
          <m:t>256</m:t>
        </m:r>
      </m:oMath>
      <w:r>
        <w:t xml:space="preserve">–</w:t>
      </w:r>
      <m:oMath>
        <m:r>
          <m:t>88</m:t>
        </m:r>
        <m:r>
          <m:rPr>
            <m:sty m:val="p"/>
          </m:rPr>
          <m:t>,</m:t>
        </m:r>
        <m:r>
          <m:t>106</m:t>
        </m:r>
      </m:oMath>
      <w:r>
        <w:t xml:space="preserve"> </w:t>
      </w:r>
      <w:r>
        <w:t xml:space="preserve">faces </w:t>
      </w:r>
      <w:r>
        <w:rPr>
          <w:vertAlign w:val="superscript"/>
        </w:rPr>
        <w:t xml:space="preserve">18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 (Thingi10K set 2, 10; upper scale)</w:t>
      </w:r>
      <w:r>
        <w:t xml:space="preserve">: large high-resolution meshes with about</w:t>
      </w:r>
      <w:r>
        <w:t xml:space="preserve"> </w:t>
      </w:r>
      <m:oMath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–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faces.</w:t>
      </w:r>
    </w:p>
    <w:p>
      <w:pPr>
        <w:pStyle w:val="FirstParagraph"/>
      </w:pPr>
      <w:r>
        <w:t xml:space="preserve">All timing experiments were run on a Windows 11 Education 64-bit workstation with an AMD Ryzen 9 9950X3D CPU</w:t>
      </w:r>
      <w:r>
        <w:t xml:space="preserve"> </w:t>
      </w:r>
      <w:r>
        <w:t xml:space="preserve">(16 cores, 32 logical threads), 125 GB RAM, and an NVIDIA GeForce RTX 5080 GPU (16 GB, driver 595.79).</w:t>
      </w:r>
      <w:r>
        <w:t xml:space="preserve"> </w:t>
      </w:r>
      <w:r>
        <w:t xml:space="preserve">The Python implementation used Python 3.12.13 with NumPy 1.26.4, SciPy 1.17.1, Trimesh 4.4.0, Matplotlib 3.11.0, and scikit-learn 1.9.0.</w:t>
      </w:r>
      <w:r>
        <w:t xml:space="preserve"> </w:t>
      </w:r>
      <w:r>
        <w:t xml:space="preserve">TOMO_CPU and TOMO_CUDA were called through Windows DLL interfaces, and the SFTF_C++ implementation was built as a Windows x64 C++ DLL</w:t>
      </w:r>
      <w:r>
        <w:t xml:space="preserve"> </w:t>
      </w:r>
      <w:r>
        <w:t xml:space="preserve">using the Visual Studio 2022/MSVC toolchain with OpenMP parallelization.</w:t>
      </w:r>
    </w:p>
    <w:bookmarkEnd w:id="22"/>
    <w:bookmarkStart w:id="23" w:name="sec:protocol"/>
    <w:p>
      <w:pPr>
        <w:pStyle w:val="Heading2"/>
      </w:pPr>
      <w:r>
        <w:t xml:space="preserve">Comparison Targets and Evaluation Protocol</w:t>
      </w:r>
    </w:p>
    <w:p>
      <w:pPr>
        <w:pStyle w:val="FirstParagraph"/>
      </w:pPr>
      <w:r>
        <w:t xml:space="preserve">We first define the comparison targets and evaluation procedure used in the quantitative analyses up to §</w:t>
      </w:r>
      <w:hyperlink w:anchor="sec:fivegroup">
        <w:r>
          <w:rPr>
            <w:rStyle w:val="Hyperlink"/>
          </w:rPr>
          <w:t xml:space="preserve">4.4</w:t>
        </w:r>
      </w:hyperlink>
      <w:r>
        <w:t xml:space="preserve">.</w:t>
      </w:r>
      <w:r>
        <w:t xml:space="preserve"> </w:t>
      </w:r>
      <w:r>
        <w:t xml:space="preserve">The comparison targets are as follows.</w:t>
      </w:r>
    </w:p>
    <w:p>
      <w:pPr>
        <w:numPr>
          <w:ilvl w:val="0"/>
          <w:numId w:val="1002"/>
        </w:numPr>
      </w:pPr>
      <w:r>
        <w:t xml:space="preserve">PCA-based direction</w:t>
      </w:r>
    </w:p>
    <w:p>
      <w:pPr>
        <w:numPr>
          <w:ilvl w:val="0"/>
          <w:numId w:val="1002"/>
        </w:numPr>
      </w:pPr>
      <w:r>
        <w:t xml:space="preserve">Existing Support Tensor eigenvector direction</w:t>
      </w:r>
    </w:p>
    <w:p>
      <w:pPr>
        <w:numPr>
          <w:ilvl w:val="0"/>
          <w:numId w:val="1002"/>
        </w:numPr>
      </w:pPr>
      <w:r>
        <w:t xml:space="preserve">Initial eigenvector-based concave direction</w:t>
      </w:r>
    </w:p>
    <w:p>
      <w:pPr>
        <w:numPr>
          <w:ilvl w:val="0"/>
          <w:numId w:val="1002"/>
        </w:numPr>
      </w:pPr>
      <w:r>
        <w:t xml:space="preserve">This study’s Support Flow Tensor Field direction</w:t>
      </w:r>
    </w:p>
    <w:p>
      <w:pPr>
        <w:numPr>
          <w:ilvl w:val="0"/>
          <w:numId w:val="1002"/>
        </w:numPr>
      </w:pPr>
      <w:r>
        <w:t xml:space="preserve">TOMO_CPU or commercial-slicer-based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optimal direction</w:t>
      </w:r>
    </w:p>
    <w:p>
      <w:pPr>
        <w:pStyle w:val="FirstParagraph"/>
      </w:pPr>
      <w:r>
        <w:t xml:space="preserve">For each mesh, we generate 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contour 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intervals under a critical angle of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t xml:space="preserve">and evaluate how close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 at our method’s top candidate directions is to the global optimum.</w:t>
      </w:r>
      <w:r>
        <w:t xml:space="preserve"> </w:t>
      </w:r>
      <w:r>
        <w:t xml:space="preserve">Even if the direction coordinates do not match exactly, if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values are similar we regard them as optimal orientations of the same level.</w:t>
      </w:r>
      <w:r>
        <w:t xml:space="preserve"> </w:t>
      </w:r>
      <w:r>
        <w:t xml:space="preserve">Also, considering the case where the global optimum appears scattered across multiple basins,</w:t>
      </w:r>
      <w:r>
        <w:t xml:space="preserve"> </w:t>
      </w:r>
      <w:r>
        <w:t xml:space="preserve">we compare angularly separated top-</w:t>
      </w:r>
      <m:oMath>
        <m:r>
          <m:t>k</m:t>
        </m:r>
      </m:oMath>
      <w:r>
        <w:t xml:space="preserve"> </w:t>
      </w:r>
      <w:r>
        <w:t xml:space="preserve">basin representatives rather than simple top-</w:t>
      </w:r>
      <m:oMath>
        <m:r>
          <m:t>k</m:t>
        </m:r>
      </m:oMath>
      <w:r>
        <w:t xml:space="preserve"> </w:t>
      </w:r>
      <w:r>
        <w:t xml:space="preserve">grid points.</w:t>
      </w:r>
      <w:r>
        <w:t xml:space="preserve"> </w:t>
      </w:r>
      <w:r>
        <w:t xml:space="preserve">The candidate basins proposed by SFTF are re-input to TOMO_CPU to directly measure the Mss,</w:t>
      </w:r>
      <w:r>
        <w:t xml:space="preserve"> </w:t>
      </w:r>
      <w:r>
        <w:t xml:space="preserve">and based on that measured value we mark the measured optimal and measured worst basins.</w:t>
      </w:r>
      <w:r>
        <w:t xml:space="preserve"> </w:t>
      </w:r>
      <w:r>
        <w:t xml:space="preserve">Unless otherwise stated, both the five-mesh accuracy results and the A–E implementation audit use stored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TOMO_CPU grids. Ratio statistics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exclude records whose TOMO global best is nonpositive, because those cases make a positive support-volume ratio ill-defined.</w:t>
      </w:r>
    </w:p>
    <w:bookmarkEnd w:id="23"/>
    <w:bookmarkEnd w:id="24"/>
    <w:bookmarkStart w:id="59" w:name="results-and-discussion"/>
    <w:p>
      <w:pPr>
        <w:pStyle w:val="Heading1"/>
      </w:pPr>
      <w:r>
        <w:t xml:space="preserve">Results and Discussion</w:t>
      </w:r>
    </w:p>
    <w:bookmarkStart w:id="26" w:name="stored-tomo-grid-comparison"/>
    <w:p>
      <w:pPr>
        <w:pStyle w:val="Heading2"/>
      </w:pPr>
      <w:r>
        <w:t xml:space="preserve">Stored TOMO Grid Comparison</w:t>
      </w:r>
    </w:p>
    <w:p>
      <w:pPr>
        <w:pStyle w:val="FirstParagraph"/>
      </w:pPr>
      <w:r>
        <w:t xml:space="preserve">The stored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TOMO_CPU grids were used as the accuracy reference. SFTF candidates were mapped to the nearest signed TOMO yaw–pitch cell, and ratios were computed against the global TOMO best value.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calibration-set comparison; the rank-tuned values are intentionally treated as in-sample and are evaluated again by cross-validation below.</w:t>
      </w:r>
    </w:p>
    <w:bookmarkStart w:id="25" w:name="tab:sftf-tomo-comparison"/>
    <w:p>
      <w:pPr>
        <w:pStyle w:val="TableCaption"/>
      </w:pPr>
      <w:r>
        <w:t xml:space="preserve">Comparison of the stored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grid with the current SFTF candidates.</w:t>
      </w:r>
      <w:r>
        <w:t xml:space="preserve"> </w:t>
      </w:r>
      <w:r>
        <w:t xml:space="preserve">Ratio is the ratio of the SFTF candidate’s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to the TOMO global optimal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the stored TOMO_CPU v_{ss} grid with the current SFTF candidates. Ratio is the ratio of the SFTF candidate’s v_{ss} to the TOMO global optimal v_{ss}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TOMO 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score1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best-of-3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2956.12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28106.97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36067.25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19894.23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18592.73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7605.40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</w:tbl>
    <w:bookmarkEnd w:id="25"/>
    <w:p>
      <w:pPr>
        <w:pStyle w:val="BodyText"/>
      </w:pPr>
      <w:r>
        <w:t xml:space="preserve">Raw ranking alone is insufficient for the</w:t>
      </w:r>
      <w:r>
        <w:t xml:space="preserve"> </w:t>
      </w:r>
      <w:r>
        <w:rPr>
          <w:i/>
          <w:iCs/>
        </w:rPr>
        <w:t xml:space="preserve">Happy 50k</w:t>
      </w:r>
      <w:r>
        <w:t xml:space="preserve"> </w:t>
      </w:r>
      <w:r>
        <w:t xml:space="preserve">hard case, so SFTF is used as a warm start for local TOMO verification rather than as a standalone optimizer.</w:t>
      </w:r>
    </w:p>
    <w:bookmarkEnd w:id="26"/>
    <w:bookmarkStart w:id="41" w:name="sec:budget-curve"/>
    <w:p>
      <w:pPr>
        <w:pStyle w:val="Heading2"/>
      </w:pPr>
      <w:r>
        <w:t xml:space="preserve">Local Verification and Adaptive Verification Escalation</w:t>
      </w:r>
    </w:p>
    <w:p>
      <w:pPr>
        <w:pStyle w:val="FirstParagraph"/>
      </w:pPr>
      <w:bookmarkStart w:id="27" w:name="sec:ave"/>
      <w:bookmarkEnd w:id="27"/>
    </w:p>
    <w:p>
      <w:pPr>
        <w:pStyle w:val="BodyText"/>
      </w:pPr>
      <w:r>
        <w:t xml:space="preserve">The deployed metric is a budget curve: the top-</w:t>
      </w:r>
      <m:oMath>
        <m:r>
          <m:t>K</m:t>
        </m:r>
      </m:oMath>
      <w:r>
        <w:t xml:space="preserve"> </w:t>
      </w:r>
      <w:r>
        <w:t xml:space="preserve">SFTF candidates define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local windows, and the best TOMO grid value inside their union is selected. This changes the interpretation from whether the top-3 ranking alone solves the problem to whether SFTF places a small verification budget near useful TOMO basins. Table </w:t>
      </w:r>
      <w:hyperlink w:anchor="tab:budget-curv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this budget–accuracy trade-off.</w:t>
      </w:r>
    </w:p>
    <w:bookmarkStart w:id="28" w:name="tab:budget-curve"/>
    <w:p>
      <w:pPr>
        <w:pStyle w:val="TableCaption"/>
      </w:pPr>
      <w:r>
        <w:t xml:space="preserve">Budget curve of top-</w:t>
      </w:r>
      <m:oMath>
        <m:r>
          <m:t>K</m:t>
        </m:r>
      </m:oMath>
      <w:r>
        <w:t xml:space="preserve"> </w:t>
      </w:r>
      <w:r>
        <w:t xml:space="preserve">local TOMO verification around SFTF candidates.</w:t>
      </w:r>
      <w:r>
        <w:t xml:space="preserve"> </w:t>
      </w:r>
      <w:r>
        <w:t xml:space="preserve">The budget is the mean fraction 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 grid covered by the union of local windows.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dget curve of top-K local TOMO verification around SFTF candidates. The budget is the mean fraction of the 1^\circ TOMO grid covered by the union of local window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Mean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grid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bookmarkEnd w:id="28"/>
    <w:p>
      <w:pPr>
        <w:pStyle w:val="BodyText"/>
      </w:pPr>
      <w:r>
        <w:t xml:space="preserve">Budget-matched controls in Table </w:t>
      </w:r>
      <w:hyperlink w:anchor="tab:budget-matched-basel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test whether the value is the</w:t>
      </w:r>
      <w:r>
        <w:t xml:space="preserve"> </w:t>
      </w:r>
      <w:r>
        <w:rPr>
          <w:i/>
          <w:iCs/>
        </w:rPr>
        <w:t xml:space="preserve">placement</w:t>
      </w:r>
      <w:r>
        <w:t xml:space="preserve"> </w:t>
      </w:r>
      <w:r>
        <w:t xml:space="preserve">of the local windows or only the amount of grid inspected. On these organic meshes a budget-matched farthest-point uniform-axis control performs on par with SFTF and is slightly better in the worst case, so the top-</w:t>
      </w:r>
      <m:oMath>
        <m:r>
          <m:t>20</m:t>
        </m:r>
      </m:oMath>
      <w:r>
        <w:t xml:space="preserve"> </w:t>
      </w:r>
      <w:r>
        <w:t xml:space="preserve">ranking is not a decisive advantage over simply spreading the same verification budget; a random-seed control is weaker. Section </w:t>
      </w:r>
      <w:hyperlink w:anchor="sec:limits">
        <w:r>
          <w:rPr>
            <w:rStyle w:val="Hyperlink"/>
          </w:rPr>
          <w:t xml:space="preserve">4.5</w:t>
        </w:r>
      </w:hyperlink>
      <w:r>
        <w:t xml:space="preserve"> </w:t>
      </w:r>
      <w:r>
        <w:t xml:space="preserve">shows that on the large mechanical parts of groups D–E the uniform control is in fact clearly better than SFTF, which bounds the regime in which the ranking is useful.</w:t>
      </w:r>
    </w:p>
    <w:bookmarkStart w:id="29" w:name="tab:budget-matched-baseline"/>
    <w:p>
      <w:pPr>
        <w:pStyle w:val="TableCaption"/>
      </w:pPr>
      <w:r>
        <w:t xml:space="preserve">Budget-matched local TOMO controls at the per-mesh SFTF top-</w:t>
      </w:r>
      <m:oMath>
        <m:r>
          <m:t>20</m:t>
        </m:r>
      </m:oMath>
      <w:r>
        <w:t xml:space="preserve"> </w:t>
      </w:r>
      <w:r>
        <w:t xml:space="preserve">grid-cell budget (five organic stored meshes).</w:t>
      </w:r>
      <w:r>
        <w:t xml:space="preserve"> </w:t>
      </w:r>
      <w:r>
        <w:t xml:space="preserve">The uniform-axis control matches SFTF in the mean and is better in the worst case; the warm-start value on these meshes is therefore not the window placement.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dget-matched local TOMO controls at the per-mesh SFTF top-20 grid-cell budget (five organic stored meshes). The uniform-axis control matches SFTF in the mean and is better in the worst case; the warm-start value on these meshes is therefore not the window placeme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SFTF top-</w:t>
            </w:r>
            <m:oMath>
              <m:r>
                <m:t>20</m:t>
              </m:r>
            </m:oMath>
            <w:r>
              <w:t xml:space="preserve"> </w:t>
            </w: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Uniform-axis matched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matched (median)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bookmarkEnd w:id="29"/>
    <w:p>
      <w:pPr>
        <w:pStyle w:val="BodyText"/>
      </w:pPr>
      <w:r>
        <w:t xml:space="preserve">Table </w:t>
      </w:r>
      <w:hyperlink w:anchor="tab:av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the resulting automatic escalation policy. Adaptive Verification Escalation (AVE) escalates only when ordinary top-</w:t>
      </w:r>
      <m:oMath>
        <m:r>
          <m:t>10</m:t>
        </m:r>
      </m:oMath>
      <w:r>
        <w:t xml:space="preserve"> </w:t>
      </w:r>
      <w:r>
        <w:t xml:space="preserve">local verification is uncertain. The trigger uses local-verification quantities only,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η</m:t>
              </m:r>
              <m:r>
                <m:rPr>
                  <m:sty m:val="p"/>
                </m:rPr>
                <m:t>≥</m:t>
              </m:r>
              <m:r>
                <m:t>0.008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∨</m:t>
              </m:r>
              <m:r>
                <m:t>g</m:t>
              </m:r>
              <m:r>
                <m:rPr>
                  <m:sty m:val="p"/>
                </m:rPr>
                <m:t>≤</m:t>
              </m:r>
              <m:r>
                <m:t>1.5</m:t>
              </m:r>
              <m:r>
                <m:rPr>
                  <m:sty m:val="p"/>
                </m:rPr>
                <m:t>∨</m:t>
              </m:r>
              <m:r>
                <m:t>g</m:t>
              </m:r>
              <m:r>
                <m:rPr>
                  <m:sty m:val="p"/>
                </m:rPr>
                <m:t>≥</m:t>
              </m:r>
              <m:r>
                <m:t>3.0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t>g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that the best local cell lies within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 a window boundary; a small gain</w:t>
      </w:r>
      <w:r>
        <w:t xml:space="preserve"> </w:t>
      </w:r>
      <m:oMath>
        <m:r>
          <m:t>g</m:t>
        </m:r>
        <m:r>
          <m:rPr>
            <m:sty m:val="p"/>
          </m:rPr>
          <m:t>≤</m:t>
        </m:r>
        <m:r>
          <m:t>1.5</m:t>
        </m:r>
      </m:oMath>
      <w:r>
        <w:t xml:space="preserve"> </w:t>
      </w:r>
      <w:r>
        <w:t xml:space="preserve">means the window search barely improved on the seed (a plateau), while a large gain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3.0</m:t>
        </m:r>
      </m:oMath>
      <w:r>
        <w:t xml:space="preserve"> </w:t>
      </w:r>
      <w:r>
        <w:t xml:space="preserve">means it moved far (an unreliable seed). A boundary case with</w:t>
      </w:r>
      <w:r>
        <w:t xml:space="preserve"> </w:t>
      </w:r>
      <m:oMath>
        <m:r>
          <m:t>g</m:t>
        </m:r>
        <m:r>
          <m:rPr>
            <m:sty m:val="p"/>
          </m:rPr>
          <m:t>≤</m:t>
        </m:r>
        <m:r>
          <m:t>1.5</m:t>
        </m:r>
      </m:oMath>
      <w:r>
        <w:t xml:space="preserve"> </w:t>
      </w:r>
      <w:r>
        <w:t xml:space="preserve">is routed to deeper escalation. These thresholds were re-fit on the overflow-corrected grids; the original submission used</w:t>
      </w:r>
      <w:r>
        <w:t xml:space="preserve"> </w:t>
      </w:r>
      <m:oMath>
        <m:r>
          <m:t>η</m:t>
        </m:r>
        <m:r>
          <m:rPr>
            <m:sty m:val="p"/>
          </m:rPr>
          <m:t>≥</m:t>
        </m:r>
        <m:r>
          <m:t>0.03</m:t>
        </m:r>
      </m:oMath>
      <w:r>
        <w:t xml:space="preserve"> </w:t>
      </w:r>
      <w:r>
        <w:t xml:space="preserve">and shallower escalation, tuned when the large parts were excluded. Escalation only expands the verified candidate set, so it can spend more budget but cannot worsen the selected verified value.</w:t>
      </w:r>
    </w:p>
    <w:bookmarkStart w:id="30" w:name="tab:ave"/>
    <w:p>
      <w:pPr>
        <w:pStyle w:val="TableCaption"/>
      </w:pPr>
      <w:r>
        <w:t xml:space="preserve">Adaptive Verification Escalation (AVE) from top-</w:t>
      </w:r>
      <m:oMath>
        <m:r>
          <m:t>10</m:t>
        </m:r>
      </m:oMath>
      <w:r>
        <w:t xml:space="preserve"> </w:t>
      </w:r>
      <w:r>
        <w:t xml:space="preserve">local TOMO verification on the five organic stored meshes.</w:t>
      </w:r>
      <w:r>
        <w:t xml:space="preserve"> </w:t>
      </w:r>
      <w:r>
        <w:t xml:space="preserve">On the corrected grids the base top-</w:t>
      </w:r>
      <m:oMath>
        <m:r>
          <m:t>10</m:t>
        </m:r>
      </m:oMath>
      <w:r>
        <w:t xml:space="preserve"> </w:t>
      </w:r>
      <w:r>
        <w:t xml:space="preserve">policy already keeps all five below ratio</w:t>
      </w:r>
      <w:r>
        <w:t xml:space="preserve"> </w:t>
      </w:r>
      <m:oMath>
        <m:r>
          <m:t>2.0</m:t>
        </m:r>
      </m:oMath>
      <w:r>
        <w:t xml:space="preserve">, so the escalation only trims the mean; the case that genuinely exercises AVE is the large-mechanical-part audit of Table </w:t>
      </w:r>
      <w:hyperlink w:anchor="tab:ave-g5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aptive Verification Escalation (AVE) from top-10 local TOMO verification on the five organic stored meshes. On the corrected grids the base top-10 policy already keeps all five below ratio 2.0, so the escalation only trims the mean; the case that genuinely exercises AVE is the large-mechanical-part audit of Table 5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10</m:t>
              </m:r>
            </m:oMath>
            <w:r>
              <w:t xml:space="preserve"> </w:t>
            </w: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bookmarkEnd w:id="30"/>
    <w:p>
      <w:pPr>
        <w:pStyle w:val="BodyText"/>
      </w:pPr>
      <w:r>
        <w:t xml:space="preserve">The five stored meshes are in-sample for the detector thresholds. Table </w:t>
      </w:r>
      <w:hyperlink w:anchor="tab:ave-g5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held-out cached A–E audit, which contains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ratio-valid records after excluding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records with nonpositive TOMO best values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The valid set is larger than in the original submission because a signed-volume defect in the TOMO_CPU voxel accumulator (a</w:t>
      </w:r>
      <w:r>
        <w:t xml:space="preserve"> </w:t>
      </w:r>
      <m:oMath>
        <m:r>
          <m:t>16</m:t>
        </m:r>
      </m:oMath>
      <w:r>
        <w:t xml:space="preserve">-bit per-column overflow) had corrupted the support volume of the high-face-count group-E meshes; with the accumulator corrected, those meshes yield positive TOMO optima and become ratio-valid. They are genuinely hard for a coarse candidate generator, so the AVE thresholds were re-fit on the corrected grids (a lower normalized-support gate, deeper escalation, and an added large-jump trigger); the SFTF candidate ranking itself is unchanged.</w:t>
      </w:r>
    </w:p>
    <w:bookmarkStart w:id="31" w:name="tab:ave-g5"/>
    <w:p>
      <w:pPr>
        <w:pStyle w:val="TableCaption"/>
      </w:pPr>
      <w:r>
        <w:t xml:space="preserve">Cached five-group audit of the tiered AVE policy on ratio-valid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TOMO_CPU records.</w:t>
      </w:r>
      <w:r>
        <w:t xml:space="preserve"> </w:t>
      </w:r>
      <w:r>
        <w:t xml:space="preserve">The top-</w:t>
      </w:r>
      <m:oMath>
        <m:r>
          <m:t>10</m:t>
        </m:r>
      </m:oMath>
      <w:r>
        <w:t xml:space="preserve"> </w:t>
      </w:r>
      <w:r>
        <w:t xml:space="preserve">baseline over all ratio-valid records has mean ratio</w:t>
      </w:r>
      <w:r>
        <w:t xml:space="preserve"> </w:t>
      </w:r>
      <m:oMath>
        <m:r>
          <m:t>5.10</m:t>
        </m:r>
      </m:oMath>
      <w:r>
        <w:t xml:space="preserve">, maximum</w:t>
      </w:r>
      <w:r>
        <w:t xml:space="preserve"> </w:t>
      </w:r>
      <m:oMath>
        <m:r>
          <m:t>62.59</m:t>
        </m:r>
      </m:oMath>
      <w:r>
        <w:t xml:space="preserve">, mean budget</w:t>
      </w:r>
      <w:r>
        <w:t xml:space="preserve"> </w:t>
      </w:r>
      <m:oMath>
        <m:r>
          <m:t>2.26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14</m:t>
        </m:r>
        <m:r>
          <m:rPr>
            <m:sty m:val="p"/>
          </m:rPr>
          <m:t>/</m:t>
        </m:r>
        <m:r>
          <m:t>21</m:t>
        </m:r>
      </m:oMath>
      <w:r>
        <w:t xml:space="preserve"> </w:t>
      </w:r>
      <w:r>
        <w:t xml:space="preserve">records below ratio</w:t>
      </w:r>
      <w:r>
        <w:t xml:space="preserve"> </w:t>
      </w:r>
      <m:oMath>
        <m:r>
          <m:t>2.0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ched five-group audit of the tiered AVE policy on ratio-valid 1^\circ, \theta_c=60^\circ TOMO_CPU records. The top-10 baseline over all ratio-valid records has mean ratio 5.10, maximum 62.59, mean budget 2.26\%, and 14/21 records below ratio 2.0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</w:tr>
    </w:tbl>
    <w:bookmarkEnd w:id="31"/>
    <w:p>
      <w:pPr>
        <w:pStyle w:val="BodyText"/>
      </w:pPr>
      <w:r>
        <w:t xml:space="preserve">The audit reduces the maximum ratio from</w:t>
      </w:r>
      <w:r>
        <w:t xml:space="preserve"> </w:t>
      </w:r>
      <m:oMath>
        <m:r>
          <m:t>62.59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1.93</m:t>
        </m:r>
      </m:oMath>
      <w:r>
        <w:t xml:space="preserve"> </w:t>
      </w:r>
      <w:r>
        <w:t xml:space="preserve">and keeps all ratio-valid records below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with a mean budget of</w:t>
      </w:r>
      <w:r>
        <w:t xml:space="preserve"> </w:t>
      </w:r>
      <m:oMath>
        <m:r>
          <m:t>13.94</m:t>
        </m:r>
        <m:r>
          <m:rPr>
            <m:sty m:val="p"/>
          </m:rPr>
          <m:t>%</m:t>
        </m:r>
      </m:oMath>
      <w:r>
        <w:t xml:space="preserve">. The budget is higher than the original submission’s because AVE now escalates on the recovered group-E meshes: the escalation is what keeps them below ratio</w:t>
      </w:r>
      <w:r>
        <w:t xml:space="preserve"> </w:t>
      </w:r>
      <m:oMath>
        <m:r>
          <m:t>2.0</m:t>
        </m:r>
      </m:oMath>
      <w:r>
        <w:t xml:space="preserve">, and the mean budget still inspects under one seventh 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grid. The single hardest case is the</w:t>
      </w:r>
      <w:r>
        <w:t xml:space="preserve"> </w:t>
      </w:r>
      <m:oMath>
        <m:r>
          <m:t>1.04</m:t>
        </m:r>
      </m:oMath>
      <w:r>
        <w:t xml:space="preserve">M-face</w:t>
      </w:r>
      <w:r>
        <w:t xml:space="preserve"> </w:t>
      </w:r>
      <w:r>
        <w:rPr>
          <w:i/>
          <w:iCs/>
        </w:rPr>
        <w:t xml:space="preserve">Group_E2_790253</w:t>
      </w:r>
      <w:r>
        <w:t xml:space="preserve"> </w:t>
      </w:r>
      <w:r>
        <w:t xml:space="preserve">at ratio</w:t>
      </w:r>
      <w:r>
        <w:t xml:space="preserve"> </w:t>
      </w:r>
      <m:oMath>
        <m:r>
          <m:t>1.93</m:t>
        </m:r>
      </m:oMath>
      <w:r>
        <w:t xml:space="preserve">; its optimum basin is only partly covered even at the deepest escalation, marking the practical ceiling of coarse SFTF candidate coverage on large parts.</w:t>
      </w:r>
    </w:p>
    <w:bookmarkStart w:id="40" w:name="representative-tomo-landscapes"/>
    <w:p>
      <w:pPr>
        <w:pStyle w:val="Heading3"/>
      </w:pPr>
      <w:r>
        <w:t xml:space="preserve">Representative TOMO Landscapes</w:t>
      </w:r>
    </w:p>
    <w:p>
      <w:pPr>
        <w:pStyle w:val="FirstParagraph"/>
      </w:pPr>
      <w:r>
        <w:t xml:space="preserve">Figures </w:t>
      </w:r>
      <w:hyperlink w:anchor="fig:dragon-landscap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 </w:t>
      </w:r>
      <w:hyperlink w:anchor="fig:happy-landscap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 the contrast between a broad-basin ordinary case and the</w:t>
      </w:r>
      <w:r>
        <w:t xml:space="preserve"> </w:t>
      </w:r>
      <w:r>
        <w:rPr>
          <w:i/>
          <w:iCs/>
        </w:rPr>
        <w:t xml:space="preserve">Happy 50k</w:t>
      </w:r>
      <w:r>
        <w:t xml:space="preserve"> </w:t>
      </w:r>
      <w:r>
        <w:t xml:space="preserve">hard case. Additional</w:t>
      </w:r>
      <w:r>
        <w:t xml:space="preserve"> </w:t>
      </w:r>
      <w:r>
        <w:rPr>
          <w:i/>
          <w:iCs/>
        </w:rPr>
        <w:t xml:space="preserve">Bunny 69k</w:t>
      </w:r>
      <w:r>
        <w:t xml:space="preserve">,</w:t>
      </w:r>
      <w:r>
        <w:t xml:space="preserve"> </w:t>
      </w:r>
      <w:r>
        <w:rPr>
          <w:i/>
          <w:iCs/>
        </w:rPr>
        <w:t xml:space="preserve">Manikin 13k</w:t>
      </w:r>
      <w:r>
        <w:t xml:space="preserve">, and</w:t>
      </w:r>
      <w:r>
        <w:t xml:space="preserve"> </w:t>
      </w:r>
      <w:r>
        <w:rPr>
          <w:i/>
          <w:iCs/>
        </w:rPr>
        <w:t xml:space="preserve">Lucy 50k</w:t>
      </w:r>
      <w:r>
        <w:t xml:space="preserve"> </w:t>
      </w:r>
      <w:r>
        <w:t xml:space="preserve">landscapes are provided in Supplementary Figs. S5–S7.</w:t>
      </w:r>
    </w:p>
    <w:bookmarkStart w:id="35" w:name="fig:dragon-landscape"/>
    <w:p>
      <w:pPr>
        <w:pStyle w:val="CaptionedFigure"/>
      </w:pPr>
      <w:r>
        <w:drawing>
          <wp:inline>
            <wp:extent cx="4160520" cy="267216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ics/_docx_auto/appendix_contour_drag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67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Representative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</w:t>
      </w:r>
      <w:r>
        <w:t xml:space="preserve"> </w:t>
      </w:r>
      <w:r>
        <w:rPr>
          <w:i/>
          <w:iCs/>
        </w:rPr>
        <w:t xml:space="preserve">Dragon 100k</w:t>
      </w:r>
      <w:r>
        <w:t xml:space="preserve">. The global optimum forms a distinct low-cost basin, illustrating a non-hard case where coarse SFTF candidates already cover useful regions.</w:t>
      </w:r>
    </w:p>
    <w:bookmarkEnd w:id="35"/>
    <w:bookmarkStart w:id="39" w:name="fig:happy-landscape"/>
    <w:p>
      <w:pPr>
        <w:pStyle w:val="CaptionedFigure"/>
      </w:pPr>
      <w:r>
        <w:drawing>
          <wp:inline>
            <wp:extent cx="5334000" cy="342584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ics/_docx_auto/appendix_contour_happ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Happy 50k</w:t>
      </w:r>
      <w:r>
        <w:t xml:space="preserve"> </w:t>
      </w:r>
      <w:r>
        <w:t xml:space="preserve">before and after AVE on the same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(corrected grids; TOMO optimum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513</m:t>
        </m:r>
      </m:oMath>
      <w:r>
        <w:t xml:space="preserve">). The base top-</w:t>
      </w:r>
      <m:oMath>
        <m:r>
          <m:t>10</m:t>
        </m:r>
      </m:oMath>
      <w:r>
        <w:t xml:space="preserve"> </w:t>
      </w:r>
      <w:r>
        <w:t xml:space="preserve">local verification lands at ratio</w:t>
      </w:r>
      <w:r>
        <w:t xml:space="preserve"> </w:t>
      </w:r>
      <m:oMath>
        <m:r>
          <m:t>1.84</m:t>
        </m:r>
      </m:oMath>
      <w:r>
        <w:t xml:space="preserve"> </w:t>
      </w:r>
      <w:r>
        <w:t xml:space="preserve">and AVE improves it to</w:t>
      </w:r>
      <w:r>
        <w:t xml:space="preserve"> </w:t>
      </w:r>
      <m:oMath>
        <m:r>
          <m:t>1.66</m:t>
        </m:r>
      </m:oMath>
      <w:r>
        <w:t xml:space="preserve">; unlike the earlier overflow-affected data, on the corrected landscape</w:t>
      </w:r>
      <w:r>
        <w:t xml:space="preserve"> </w:t>
      </w:r>
      <w:r>
        <w:rPr>
          <w:i/>
          <w:iCs/>
        </w:rPr>
        <w:t xml:space="preserve">Happy 50k</w:t>
      </w:r>
      <w:r>
        <w:t xml:space="preserve"> </w:t>
      </w:r>
      <w:r>
        <w:t xml:space="preserve">is only a mild hard case, and the decisive escalation cases are the large mechanical parts of Table </w:t>
      </w:r>
      <w:hyperlink w:anchor="tab:ave-g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39"/>
    <w:bookmarkEnd w:id="40"/>
    <w:bookmarkEnd w:id="41"/>
    <w:bookmarkStart w:id="50" w:name="sec:ablation"/>
    <w:p>
      <w:pPr>
        <w:pStyle w:val="Heading2"/>
      </w:pPr>
      <w:r>
        <w:t xml:space="preserve">Feature Contribution and Generalization</w:t>
      </w:r>
    </w:p>
    <w:p>
      <w:pPr>
        <w:pStyle w:val="FirstParagraph"/>
      </w:pPr>
      <w:bookmarkStart w:id="42" w:name="sec:unified"/>
      <w:bookmarkEnd w:id="42"/>
      <w:r>
        <w:t xml:space="preserve"> </w:t>
      </w:r>
      <w:bookmarkStart w:id="43" w:name="sec:cv"/>
      <w:bookmarkEnd w:id="43"/>
      <w:r>
        <w:t xml:space="preserve"> </w:t>
      </w:r>
      <w:bookmarkStart w:id="44" w:name="sec:baseline"/>
      <w:bookmarkEnd w:id="44"/>
      <w:r>
        <w:t xml:space="preserve"> </w:t>
      </w:r>
      <w:bookmarkStart w:id="45" w:name="sec:robustness"/>
      <w:bookmarkEnd w:id="45"/>
    </w:p>
    <w:p>
      <w:pPr>
        <w:pStyle w:val="BodyText"/>
      </w:pPr>
      <w:r>
        <w:t xml:space="preserve">Table </w:t>
      </w:r>
      <w:hyperlink w:anchor="tab:feature-cor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Spearman rank correlations over the full candidate pools and shows that the build-plate term is the most stable single predictor of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.</w:t>
      </w:r>
    </w:p>
    <w:bookmarkStart w:id="46" w:name="tab:feature-corr"/>
    <w:p>
      <w:pPr>
        <w:pStyle w:val="TableCaption"/>
      </w:pPr>
      <w:r>
        <w:t xml:space="preserve">Spearman rank correlation between features and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over the entire candidate pool.</w:t>
      </w:r>
      <w:r>
        <w:t xml:space="preserve"> </w:t>
      </w:r>
      <w:r>
        <w:t xml:space="preserve">The larger the positive value, the more valid the feature is as a cost.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arman rank correlation between features and TOMO v_{ss} over the entire candidate pool. The larger the positive value, the more valid the feature is as a cost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(Rayleigh)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(pair flow)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(build-plate)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(hit count)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0.82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t xml:space="preserve"> </w:t>
            </w:r>
            <w:r>
              <w:t xml:space="preserve">(nuclear)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0.20</m:t>
              </m:r>
            </m:oMath>
            <w:r>
              <w:t xml:space="preserve">​</w:t>
            </w:r>
          </w:p>
        </w:tc>
      </w:tr>
    </w:tbl>
    <w:bookmarkEnd w:id="46"/>
    <w:p>
      <w:pPr>
        <w:pStyle w:val="BodyText"/>
      </w:pPr>
      <w:r>
        <w:t xml:space="preserve">The full objective ablation is moved to Supplementary Table S5. It shows that adding nuclear/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terms does not alter candidate selection, while tensor-only variants are weakest. Table </w:t>
      </w:r>
      <w:hyperlink w:anchor="tab:unified-corr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then separates the unified Rayleigh term from its components. The ground-node reformulation explains why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merely a scalar patch: the unified Rayleigh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tensor contraction and has the strongest average single-feature correlation.</w:t>
      </w:r>
    </w:p>
    <w:bookmarkStart w:id="47" w:name="tab:unified-corr"/>
    <w:p>
      <w:pPr>
        <w:pStyle w:val="TableCaption"/>
      </w:pPr>
      <w:r>
        <w:t xml:space="preserve">Spearman correlation of the unified Rayleigh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single terms with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(higher is better).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was computed directly from the augmented tensor and agrees 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arman correlation of the unified Rayleigh term \tilde R=R+B and single terms with TOMO v_{ss} (higher is better). \tilde R was computed directly from the augmented tensor and agrees with R+B within 10^{-12}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</w:tbl>
    <w:bookmarkEnd w:id="47"/>
    <w:p>
      <w:pPr>
        <w:pStyle w:val="BodyText"/>
      </w:pPr>
      <w:r>
        <w:t xml:space="preserve">The best-of-3 comparison in Supplementary Table S6 shows the same trend: excluding the</w:t>
      </w:r>
      <w:r>
        <w:t xml:space="preserve"> </w:t>
      </w:r>
      <w:r>
        <w:rPr>
          <w:i/>
          <w:iCs/>
        </w:rPr>
        <w:t xml:space="preserve">Happy 50k</w:t>
      </w:r>
      <w:r>
        <w:t xml:space="preserve"> </w:t>
      </w:r>
      <w:r>
        <w:t xml:space="preserve">hard case, removing the negative-signal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 (from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to build-plate-only</w:t>
      </w:r>
      <w:r>
        <w:t xml:space="preserve"> </w:t>
      </w:r>
      <m:oMath>
        <m:r>
          <m:t>B</m:t>
        </m:r>
      </m:oMath>
      <w:r>
        <w:t xml:space="preserve">) improves the mean ratio from</w:t>
      </w:r>
      <w:r>
        <w:t xml:space="preserve"> </w:t>
      </w:r>
      <m:oMath>
        <m:r>
          <m:t>2.00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1.67</m:t>
        </m:r>
      </m:oMath>
      <w:r>
        <w:t xml:space="preserve">. A height-convention check also supported the current sign choice: amplification for tall build-plate support and attenuation for distant face-to-face support.</w:t>
      </w:r>
    </w:p>
    <w:p>
      <w:pPr>
        <w:pStyle w:val="BodyText"/>
      </w:pPr>
      <w:r>
        <w:t xml:space="preserve">Cross-validation exposes the optimism of calibration-set rank tuning. Table </w:t>
      </w:r>
      <w:hyperlink w:anchor="tab:lomo-cv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summarizes the leave-one-mesh-out (LOMO) check: training excludes the target mesh, fits the rank-normalized weights on the others, and evaluates the held-out best-of-3 ratio.</w:t>
      </w:r>
    </w:p>
    <w:bookmarkStart w:id="48" w:name="tab:lomo-cv"/>
    <w:p>
      <w:pPr>
        <w:pStyle w:val="TableCaption"/>
      </w:pPr>
      <w:r>
        <w:t xml:space="preserve">LOMO cross-validation best-of-3 ratio of rank tuning (lower is better).</w:t>
      </w:r>
      <w:r>
        <w:t xml:space="preserve"> </w:t>
      </w:r>
      <w:r>
        <w:t xml:space="preserve">The in-sample column is the calibration-set fit value reported in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.</w:t>
      </w:r>
      <w:r>
        <w:t xml:space="preserve"> </w:t>
      </w:r>
      <w:r>
        <w:t xml:space="preserve">The oracle is the best direction existing within the candidate pool, representing the upper bound of candidate generation.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MO cross-validation best-of-3 ratio of rank tuning (lower is better). The in-sample column is the calibration-set fit value reported in Table 1. The oracle is the best direction existing within the candidate pool, representing the upper bound of candidate gener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untuned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in-sample (reported)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1.71</w:t>
            </w:r>
          </w:p>
        </w:tc>
      </w:tr>
    </w:tbl>
    <w:bookmarkEnd w:id="48"/>
    <w:p>
      <w:pPr>
        <w:pStyle w:val="BodyText"/>
      </w:pPr>
      <w:r>
        <w:t xml:space="preserve">The in-sample average</w:t>
      </w:r>
      <w:r>
        <w:t xml:space="preserve"> </w:t>
      </w:r>
      <m:oMath>
        <m:r>
          <m:t>1.64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t>1.71</m:t>
        </m:r>
      </m:oMath>
      <w:r>
        <w:t xml:space="preserve"> </w:t>
      </w:r>
      <w:r>
        <w:t xml:space="preserve">under LOMO on these organic meshes, still better than PCA (</w:t>
      </w:r>
      <m:oMath>
        <m:r>
          <m:t>1.95</m:t>
        </m:r>
      </m:oMath>
      <w:r>
        <w:t xml:space="preserve">) and the symmetric Support Tensor baseline (</w:t>
      </w:r>
      <m:oMath>
        <m:r>
          <m:t>2.46</m:t>
        </m:r>
      </m:oMath>
      <w:r>
        <w:t xml:space="preserve">);</w:t>
      </w:r>
      <w:r>
        <w:t xml:space="preserve"> </w:t>
      </w:r>
      <w:r>
        <w:rPr>
          <w:i/>
          <w:iCs/>
        </w:rPr>
        <w:t xml:space="preserve">Manikin 13k</w:t>
      </w:r>
      <w:r>
        <w:t xml:space="preserve"> </w:t>
      </w:r>
      <w:r>
        <w:t xml:space="preserve">is the one case where PCA (</w:t>
      </w:r>
      <m:oMath>
        <m:r>
          <m:t>2.90</m:t>
        </m:r>
      </m:oMath>
      <w:r>
        <w:t xml:space="preserve">) edges out the tuned SFTF ordering (</w:t>
      </w:r>
      <m:oMath>
        <m:r>
          <m:t>3.02</m:t>
        </m:r>
      </m:oMath>
      <w:r>
        <w:t xml:space="preserve">). Table </w:t>
      </w:r>
      <w:hyperlink w:anchor="tab:unified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summarizes this comparison. The generalization margin is much smaller than the overflow-affected data suggested, and §</w:t>
      </w:r>
      <w:hyperlink w:anchor="sec:limits">
        <w:r>
          <w:rPr>
            <w:rStyle w:val="Hyperlink"/>
          </w:rPr>
          <w:t xml:space="preserve">4.5</w:t>
        </w:r>
      </w:hyperlink>
      <w:r>
        <w:t xml:space="preserve"> </w:t>
      </w:r>
      <w:r>
        <w:t xml:space="preserve">shows it does not hold at all on large mechanical parts. This reinforces the role of rank tuning as an organic-mesh candidate-ordering heuristic, not as the final optimizer; the reliable result is obtained when SFTF candidates are followed by local TOMO verification as in §</w:t>
      </w:r>
      <w:hyperlink w:anchor="sec:ave">
        <w:r>
          <w:rPr>
            <w:rStyle w:val="Hyperlink"/>
          </w:rPr>
          <w:t xml:space="preserve">[sec:ave]</w:t>
        </w:r>
      </w:hyperlink>
      <w:r>
        <w:t xml:space="preserve">.</w:t>
      </w:r>
    </w:p>
    <w:bookmarkStart w:id="49" w:name="tab:unified"/>
    <w:p>
      <w:pPr>
        <w:pStyle w:val="TableCaption"/>
      </w:pPr>
      <w:r>
        <w:t xml:space="preserve">Unified comparison of existing methods and SFTF (best-of-3 signed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ratio, lower is better).</w:t>
      </w:r>
      <w:r>
        <w:t xml:space="preserve"> </w:t>
      </w:r>
      <w:r>
        <w:t xml:space="preserve">SFTF-tuned is the five-mesh LOMO estimate for rank-only candidate ordering.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fied comparison of existing methods and SFTF (best-of-3 signed v_{ss} ratio, lower is better). SFTF-tuned is the five-mesh LOMO estimate for rank-only candidate ordering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 Tensor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untuned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tuned (LOMO)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</w:tr>
    </w:tbl>
    <w:bookmarkEnd w:id="49"/>
    <w:bookmarkEnd w:id="50"/>
    <w:bookmarkStart w:id="56" w:name="sec:fivegroup"/>
    <w:p>
      <w:pPr>
        <w:pStyle w:val="Heading2"/>
      </w:pPr>
      <w:r>
        <w:t xml:space="preserve">Five-Group Implementation Audit</w:t>
      </w:r>
    </w:p>
    <w:p>
      <w:pPr>
        <w:pStyle w:val="FirstParagraph"/>
      </w:pPr>
      <w:bookmarkStart w:id="51" w:name="sec:impl-compare"/>
      <w:bookmarkEnd w:id="51"/>
      <w:r>
        <w:t xml:space="preserve"> </w:t>
      </w:r>
      <w:bookmarkStart w:id="52" w:name="sec:groupE"/>
      <w:bookmarkEnd w:id="52"/>
      <w:r>
        <w:t xml:space="preserve"> </w:t>
      </w:r>
      <w:bookmarkStart w:id="53" w:name="sec:critangle"/>
      <w:bookmarkEnd w:id="53"/>
      <w:r>
        <w:t xml:space="preserve"> </w:t>
      </w:r>
      <w:bookmarkStart w:id="54" w:name="sec:kray-discussion"/>
      <w:bookmarkEnd w:id="54"/>
    </w:p>
    <w:p>
      <w:pPr>
        <w:pStyle w:val="BodyText"/>
      </w:pPr>
      <w:r>
        <w:t xml:space="preserve">The A–E audit separates shape difficulty from mesh scale.</w:t>
      </w:r>
    </w:p>
    <w:p>
      <w:pPr>
        <w:pStyle w:val="BodyText"/>
      </w:pPr>
      <w:r>
        <w:t xml:space="preserve">It compares TOMO_CPU, TOMO_CUDA, Python SFTF, and C++ SFTF on the same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sweep setting. The full per-mesh timing table is in Supplementary Table S1; Table </w:t>
      </w:r>
      <w:hyperlink w:anchor="tab:fivegroup-imp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keeps the group averages.</w:t>
      </w:r>
    </w:p>
    <w:bookmarkStart w:id="55" w:name="tab:fivegroup-impl"/>
    <w:p>
      <w:pPr>
        <w:pStyle w:val="TableCaption"/>
      </w:pPr>
      <w:r>
        <w:t xml:space="preserve">Group-wise average execution time and speed ratio.</w:t>
      </w:r>
      <w:r>
        <w:t xml:space="preserve"> </w:t>
      </w:r>
      <w:r>
        <w:t xml:space="preserve">The C++ SFTF average is in ms, and the TOMO and Python SFTF averages are in seconds.</w:t>
      </w:r>
      <w:r>
        <w:t xml:space="preserve"> </w:t>
      </w:r>
      <w:r>
        <w:t xml:space="preserve">The speed ranges use the same definitions as Supplementary Table S1:</w:t>
      </w:r>
      <w:r>
        <w:t xml:space="preserve"> </w:t>
      </w:r>
      <w:r>
        <w:t xml:space="preserve">TOMO_CPU over Python SFTF and TOMO_CPU over SFTF_C++.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oup-wise average execution time and speed ratio. The C++ SFTF average is in ms, and the TOMO and Python SFTF averages are in seconds. The speed ranges use the same definitions as Supplementary Table S1: TOMO_CPU over Python SFTF and TOMO_CPU over SFTF_C++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TOMO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SFTF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(lr)</w:t>
            </w:r>
            <w:r>
              <w:t xml:space="preserve">6-7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CUDA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C++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CPU/py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CPU/C++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54.4</m:t>
              </m:r>
            </m:oMath>
            <w:r>
              <w:t xml:space="preserve">–</w:t>
            </w:r>
            <m:oMath>
              <m:r>
                <m:t>381.9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683</m:t>
              </m:r>
            </m:oMath>
            <w:r>
              <w:t xml:space="preserve">–</w:t>
            </w:r>
            <m:oMath>
              <m:r>
                <m:t>50</m:t>
              </m:r>
              <m:r>
                <m:rPr>
                  <m:sty m:val="p"/>
                </m:rPr>
                <m:t>,</m:t>
              </m:r>
              <m:r>
                <m:t>641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58.0</m:t>
              </m:r>
            </m:oMath>
            <w:r>
              <w:t xml:space="preserve">–</w:t>
            </w:r>
            <m:oMath>
              <m:r>
                <m:t>269.0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857</m:t>
              </m:r>
            </m:oMath>
            <w:r>
              <w:t xml:space="preserve">–</w:t>
            </w:r>
            <m:oMath>
              <m:r>
                <m:t>56</m:t>
              </m:r>
              <m:r>
                <m:rPr>
                  <m:sty m:val="p"/>
                </m:rPr>
                <m:t>,</m:t>
              </m:r>
              <m:r>
                <m:t>027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23.3</m:t>
              </m:r>
            </m:oMath>
            <w:r>
              <w:t xml:space="preserve">–</w:t>
            </w:r>
            <m:oMath>
              <m:r>
                <m:t>36.9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192</m:t>
              </m:r>
            </m:oMath>
            <w:r>
              <w:t xml:space="preserve">–</w:t>
            </w:r>
            <m:oMath>
              <m:r>
                <m:t>854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12.8</m:t>
              </m:r>
            </m:oMath>
            <w:r>
              <w:t xml:space="preserve">–</w:t>
            </w:r>
            <m:oMath>
              <m:r>
                <m:t>128.8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213</m:t>
              </m:r>
            </m:oMath>
            <w:r>
              <w:t xml:space="preserve">–</w:t>
            </w: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920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4345.17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4457.7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8.3</m:t>
              </m:r>
            </m:oMath>
            <w:r>
              <w:t xml:space="preserve">–</w:t>
            </w:r>
            <m:oMath>
              <m:r>
                <m:t>123.0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56.8</m:t>
              </m:r>
            </m:oMath>
            <w:r>
              <w:t xml:space="preserve">–</w:t>
            </w:r>
            <m:oMath>
              <m:r>
                <m:t>526.4</m:t>
              </m:r>
              <m:r>
                <m:rPr>
                  <m:sty m:val="p"/>
                </m:rPr>
                <m:t>×</m:t>
              </m:r>
            </m:oMath>
          </w:p>
        </w:tc>
      </w:tr>
    </w:tbl>
    <w:bookmarkEnd w:id="55"/>
    <w:p>
      <w:pPr>
        <w:pStyle w:val="BodyText"/>
      </w:pPr>
      <w:r>
        <w:t xml:space="preserve">Over all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meshes, Python SFTF is</w:t>
      </w:r>
      <w:r>
        <w:t xml:space="preserve"> </w:t>
      </w:r>
      <m:oMath>
        <m:r>
          <m:t>8.3</m:t>
        </m:r>
      </m:oMath>
      <w:r>
        <w:t xml:space="preserve">–</w:t>
      </w:r>
      <m:oMath>
        <m:r>
          <m:t>381.9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TOMO_CPU, while SFTF_C++ is</w:t>
      </w:r>
      <w:r>
        <w:t xml:space="preserve"> </w:t>
      </w:r>
      <m:oMath>
        <m:r>
          <m:t>56.8</m:t>
        </m:r>
      </m:oMath>
      <w:r>
        <w:t xml:space="preserve">–</w:t>
      </w:r>
      <m:oMath>
        <m:r>
          <m:t>56</m:t>
        </m:r>
        <m:r>
          <m:rPr>
            <m:sty m:val="p"/>
          </m:rPr>
          <m:t>,</m:t>
        </m:r>
        <m:r>
          <m:t>027</m:t>
        </m:r>
        <m:r>
          <m:rPr>
            <m:sty m:val="p"/>
          </m:rPr>
          <m:t>×</m:t>
        </m:r>
      </m:oMath>
      <w:r>
        <w:t xml:space="preserve"> </w:t>
      </w:r>
      <w:r>
        <w:t xml:space="preserve">faster. TOMO_CUDA helps on simple A/B shapes but is often slower than CPU on organic and large meshes in this environment, so the dominant gain is algorithmic: reducing the number of directions to evaluate, not merely changing the exhaustive-sweep backend. Group E confirms bounded scaling: the clipped ray budget in Eq. </w:t>
      </w:r>
      <w:hyperlink w:anchor="eq:kray-budget">
        <w:r>
          <w:rPr>
            <w:rStyle w:val="Hyperlink"/>
          </w:rPr>
          <w:t xml:space="preserve">[eq:kray-budget]</w:t>
        </w:r>
      </w:hyperlink>
      <w:r>
        <w:t xml:space="preserve"> </w:t>
      </w:r>
      <w:r>
        <w:t xml:space="preserve">caps per-direction ray cost at</w:t>
      </w:r>
      <w:r>
        <w:t xml:space="preserve"> </w:t>
      </w:r>
      <m:oMath>
        <m:r>
          <m:t>3000</m:t>
        </m:r>
      </m:oMath>
      <w:r>
        <w:t xml:space="preserve"> </w:t>
      </w:r>
      <w:r>
        <w:t xml:space="preserve">samples, so large meshes near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 remain feasible. Supplementary Table S2 gives the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/</m:t>
        </m:r>
        <m:r>
          <m:t>B</m:t>
        </m:r>
      </m:oMath>
      <w:r>
        <w:t xml:space="preserve">/hit decomposition, Supplementary Table S3 gives the critical-angle sweeps, Supplementary Fig. S1 shows the five-group best/worst overlay, and Supplementary Figs. S2–S4 visualize the</w:t>
      </w:r>
      <w:r>
        <w:t xml:space="preserve"> </w:t>
      </w:r>
      <w:r>
        <w:rPr>
          <w:i/>
          <w:iCs/>
        </w:rPr>
        <w:t xml:space="preserve">Bunny 69k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trade-off. These results support the intended role of SFTF: a fast, interpretable candidate generator whose outputs are verified locally by TOMO or a slicer.</w:t>
      </w:r>
    </w:p>
    <w:bookmarkEnd w:id="56"/>
    <w:bookmarkStart w:id="58" w:name="sec:limits"/>
    <w:p>
      <w:pPr>
        <w:pStyle w:val="Heading2"/>
      </w:pPr>
      <w:r>
        <w:t xml:space="preserve">Limitations: candidate ranking does not transfer to large mechanical parts</w:t>
      </w:r>
    </w:p>
    <w:p>
      <w:pPr>
        <w:pStyle w:val="FirstParagraph"/>
      </w:pPr>
      <w:r>
        <w:t xml:space="preserve">The correlation and warm-start evidence above is drawn from the organic freeform meshes (group C), on which the tensor features predict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(build-plate term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mean Spearman</w:t>
      </w:r>
      <w:r>
        <w:t xml:space="preserve"> </w:t>
      </w:r>
      <m:oMath>
        <m:r>
          <m:t>0.59</m:t>
        </m:r>
      </m:oMath>
      <w:r>
        <w:t xml:space="preserve">, unified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r>
          <m:t>0.61</m:t>
        </m:r>
      </m:oMath>
      <w:r>
        <w:t xml:space="preserve">). This does not carry over to the large mechanical parts of groups D–E. Measured over a uniform direction set, the Spearman correlation between every SFTF feature and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near zero on those parts (for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on D/E and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Group_E10</w:t>
      </w:r>
      <w:r>
        <w:t xml:space="preserve">), so the tuned score carries essentially no ranking signal there and its top-</w:t>
      </w:r>
      <m:oMath>
        <m:r>
          <m:t>20</m:t>
        </m:r>
      </m:oMath>
      <w:r>
        <w:t xml:space="preserve"> </w:t>
      </w:r>
      <w:r>
        <w:t xml:space="preserve">candidates cluster near the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non-maximum-suppression floor, covering only a narrow angular region. The optimum-covering candidate then sits deep in the pool (rank</w:t>
      </w:r>
      <w:r>
        <w:t xml:space="preserve"> </w:t>
      </w:r>
      <m:oMath>
        <m:r>
          <m:t>41</m:t>
        </m:r>
      </m:oMath>
      <w:r>
        <w:t xml:space="preserve">–</w:t>
      </w:r>
      <m:oMath>
        <m:r>
          <m:t>255</m:t>
        </m:r>
      </m:oMath>
      <w:r>
        <w:t xml:space="preserve">, and outside the pool entirely for the</w:t>
      </w:r>
      <w:r>
        <w:t xml:space="preserve"> </w:t>
      </w:r>
      <m:oMath>
        <m:r>
          <m:t>1.04</m:t>
        </m:r>
      </m:oMath>
      <w:r>
        <w:t xml:space="preserve">M-face</w:t>
      </w:r>
      <w:r>
        <w:t xml:space="preserve"> </w:t>
      </w:r>
      <w:r>
        <w:rPr>
          <w:i/>
          <w:iCs/>
        </w:rPr>
        <w:t xml:space="preserve">Group_E2_790253</w:t>
      </w:r>
      <w:r>
        <w:t xml:space="preserve">), which is why Adaptive Verification Escalation must spend a substantially larger budget on group E to recover a good orientation (Table </w:t>
      </w:r>
      <w:hyperlink w:anchor="tab:ave-g5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A budget-matched control makes the consequence explicit. Extending the comparison of Table </w:t>
      </w:r>
      <w:hyperlink w:anchor="tab:budget-matched-basel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to all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ratio-valid A–E meshes at the top-</w:t>
      </w:r>
      <m:oMath>
        <m:r>
          <m:t>20</m:t>
        </m:r>
      </m:oMath>
      <w:r>
        <w:t xml:space="preserve"> </w:t>
      </w:r>
      <w:r>
        <w:t xml:space="preserve">budget, a farthest-point uniform-axis seeding clearly outperforms the SFTF ranking, and even a random seeding does:</w:t>
      </w:r>
    </w:p>
    <w:bookmarkStart w:id="57" w:name="tab:budget-matched-g5"/>
    <w:p>
      <w:pPr>
        <w:pStyle w:val="TableCaption"/>
      </w:pPr>
      <w:r>
        <w:t xml:space="preserve">Budget-matched local TOMO controls over the full</w:t>
      </w:r>
      <w:r>
        <w:t xml:space="preserve"> </w:t>
      </w:r>
      <m:oMath>
        <m:r>
          <m:t>21</m:t>
        </m:r>
      </m:oMath>
      <w:r>
        <w:t xml:space="preserve">-mesh ratio-valid set (top-</w:t>
      </w:r>
      <m:oMath>
        <m:r>
          <m:t>20</m:t>
        </m:r>
      </m:oMath>
      <w:r>
        <w:t xml:space="preserve"> </w:t>
      </w:r>
      <w:r>
        <w:t xml:space="preserve">grid-cell budget,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grid). On the large mechanical parts, spreading the same budget uniformly beats the SFTF candidate ranking.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dget-matched local TOMO controls over the full 21-mesh ratio-valid set (top-20 grid-cell budget, \approx 4\% of the 1^\circ grid). On the large mechanical parts, spreading the same budget uniformly beats the SFTF candidate ranking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SFTF top-</w:t>
            </w:r>
            <m:oMath>
              <m:r>
                <m:t>20</m:t>
              </m:r>
            </m:oMath>
            <w:r>
              <w:t xml:space="preserve"> </w:t>
            </w: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Uniform-axis matched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matched (median)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</w:tr>
    </w:tbl>
    <w:bookmarkEnd w:id="57"/>
    <w:p>
      <w:pPr>
        <w:pStyle w:val="BodyText"/>
      </w:pPr>
      <w:r>
        <w:t xml:space="preserve">We report this openly because an earlier version of this study, before a</w:t>
      </w:r>
      <w:r>
        <w:t xml:space="preserve"> </w:t>
      </w:r>
      <m:oMath>
        <m:r>
          <m:t>16</m:t>
        </m:r>
      </m:oMath>
      <w:r>
        <w:t xml:space="preserve">-bit overflow in the TOMO_CPU voxel accumulator was corrected, excluded all of these large parts as having nonpositive support volume; the corrected data admits them and reveals the limit. A partial explanation is that on mechanical parts the symmetric second-moment tensor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of Eq. (1) is actually the more useful predictor: its Rayleigh quotient</w:t>
      </w:r>
      <w:r>
        <w:t xml:space="preserve"> </w:t>
      </w:r>
      <m:oMath>
        <m:sSup>
          <m:e>
            <m:r>
              <m:t>n</m:t>
            </m:r>
          </m:e>
          <m:sup>
            <m:r>
              <m:t>T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has mean Spearman</w:t>
      </w:r>
      <w:r>
        <w:t xml:space="preserve"> </w:t>
      </w:r>
      <m:oMath>
        <m:r>
          <m:t>0.51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over the valid set (versus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for the asymmetric score), though it, too, fails on a minority of parts and does not by itself beat uniform seeding. The practical takeaway is that SFTF is best positioned as a fast, interpretable candidate generator for organic freeform parts, and as a warm start it should be combined with, not substituted for, broad angular coverage on large mechanical geometries.</w:t>
      </w:r>
    </w:p>
    <w:bookmarkEnd w:id="58"/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proposed a direction evaluation method that combines the Support Flow Tensor Field and a build-plate penalty for build-orientation optimization in additive manufacturing.</w:t>
      </w:r>
      <w:r>
        <w:t xml:space="preserve"> </w:t>
      </w:r>
      <w:r>
        <w:t xml:space="preserve">The eigenvector interpretation of the existing symmetric tensor is useful for shape directionality, but</w:t>
      </w:r>
      <w:r>
        <w:t xml:space="preserve"> </w:t>
      </w:r>
      <w:r>
        <w:t xml:space="preserve">it does not sufficiently reflect direction-dependent overhangs, internal visibility, and the build-plate support requirement.</w:t>
      </w:r>
    </w:p>
    <w:p>
      <w:pPr>
        <w:pStyle w:val="BodyText"/>
      </w:pPr>
      <w:r>
        <w:t xml:space="preserve">The current algorithm directly computes an asymmetric Support Flow Tensor for each candidate direction, and</w:t>
      </w:r>
      <w:r>
        <w:t xml:space="preserve"> </w:t>
      </w:r>
      <w:r>
        <w:t xml:space="preserve">constructs a basic objective function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that combines the Rayleigh support cost, the face-to-face support volume, and the build-plate penalty.</w:t>
      </w:r>
      <w:r>
        <w:t xml:space="preserve"> </w:t>
      </w:r>
      <w:r>
        <w:t xml:space="preserve">In the actual final candidate selection, it applies a rank-normalized tuning score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a candidate pool made by coarse spherical sampling and small-angle refined sampling,</w:t>
      </w:r>
      <w:r>
        <w:t xml:space="preserve"> </w:t>
      </w:r>
      <w:r>
        <w:t xml:space="preserve">to choose promising orientations to pass to slicer/TOMO verification.</w:t>
      </w:r>
      <w:r>
        <w:t xml:space="preserve"> </w:t>
      </w:r>
      <w:r>
        <w:t xml:space="preserve">When used this way on organic freeform parts, verifying the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neighborhoods of only the top-</w:t>
      </w:r>
      <m:oMath>
        <m:r>
          <m:t>20</m:t>
        </m:r>
      </m:oMath>
      <w:r>
        <w:t xml:space="preserve"> </w:t>
      </w:r>
      <w:r>
        <w:t xml:space="preserve">candidates recovers a mean</w:t>
      </w:r>
      <w:r>
        <w:t xml:space="preserve"> </w:t>
      </w:r>
      <w:r>
        <w:t xml:space="preserve">support-volume ratio of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(maximum</w:t>
      </w:r>
      <w:r>
        <w:t xml:space="preserve"> </w:t>
      </w:r>
      <m:oMath>
        <m:r>
          <m:t>1.66</m:t>
        </m:r>
      </m:oMath>
      <w:r>
        <w:t xml:space="preserve">) while inspecting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grid, and the</w:t>
      </w:r>
      <w:r>
        <w:t xml:space="preserve"> </w:t>
      </w:r>
      <w:r>
        <w:t xml:space="preserve">AVE automatically widens this budget only for detected hard cases (§</w:t>
      </w:r>
      <w:hyperlink w:anchor="sec:ave">
        <w:r>
          <w:rPr>
            <w:rStyle w:val="Hyperlink"/>
          </w:rPr>
          <w:t xml:space="preserve">[sec:ave]</w:t>
        </w:r>
      </w:hyperlink>
      <w:r>
        <w:t xml:space="preserve">). On large mechanical parts, however, the tensor features no longer predict support volume and this ranking advantage disappears (§</w:t>
      </w:r>
      <w:hyperlink w:anchor="sec:limits">
        <w:r>
          <w:rPr>
            <w:rStyle w:val="Hyperlink"/>
          </w:rPr>
          <w:t xml:space="preserve">4.5</w:t>
        </w:r>
      </w:hyperlink>
      <w:r>
        <w:t xml:space="preserve">).</w:t>
      </w:r>
    </w:p>
    <w:p>
      <w:pPr>
        <w:pStyle w:val="BodyText"/>
      </w:pPr>
      <w:r>
        <w:t xml:space="preserve">The quantitative analysis (§</w:t>
      </w:r>
      <w:hyperlink w:anchor="sec:ablation">
        <w:r>
          <w:rPr>
            <w:rStyle w:val="Hyperlink"/>
          </w:rPr>
          <w:t xml:space="preserve">4.3</w:t>
        </w:r>
      </w:hyperlink>
      <w:r>
        <w:t xml:space="preserve">) shows both the strengths and limitations of the method.</w:t>
      </w:r>
      <w:r>
        <w:t xml:space="preserve"> </w:t>
      </w:r>
      <w:r>
        <w:t xml:space="preserve">On the five stored meshes, cross-validated SFTF rank tuning is superior to PCA and Support Tensor eigenvector directions, supporting the starting assumption.</w:t>
      </w:r>
      <w:r>
        <w:t xml:space="preserve"> </w:t>
      </w:r>
      <w:r>
        <w:t xml:space="preserve">At the same time, the five-group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nested CV shows that rank-only scoring is not sufficiently reliable as a standalone optimizer.</w:t>
      </w:r>
      <w:r>
        <w:t xml:space="preserve"> </w:t>
      </w:r>
      <w:r>
        <w:t xml:space="preserve">Most of the predictive power originates from the build-plate penalty and the internal visibility evaluation,</w:t>
      </w:r>
      <w:r>
        <w:t xml:space="preserve"> </w:t>
      </w:r>
      <w:r>
        <w:t xml:space="preserve">the marginal contribution of some tensor-derived terms such as nuclear/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small, and</w:t>
      </w:r>
      <w:r>
        <w:t xml:space="preserve"> </w:t>
      </w:r>
      <w:r>
        <w:t xml:space="preserve">the calibrated rank tuning weights show an optimistic bias on unseen meshes.</w:t>
      </w:r>
      <w:r>
        <w:t xml:space="preserve"> </w:t>
      </w:r>
      <w:r>
        <w:t xml:space="preserve">Meanwhile, in §</w:t>
      </w:r>
      <w:hyperlink w:anchor="sec:groundnode">
        <w:r>
          <w:rPr>
            <w:rStyle w:val="Hyperlink"/>
          </w:rPr>
          <w:t xml:space="preserve">2.2</w:t>
        </w:r>
      </w:hyperlink>
      <w:r>
        <w:t xml:space="preserve">–§</w:t>
      </w:r>
      <w:hyperlink w:anchor="sec:unified">
        <w:r>
          <w:rPr>
            <w:rStyle w:val="Hyperlink"/>
          </w:rPr>
          <w:t xml:space="preserve">[sec:unified]</w:t>
        </w:r>
      </w:hyperlink>
      <w:r>
        <w:t xml:space="preserve"> </w:t>
      </w:r>
      <w:r>
        <w:t xml:space="preserve">we showed that the build-plate penalty is exactly equivalent</w:t>
      </w:r>
      <w:r>
        <w:t xml:space="preserve"> </w:t>
      </w:r>
      <w:r>
        <w:t xml:space="preserve">to the Rayleigh contribution obtained by adding a virtual ground node to the flow tensor.</w:t>
      </w:r>
      <w:r>
        <w:t xml:space="preserve"> </w:t>
      </w:r>
      <w:r>
        <w:t xml:space="preserve">This unifies the term driving the predictive power into the tensor contraction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, justifying the</w:t>
      </w:r>
      <w:r>
        <w:t xml:space="preserve"> </w:t>
      </w:r>
      <w:r>
        <w:t xml:space="preserve">“tensor”</w:t>
      </w:r>
      <w:r>
        <w:t xml:space="preserve"> </w:t>
      </w:r>
      <w:r>
        <w:t xml:space="preserve">formulation,</w:t>
      </w:r>
      <w:r>
        <w:t xml:space="preserve"> </w:t>
      </w:r>
      <w:r>
        <w:t xml:space="preserve">and confirms that on the organic meshes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, excluding the negative-signal face-to-face support volume</w:t>
      </w:r>
      <w:r>
        <w:t xml:space="preserve"> </w:t>
      </w:r>
      <m:oMath>
        <m:r>
          <m:t>P</m:t>
        </m:r>
      </m:oMath>
      <w:r>
        <w:t xml:space="preserve">, is superior to the existing</w:t>
      </w:r>
      <w:r>
        <w:t xml:space="preserve"> </w:t>
      </w:r>
      <m:oMath>
        <m:r>
          <m:t>J</m:t>
        </m:r>
      </m:oMath>
      <w:r>
        <w:t xml:space="preserve">. As §</w:t>
      </w:r>
      <w:hyperlink w:anchor="sec:limits">
        <w:r>
          <w:rPr>
            <w:rStyle w:val="Hyperlink"/>
          </w:rPr>
          <w:t xml:space="preserve">4.5</w:t>
        </w:r>
      </w:hyperlink>
      <w:r>
        <w:t xml:space="preserve"> </w:t>
      </w:r>
      <w:r>
        <w:t xml:space="preserve">details, this predictive power is specific to organic freeform geometry and does not extend to large mechanical parts.</w:t>
      </w:r>
    </w:p>
    <w:p>
      <w:pPr>
        <w:pStyle w:val="BodyText"/>
      </w:pPr>
      <w:r>
        <w:t xml:space="preserve">Therefore, in future work we will (i) determine the weights on a cross-validation basis rather than a calibration set to control overfitting,</w:t>
      </w:r>
      <w:r>
        <w:t xml:space="preserve"> </w:t>
      </w:r>
      <w:r>
        <w:t xml:space="preserve">(ii) remove terms with marginal contribution or replace them with features highly correlated with the actual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w:r>
        <w:t xml:space="preserve">such as face-to-face self-support coverage or a support-volume proxy,</w:t>
      </w:r>
      <w:r>
        <w:t xml:space="preserve"> </w:t>
      </w:r>
      <w:r>
        <w:t xml:space="preserve">(iii) normalize the dimensions of the objective-function terms to secure the physical meaning and transferability of the weights,</w:t>
      </w:r>
      <w:r>
        <w:t xml:space="preserve"> </w:t>
      </w:r>
      <w:r>
        <w:t xml:space="preserve">(iv) add projection-area, print-height, and contact-stability terms to extend to a multi-objective orientation optimization model, and</w:t>
      </w:r>
      <w:r>
        <w:t xml:space="preserve"> </w:t>
      </w:r>
      <w:r>
        <w:t xml:space="preserve">(v) as observed in §</w:t>
      </w:r>
      <w:hyperlink w:anchor="sec:critangle">
        <w:r>
          <w:rPr>
            <w:rStyle w:val="Hyperlink"/>
          </w:rPr>
          <w:t xml:space="preserve">[sec:critangle]</w:t>
        </w:r>
      </w:hyperlink>
      <w:r>
        <w:t xml:space="preserve">, since the TOMO optimal orientation shifts with the critical angle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while</w:t>
      </w:r>
      <w:r>
        <w:t xml:space="preserve"> </w:t>
      </w:r>
      <w:r>
        <w:t xml:space="preserve">the current SFTF candidates are invariant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extend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-dependent candidate generation with overhang truncation turned on.</w:t>
      </w:r>
      <w:r>
        <w:t xml:space="preserve"> </w:t>
      </w:r>
      <w:r>
        <w:t xml:space="preserve">For cases where the ordinary top-</w:t>
      </w:r>
      <m:oMath>
        <m:r>
          <m:t>K</m:t>
        </m:r>
      </m:oMath>
      <w:r>
        <w:t xml:space="preserve"> </w:t>
      </w:r>
      <w:r>
        <w:t xml:space="preserve">candidate generation does not include a stable near-optimal basin,</w:t>
      </w:r>
      <w:r>
        <w:t xml:space="preserve"> </w:t>
      </w:r>
      <w:r>
        <w:t xml:space="preserve">AVE provides an automatic escalation path, and future work will refine its thresholds on a larger family-held-out validation set.</w:t>
      </w:r>
    </w:p>
    <w:bookmarkEnd w:id="60"/>
    <w:bookmarkStart w:id="102" w:name="statements-and-declarations"/>
    <w:p>
      <w:pPr>
        <w:pStyle w:val="Heading1"/>
      </w:pPr>
      <w:r>
        <w:t xml:space="preserve">Statements and Declarations</w:t>
      </w:r>
    </w:p>
    <w:bookmarkStart w:id="61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Funding information is provided separately in the submission system and title-page file to preserve double-anonymous review.</w:t>
      </w:r>
    </w:p>
    <w:bookmarkEnd w:id="61"/>
    <w:bookmarkStart w:id="6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62"/>
    <w:bookmarkStart w:id="6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numerical results reported in this manuscript are based on cached mesh-evaluation records, support-volume grids, and generated summary tables maintained with the research code.</w:t>
      </w:r>
      <w:r>
        <w:t xml:space="preserve"> </w:t>
      </w:r>
      <w:r>
        <w:t xml:space="preserve">An anonymized repository or supplementary archive can be supplied during peer review, and the permanent public repository link can be provided after acceptance.</w:t>
      </w:r>
      <w:r>
        <w:t xml:space="preserve"> </w:t>
      </w:r>
      <w:r>
        <w:t xml:space="preserve">Third-party mesh models should be obtained from their original sources subject to their respective licenses.</w:t>
      </w:r>
    </w:p>
    <w:bookmarkEnd w:id="63"/>
    <w:bookmarkStart w:id="64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code and scripts supporting the reported results will be made publicly available upon acceptance.</w:t>
      </w:r>
      <w:r>
        <w:t xml:space="preserve"> </w:t>
      </w:r>
      <w:r>
        <w:t xml:space="preserve">An anonymized review archive can be provided during peer review if required.</w:t>
      </w:r>
    </w:p>
    <w:bookmarkEnd w:id="64"/>
    <w:bookmarkStart w:id="65" w:name="use-of-artificial-intelligence-tools"/>
    <w:p>
      <w:pPr>
        <w:pStyle w:val="Heading2"/>
      </w:pPr>
      <w:r>
        <w:t xml:space="preserve">Use of artificial intelligence tools</w:t>
      </w:r>
    </w:p>
    <w:p>
      <w:pPr>
        <w:pStyle w:val="FirstParagraph"/>
      </w:pPr>
      <w:r>
        <w:t xml:space="preserve">AI coding assistants, including OpenAI Codex and Anthropic Claude Code, were used to assist with portions of research-code implementation, figure-generation scripts, and manuscript-support automation.</w:t>
      </w:r>
      <w:r>
        <w:t xml:space="preserve"> </w:t>
      </w:r>
      <w:r>
        <w:t xml:space="preserve">All generated code, experimental results, and manuscript changes were reviewed and validated by the author.</w:t>
      </w:r>
    </w:p>
    <w:bookmarkEnd w:id="65"/>
    <w:bookmarkStart w:id="66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</w:t>
      </w:r>
    </w:p>
    <w:bookmarkEnd w:id="66"/>
    <w:bookmarkStart w:id="101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Start w:id="100" w:name="refs"/>
    <w:bookmarkStart w:id="67" w:name="ref-gibs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Gibson I, Rosen D, Stucker B. Additive Manufacturing Technologies. 2nd ed. Springer: New York; 2015.</w:t>
      </w:r>
    </w:p>
    <w:bookmarkEnd w:id="67"/>
    <w:bookmarkStart w:id="69" w:name="ref-das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Das P, Mhapsekar K, Chowdhury S, et al. Selection of build orientation for optimal support structures and minimum part errors in additive manufacturing. Computer-Aided Design and Applications 2017;14(sup1):1–13; doi:</w:t>
      </w:r>
      <w:r>
        <w:t xml:space="preserve"> </w:t>
      </w:r>
      <w:hyperlink r:id="rId68">
        <w:r>
          <w:rPr>
            <w:rStyle w:val="Hyperlink"/>
          </w:rPr>
          <w:t xml:space="preserve">10.1080/16864360.2017.1308074</w:t>
        </w:r>
      </w:hyperlink>
      <w:r>
        <w:t xml:space="preserve">.</w:t>
      </w:r>
    </w:p>
    <w:bookmarkEnd w:id="69"/>
    <w:bookmarkStart w:id="71" w:name="ref-wang201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Wang CCL, Leung Y-S, Chen Y. Solid modeling of polyhedral objects by layered depth-normal images on the</w:t>
      </w:r>
      <w:r>
        <w:t xml:space="preserve"> </w:t>
      </w:r>
      <w:r>
        <w:t xml:space="preserve">GPU</w:t>
      </w:r>
      <w:r>
        <w:t xml:space="preserve">. Computer-Aided Design 2010;42(6):535–544; doi:</w:t>
      </w:r>
      <w:r>
        <w:t xml:space="preserve"> </w:t>
      </w:r>
      <w:hyperlink r:id="rId70">
        <w:r>
          <w:rPr>
            <w:rStyle w:val="Hyperlink"/>
          </w:rPr>
          <w:t xml:space="preserve">10.1016/j.cad.2010.02.001</w:t>
        </w:r>
      </w:hyperlink>
      <w:r>
        <w:t xml:space="preserve">.</w:t>
      </w:r>
    </w:p>
    <w:bookmarkEnd w:id="71"/>
    <w:bookmarkStart w:id="73" w:name="ref-vaissier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Vaissier B, Pernot J-P, Chougrani L, et al. Genetic-algorithm based framework for lattice support structure optimization in additive manufacturing. Computer-Aided Design 2019;110:11–23; doi:</w:t>
      </w:r>
      <w:r>
        <w:t xml:space="preserve"> </w:t>
      </w:r>
      <w:hyperlink r:id="rId72">
        <w:r>
          <w:rPr>
            <w:rStyle w:val="Hyperlink"/>
          </w:rPr>
          <w:t xml:space="preserve">10.1016/j.cad.2018.12.007</w:t>
        </w:r>
      </w:hyperlink>
      <w:r>
        <w:t xml:space="preserve">.</w:t>
      </w:r>
    </w:p>
    <w:bookmarkEnd w:id="73"/>
    <w:bookmarkStart w:id="75" w:name="ref-jiang2018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Jiang J, Stringer J, Xu X, et al. Investigation of printable threshold overhang angle in extrusion-based additive manufacturing for reducing support waste. International Journal of Computer Integrated Manufacturing 2018;31(10):961–969; doi:</w:t>
      </w:r>
      <w:r>
        <w:t xml:space="preserve"> </w:t>
      </w:r>
      <w:hyperlink r:id="rId74">
        <w:r>
          <w:rPr>
            <w:rStyle w:val="Hyperlink"/>
          </w:rPr>
          <w:t xml:space="preserve">10.1080/0951192X.2018.1466398</w:t>
        </w:r>
      </w:hyperlink>
      <w:r>
        <w:t xml:space="preserve">.</w:t>
      </w:r>
    </w:p>
    <w:bookmarkEnd w:id="75"/>
    <w:bookmarkStart w:id="77" w:name="ref-mirzendehdel2016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Mirzendehdel AM, Suresh K. Support structure constrained topology optimization for additive manufacturing. Computer-Aided Design 2016;81:1–13; doi:</w:t>
      </w:r>
      <w:r>
        <w:t xml:space="preserve"> </w:t>
      </w:r>
      <w:hyperlink r:id="rId76">
        <w:r>
          <w:rPr>
            <w:rStyle w:val="Hyperlink"/>
          </w:rPr>
          <w:t xml:space="preserve">10.1016/j.cad.2016.07.006</w:t>
        </w:r>
      </w:hyperlink>
      <w:r>
        <w:t xml:space="preserve">.</w:t>
      </w:r>
    </w:p>
    <w:bookmarkEnd w:id="77"/>
    <w:bookmarkStart w:id="79" w:name="ref-langelaar2018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Langelaar M. Combined optimization of part topology, support structure layout and build orientation for additive manufacturing. Structural and Multidisciplinary Optimization 2018;57(5):1985–2004; doi:</w:t>
      </w:r>
      <w:r>
        <w:t xml:space="preserve"> </w:t>
      </w:r>
      <w:hyperlink r:id="rId78">
        <w:r>
          <w:rPr>
            <w:rStyle w:val="Hyperlink"/>
          </w:rPr>
          <w:t xml:space="preserve">10.1007/s00158-017-1877-z</w:t>
        </w:r>
      </w:hyperlink>
      <w:r>
        <w:t xml:space="preserve">.</w:t>
      </w:r>
    </w:p>
    <w:bookmarkEnd w:id="79"/>
    <w:bookmarkStart w:id="81" w:name="ref-dai2018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Dai C, Wang CCL, Wu C, et al. Support-free volume printing by multi-axis motion. ACM Transactions on Graphics 2018;37(4):1–14; doi:</w:t>
      </w:r>
      <w:r>
        <w:t xml:space="preserve"> </w:t>
      </w:r>
      <w:hyperlink r:id="rId80">
        <w:r>
          <w:rPr>
            <w:rStyle w:val="Hyperlink"/>
          </w:rPr>
          <w:t xml:space="preserve">10.1145/3197517.3201342</w:t>
        </w:r>
      </w:hyperlink>
      <w:r>
        <w:t xml:space="preserve">.</w:t>
      </w:r>
    </w:p>
    <w:bookmarkEnd w:id="81"/>
    <w:bookmarkStart w:id="83" w:name="ref-ezair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Ezair B, Massarwi F, Elber G. Orientation analysis of</w:t>
      </w:r>
      <w:r>
        <w:t xml:space="preserve"> </w:t>
      </w:r>
      <w:r>
        <w:t xml:space="preserve">3D</w:t>
      </w:r>
      <w:r>
        <w:t xml:space="preserve"> </w:t>
      </w:r>
      <w:r>
        <w:t xml:space="preserve">objects toward minimal support volume in</w:t>
      </w:r>
      <w:r>
        <w:t xml:space="preserve"> </w:t>
      </w:r>
      <w:r>
        <w:t xml:space="preserve">3D</w:t>
      </w:r>
      <w:r>
        <w:t xml:space="preserve">-printing. Computers &amp; Graphics 2015;51:117–124; doi:</w:t>
      </w:r>
      <w:r>
        <w:t xml:space="preserve"> </w:t>
      </w:r>
      <w:hyperlink r:id="rId82">
        <w:r>
          <w:rPr>
            <w:rStyle w:val="Hyperlink"/>
          </w:rPr>
          <w:t xml:space="preserve">10.1016/j.cag.2015.05.009</w:t>
        </w:r>
      </w:hyperlink>
      <w:r>
        <w:t xml:space="preserve">.</w:t>
      </w:r>
    </w:p>
    <w:bookmarkEnd w:id="83"/>
    <w:bookmarkStart w:id="85" w:name="ref-msst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Jung JY, Chee S, Sul IH. Support structure tomography using per-pixel signed shadow casting in human manikin</w:t>
      </w:r>
      <w:r>
        <w:t xml:space="preserve"> </w:t>
      </w:r>
      <w:r>
        <w:t xml:space="preserve">3D</w:t>
      </w:r>
      <w:r>
        <w:t xml:space="preserve"> </w:t>
      </w:r>
      <w:r>
        <w:t xml:space="preserve">printing. Fashion and Textiles 2022;9(1):1–18; doi:</w:t>
      </w:r>
      <w:r>
        <w:t xml:space="preserve"> </w:t>
      </w:r>
      <w:hyperlink r:id="rId84">
        <w:r>
          <w:rPr>
            <w:rStyle w:val="Hyperlink"/>
          </w:rPr>
          <w:t xml:space="preserve">10.1186/s40691-022-00290-z</w:t>
        </w:r>
      </w:hyperlink>
      <w:r>
        <w:t xml:space="preserve">.</w:t>
      </w:r>
    </w:p>
    <w:bookmarkEnd w:id="85"/>
    <w:bookmarkStart w:id="87" w:name="ref-gpumsst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Kim JR, Sul IH. Fast prediction of</w:t>
      </w:r>
      <w:r>
        <w:t xml:space="preserve"> </w:t>
      </w:r>
      <w:r>
        <w:t xml:space="preserve">3D</w:t>
      </w:r>
      <w:r>
        <w:t xml:space="preserve"> </w:t>
      </w:r>
      <w:r>
        <w:t xml:space="preserve">printing optimal orientation using general-purpose graphic processor unit calculation. 3D Printing and Additive Manufacturing 2026;13(1):50–62; doi:</w:t>
      </w:r>
      <w:r>
        <w:t xml:space="preserve"> </w:t>
      </w:r>
      <w:hyperlink r:id="rId86">
        <w:r>
          <w:rPr>
            <w:rStyle w:val="Hyperlink"/>
          </w:rPr>
          <w:t xml:space="preserve">10.1089/3dp.2024.0165</w:t>
        </w:r>
      </w:hyperlink>
      <w:r>
        <w:t xml:space="preserve">.</w:t>
      </w:r>
    </w:p>
    <w:bookmarkEnd w:id="87"/>
    <w:bookmarkStart w:id="89" w:name="ref-gaynor2014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Gaynor AT, Meisel NA, Williams CB, et al. Topology Optimization for Additive Manufacturing: Considering Maximum Overhang Constraint. In: 15th AIAA/ISSMO Multidisciplinary Analysis and Optimization Conference 2014; p. 2036; doi:</w:t>
      </w:r>
      <w:r>
        <w:t xml:space="preserve"> </w:t>
      </w:r>
      <w:hyperlink r:id="rId88">
        <w:r>
          <w:rPr>
            <w:rStyle w:val="Hyperlink"/>
          </w:rPr>
          <w:t xml:space="preserve">10.2514/6.2014-2036</w:t>
        </w:r>
      </w:hyperlink>
      <w:r>
        <w:t xml:space="preserve">.</w:t>
      </w:r>
    </w:p>
    <w:bookmarkEnd w:id="89"/>
    <w:bookmarkStart w:id="91" w:name="ref-garcke2023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Garcke H, Lam KF, Nürnberg R, et al. Overhang penalization in additive manufacturing via phase field structural topology optimization with anisotropic energies. Applied Mathematics &amp; Optimization 2023;87(3):44; doi:</w:t>
      </w:r>
      <w:r>
        <w:t xml:space="preserve"> </w:t>
      </w:r>
      <w:hyperlink r:id="rId90">
        <w:r>
          <w:rPr>
            <w:rStyle w:val="Hyperlink"/>
          </w:rPr>
          <w:t xml:space="preserve">10.1007/s00245-022-09939-z</w:t>
        </w:r>
      </w:hyperlink>
      <w:r>
        <w:t xml:space="preserve">.</w:t>
      </w:r>
    </w:p>
    <w:bookmarkEnd w:id="91"/>
    <w:bookmarkStart w:id="93" w:name="ref-shin202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Shin S, Park Y, Yoon GH. Topology optimization for multi-axis additive manufacturing considering overhang and anisotropy. International Journal of Mechanical Sciences 2025;301:110443; doi:</w:t>
      </w:r>
      <w:r>
        <w:t xml:space="preserve"> </w:t>
      </w:r>
      <w:hyperlink r:id="rId92">
        <w:r>
          <w:rPr>
            <w:rStyle w:val="Hyperlink"/>
          </w:rPr>
          <w:t xml:space="preserve">10.1016/j.ijmecsci.2025.110443</w:t>
        </w:r>
      </w:hyperlink>
      <w:r>
        <w:t xml:space="preserve">.</w:t>
      </w:r>
    </w:p>
    <w:bookmarkEnd w:id="93"/>
    <w:bookmarkStart w:id="94" w:name="ref-smith2025patent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Smith R, Hollenbeck MC. Build Orientation for Additive Manufacturing of Complex Structures. 2025.</w:t>
      </w:r>
    </w:p>
    <w:bookmarkEnd w:id="94"/>
    <w:bookmarkStart w:id="96" w:name="ref-kanatani1984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Kanatani K-I. Distribution of directional data and fabric tensors. International Journal of Engineering Science 1984;22(2):149–164; doi:</w:t>
      </w:r>
      <w:r>
        <w:t xml:space="preserve"> </w:t>
      </w:r>
      <w:hyperlink r:id="rId95">
        <w:r>
          <w:rPr>
            <w:rStyle w:val="Hyperlink"/>
          </w:rPr>
          <w:t xml:space="preserve">10.1016/0020-7225(84)90090-9</w:t>
        </w:r>
      </w:hyperlink>
      <w:r>
        <w:t xml:space="preserve">.</w:t>
      </w:r>
    </w:p>
    <w:bookmarkEnd w:id="96"/>
    <w:bookmarkStart w:id="98" w:name="ref-conover1981rank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Conover WJ, Iman RL. Rank transformations as a bridge between parametric and nonparametric statistics. The American Statistician 1981;35(3):124–129; doi:</w:t>
      </w:r>
      <w:r>
        <w:t xml:space="preserve"> </w:t>
      </w:r>
      <w:hyperlink r:id="rId97">
        <w:r>
          <w:rPr>
            <w:rStyle w:val="Hyperlink"/>
          </w:rPr>
          <w:t xml:space="preserve">10.1080/00031305.1981.10479327</w:t>
        </w:r>
      </w:hyperlink>
      <w:r>
        <w:t xml:space="preserve">.</w:t>
      </w:r>
    </w:p>
    <w:bookmarkEnd w:id="98"/>
    <w:bookmarkStart w:id="99" w:name="ref-Thingi10K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Zhou Q, Jacobson A. Thingi10K: A dataset of 10,000</w:t>
      </w:r>
      <w:r>
        <w:t xml:space="preserve"> </w:t>
      </w:r>
      <w:r>
        <w:t xml:space="preserve">3D</w:t>
      </w:r>
      <w:r>
        <w:t xml:space="preserve">-printing models. arXiv preprint arXiv:160504797 2016.</w:t>
      </w:r>
    </w:p>
    <w:bookmarkEnd w:id="99"/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this paper, rank tuning denotes fitting weights after converting each feature to its within-candidate rank; it is an empirical candidate-ranking calibration, not continuous geometric optimization.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78" Target="https://doi.org/10.1007/s00158-017-1877-z" TargetMode="External" /><Relationship Type="http://schemas.openxmlformats.org/officeDocument/2006/relationships/hyperlink" Id="rId90" Target="https://doi.org/10.1007/s00245-022-09939-z" TargetMode="External" /><Relationship Type="http://schemas.openxmlformats.org/officeDocument/2006/relationships/hyperlink" Id="rId95" Target="https://doi.org/10.1016/0020-7225(84)90090-9" TargetMode="External" /><Relationship Type="http://schemas.openxmlformats.org/officeDocument/2006/relationships/hyperlink" Id="rId70" Target="https://doi.org/10.1016/j.cad.2010.02.001" TargetMode="External" /><Relationship Type="http://schemas.openxmlformats.org/officeDocument/2006/relationships/hyperlink" Id="rId76" Target="https://doi.org/10.1016/j.cad.2016.07.006" TargetMode="External" /><Relationship Type="http://schemas.openxmlformats.org/officeDocument/2006/relationships/hyperlink" Id="rId72" Target="https://doi.org/10.1016/j.cad.2018.12.007" TargetMode="External" /><Relationship Type="http://schemas.openxmlformats.org/officeDocument/2006/relationships/hyperlink" Id="rId82" Target="https://doi.org/10.1016/j.cag.2015.05.009" TargetMode="External" /><Relationship Type="http://schemas.openxmlformats.org/officeDocument/2006/relationships/hyperlink" Id="rId92" Target="https://doi.org/10.1016/j.ijmecsci.2025.110443" TargetMode="External" /><Relationship Type="http://schemas.openxmlformats.org/officeDocument/2006/relationships/hyperlink" Id="rId97" Target="https://doi.org/10.1080/00031305.1981.10479327" TargetMode="External" /><Relationship Type="http://schemas.openxmlformats.org/officeDocument/2006/relationships/hyperlink" Id="rId74" Target="https://doi.org/10.1080/0951192X.2018.1466398" TargetMode="External" /><Relationship Type="http://schemas.openxmlformats.org/officeDocument/2006/relationships/hyperlink" Id="rId68" Target="https://doi.org/10.1080/16864360.2017.1308074" TargetMode="External" /><Relationship Type="http://schemas.openxmlformats.org/officeDocument/2006/relationships/hyperlink" Id="rId86" Target="https://doi.org/10.1089/3dp.2024.0165" TargetMode="External" /><Relationship Type="http://schemas.openxmlformats.org/officeDocument/2006/relationships/hyperlink" Id="rId80" Target="https://doi.org/10.1145/3197517.3201342" TargetMode="External" /><Relationship Type="http://schemas.openxmlformats.org/officeDocument/2006/relationships/hyperlink" Id="rId84" Target="https://doi.org/10.1186/s40691-022-00290-z" TargetMode="External" /><Relationship Type="http://schemas.openxmlformats.org/officeDocument/2006/relationships/hyperlink" Id="rId88" Target="https://doi.org/10.2514/6.2014-203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i.org/10.1007/s00158-017-1877-z" TargetMode="External" /><Relationship Type="http://schemas.openxmlformats.org/officeDocument/2006/relationships/hyperlink" Id="rId90" Target="https://doi.org/10.1007/s00245-022-09939-z" TargetMode="External" /><Relationship Type="http://schemas.openxmlformats.org/officeDocument/2006/relationships/hyperlink" Id="rId95" Target="https://doi.org/10.1016/0020-7225(84)90090-9" TargetMode="External" /><Relationship Type="http://schemas.openxmlformats.org/officeDocument/2006/relationships/hyperlink" Id="rId70" Target="https://doi.org/10.1016/j.cad.2010.02.001" TargetMode="External" /><Relationship Type="http://schemas.openxmlformats.org/officeDocument/2006/relationships/hyperlink" Id="rId76" Target="https://doi.org/10.1016/j.cad.2016.07.006" TargetMode="External" /><Relationship Type="http://schemas.openxmlformats.org/officeDocument/2006/relationships/hyperlink" Id="rId72" Target="https://doi.org/10.1016/j.cad.2018.12.007" TargetMode="External" /><Relationship Type="http://schemas.openxmlformats.org/officeDocument/2006/relationships/hyperlink" Id="rId82" Target="https://doi.org/10.1016/j.cag.2015.05.009" TargetMode="External" /><Relationship Type="http://schemas.openxmlformats.org/officeDocument/2006/relationships/hyperlink" Id="rId92" Target="https://doi.org/10.1016/j.ijmecsci.2025.110443" TargetMode="External" /><Relationship Type="http://schemas.openxmlformats.org/officeDocument/2006/relationships/hyperlink" Id="rId97" Target="https://doi.org/10.1080/00031305.1981.10479327" TargetMode="External" /><Relationship Type="http://schemas.openxmlformats.org/officeDocument/2006/relationships/hyperlink" Id="rId74" Target="https://doi.org/10.1080/0951192X.2018.1466398" TargetMode="External" /><Relationship Type="http://schemas.openxmlformats.org/officeDocument/2006/relationships/hyperlink" Id="rId68" Target="https://doi.org/10.1080/16864360.2017.1308074" TargetMode="External" /><Relationship Type="http://schemas.openxmlformats.org/officeDocument/2006/relationships/hyperlink" Id="rId86" Target="https://doi.org/10.1089/3dp.2024.0165" TargetMode="External" /><Relationship Type="http://schemas.openxmlformats.org/officeDocument/2006/relationships/hyperlink" Id="rId80" Target="https://doi.org/10.1145/3197517.3201342" TargetMode="External" /><Relationship Type="http://schemas.openxmlformats.org/officeDocument/2006/relationships/hyperlink" Id="rId84" Target="https://doi.org/10.1186/s40691-022-00290-z" TargetMode="External" /><Relationship Type="http://schemas.openxmlformats.org/officeDocument/2006/relationships/hyperlink" Id="rId88" Target="https://doi.org/10.2514/6.2014-203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Flow Tensor Field for Fast Build-Orientation Candidate Generation in Support-Requiring Additive Manufacturing</dc:title>
  <dc:creator/>
  <cp:keywords/>
  <dcterms:created xsi:type="dcterms:W3CDTF">2026-07-04T09:50:59Z</dcterms:created>
  <dcterms:modified xsi:type="dcterms:W3CDTF">2026-07-04T09:50:59Z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Build orientation strongly controls support volume in additive manufacturing, but exhaustive orientation sweeps remain costly. The proposed method targets support-requiring additive-manufacturing processes in which build orientation changes the amount of removable support material; it is not intended for inherently support-free processes. This paper proposes the Support Flow Tensor Field (SFTF), a fast candidate generator that ranks promising build directions before local verification by a support-volume grid or slicer. For each sampled direction, SFTF casts rays from overhang faces to actual receiver faces and forms a direction-dependent asymmetric flow tensor. The build-plate support term is further interpreted as a virtual ground receiver, making the dominant predictive term a unified Rayleigh cost. On five organic freeform benchmark meshes with a 1^\circ tomography grid, verifying the \pm 10^\circ neighborhoods of the top-20 SFTF candidates uses 3.40\% of the grid on average and obtains a mean support-volume ratio of 1.14 with maximum 1.66; on these meshes the tensor features B and \tilde R=R+B are the most stable single predictors of the tomographic support volume (mean Spearman 0.59 and 0.61). The paper also introduces Adaptive Verification Escalation (AVE), an automatic hard-case escalation rule based on local-verification confidence signals; on a five-group cached 1^\circ audit of 21 ratio-valid records it keeps every record below ratio 2.0 (mean 1.14, maximum 1.93) at a mean budget of 13.94\%. We also report a clear limitation: on large mechanical parts (up to 1.04M faces) the tensor features do not predict support volume, and at a matched budget a simple uniform-axis window seeding outperforms the SFTF ranking, so SFTF is best positioned as an interpretable warm start for organic parts rather than a general replacement for broad coverage. These results show that SFTF is best viewed not as a replacement for precise support-volume optimization, but as a low-cost warm start that concentrates expensive verification on a small number of likely basins.</vt:lpwstr>
  </property>
  <property fmtid="{D5CDD505-2E9C-101B-9397-08002B2CF9AE}" pid="3" name="bibliography">
    <vt:lpwstr>references.bib</vt:lpwstr>
  </property>
  <property fmtid="{D5CDD505-2E9C-101B-9397-08002B2CF9AE}" pid="4" name="csl">
    <vt:lpwstr>3d-printing-and-additive-manufacturing.csl</vt:lpwstr>
  </property>
  <property fmtid="{D5CDD505-2E9C-101B-9397-08002B2CF9AE}" pid="5" name="date">
    <vt:lpwstr/>
  </property>
</Properties>
</file>