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26.png" ContentType="image/png"/>
  <Override PartName="/word/media/rId18.png" ContentType="image/png"/>
  <Override PartName="/word/media/rId30.png" ContentType="image/png"/>
  <Override PartName="/word/media/rId3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Electronic Supplementary Material:</w:t>
      </w:r>
      <w:r>
        <w:br/>
      </w:r>
      <w:r>
        <w:t xml:space="preserve">Support Flow Tensor Field for Fast Build-Orientation Candidate Generation</w:t>
      </w:r>
    </w:p>
    <w:bookmarkStart w:id="13" w:name="supplementary-tables"/>
    <w:p>
      <w:pPr>
        <w:pStyle w:val="Heading1"/>
      </w:pPr>
      <w:r>
        <w:t xml:space="preserve">Supplementary Tables</w:t>
      </w:r>
    </w:p>
    <w:bookmarkStart w:id="9" w:name="stab:fivegroup-structure"/>
    <w:p>
      <w:pPr>
        <w:pStyle w:val="TableCaption"/>
      </w:pPr>
      <w:r>
        <w:t xml:space="preserve">Cost decomposition of the SFTF top direction of representative meshes.</w:t>
      </w:r>
      <w:r>
        <w:t xml:space="preserve"> </w:t>
      </w:r>
      <w:r>
        <w:t xml:space="preserve">Convex basic shapes (cube, sphere, cone) are pure build-plate support with hit</w:t>
      </w:r>
      <m:oMath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rest show face-to-face self-support (</w:t>
      </w:r>
      <m:oMath>
        <m:r>
          <m:t>P</m:t>
        </m:r>
      </m:oMath>
      <w:r>
        <w:t xml:space="preserve">) and build-plate support (</w:t>
      </w:r>
      <m:oMath>
        <m:r>
          <m:t>B</m:t>
        </m:r>
      </m:oMath>
      <w:r>
        <w:t xml:space="preserve">) together.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st decomposition of the SFTF top direction of representative meshes. Convex basic shapes (cube, sphere, cone) are pure build-plate support with hit=0, R=P=0, and the rest show face-to-face self-support (P) and build-plate support (B) together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111</w:t>
            </w:r>
          </w:p>
        </w:tc>
      </w:tr>
    </w:tbl>
    <w:bookmarkEnd w:id="9"/>
    <w:p/>
    <w:bookmarkStart w:id="10" w:name="stab:critangle"/>
    <w:p>
      <w:pPr>
        <w:pStyle w:val="TableCaption"/>
      </w:pPr>
      <w:r>
        <w:t xml:space="preserve">TOMO_CPU global minimum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by critical angle on the int16-corrected grids (representative meshes;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from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grid, other angles from the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grid).</w:t>
      </w:r>
      <w:r>
        <w:t xml:space="preserve"> </w:t>
      </w:r>
      <w:r>
        <w:t xml:space="preserve">The support volume decreases monotonically 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increases, and at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almost all faces are self-supporting so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Before the accumulator fix a</w:t>
      </w:r>
      <w:r>
        <w:t xml:space="preserve"> </w:t>
      </w:r>
      <m:oMath>
        <m:r>
          <m:t>16</m:t>
        </m:r>
      </m:oMath>
      <w:r>
        <w:t xml:space="preserve">-bit overflow made these minima appear as large negative numbers at high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; the corrected values are non-negative throughout.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MO_CPU global minimum v_{ss} by critical angle on the int16-corrected grids (representative meshes; 60^\circ from the 1^\circ grid, other angles from the 3^\circ grid). The support volume decreases monotonically as \theta_c increases, and at \theta_c{=}90^\circ almost all faces are self-supporting so v_{ss} is 0. Before the accumulator fix a 16-bit overflow made these minima appear as large negative numbers at high \theta_c; the corrected values are non-negative throughout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  <w:r>
              <w:t xml:space="preserve">,</w:t>
            </w:r>
            <w:r>
              <w:t xml:space="preserve">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  <w:r>
              <w:t xml:space="preserve">,</w:t>
            </w: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  <w:r>
              <w:t xml:space="preserve">,</w:t>
            </w: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  <w:r>
              <w:t xml:space="preserve">,</w:t>
            </w:r>
            <w:r>
              <w:t xml:space="preserve">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  <w:r>
              <w:t xml:space="preserve">,</w:t>
            </w:r>
            <w:r>
              <w:t xml:space="preserve">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  <w:r>
              <w:t xml:space="preserve">,</w:t>
            </w: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  <w:r>
              <w:t xml:space="preserve">,</w:t>
            </w:r>
            <w: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  <w:r>
              <w:t xml:space="preserve">,</w:t>
            </w:r>
            <w:r>
              <w:t xml:space="preserve">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  <w:r>
              <w:t xml:space="preserve">,</w:t>
            </w:r>
            <w:r>
              <w:t xml:space="preserve">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  <w:r>
              <w:t xml:space="preserve">,</w:t>
            </w: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  <w:r>
              <w:t xml:space="preserve">,</w:t>
            </w: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  <w:r>
              <w:t xml:space="preserve">,</w:t>
            </w:r>
            <w:r>
              <w:t xml:space="preserve">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  <w:r>
              <w:t xml:space="preserve">,</w:t>
            </w:r>
            <w:r>
              <w:t xml:space="preserve">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  <w:r>
              <w:t xml:space="preserve">,</w:t>
            </w: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  <w:r>
              <w:t xml:space="preserve">,</w:t>
            </w: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0"/>
    <w:p/>
    <w:bookmarkStart w:id="11" w:name="stab:sampling"/>
    <w:p>
      <w:pPr>
        <w:pStyle w:val="TableCaption"/>
      </w:pPr>
      <w:r>
        <w:t xml:space="preserve">Oracle (best within candidate pool) ratio by the number of coarse directions. Meshes other than</w:t>
      </w:r>
      <w:r>
        <w:t xml:space="preserve"> </w:t>
      </w:r>
      <w:r>
        <w:rPr>
          <w:i/>
          <w:iCs/>
        </w:rPr>
        <w:t xml:space="preserve">Happy 50k</w:t>
      </w:r>
      <w:r>
        <w:t xml:space="preserve"> </w:t>
      </w:r>
      <w:r>
        <w:t xml:space="preserve">already include a near-optimal direction at</w:t>
      </w:r>
      <w:r>
        <w:t xml:space="preserve"> </w:t>
      </w:r>
      <m:oMath>
        <m:r>
          <m:t>512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acle (best within candidate pool) ratio by the number of coarse directions. Meshes other than Happy 50k already include a near-optimal direction at 512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 coarse directions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Happy 50k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Lucy 50k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</w:tr>
    </w:tbl>
    <w:bookmarkEnd w:id="11"/>
    <w:p/>
    <w:bookmarkStart w:id="12" w:name="stab:unified-b3"/>
    <w:p>
      <w:pPr>
        <w:pStyle w:val="TableCaption"/>
      </w:pPr>
      <w:r>
        <w:t xml:space="preserve">Best-of-3 ratio when sorting candidates by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the unified term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(lower is better).</w:t>
      </w:r>
      <w:r>
        <w:t xml:space="preserve"> </w:t>
      </w:r>
      <w:r>
        <w:t xml:space="preserve">On the average excluding</w:t>
      </w:r>
      <w:r>
        <w:t xml:space="preserve"> </w:t>
      </w:r>
      <w:r>
        <w:rPr>
          <w:i/>
          <w:iCs/>
        </w:rPr>
        <w:t xml:space="preserve">Happy 50k</w:t>
      </w:r>
      <w:r>
        <w:t xml:space="preserve"> </w:t>
      </w:r>
      <w:r>
        <w:t xml:space="preserve">(a narrow-basin hard case under the ranking-only point metric, resolved by local</w:t>
      </w:r>
      <w:r>
        <w:t xml:space="preserve"> </w:t>
      </w:r>
      <w:r>
        <w:t xml:space="preserve">verification in the main text),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outperforms</w:t>
      </w:r>
      <w:r>
        <w:t xml:space="preserve"> </w:t>
      </w:r>
      <m:oMath>
        <m:r>
          <m:t>J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st-of-3 ratio when sorting candidates by J=R+P+B and the unified term \tilde R=R+B (lower is better). On the average excluding Happy 50k (a narrow-basin hard case under the ranking-only point metric, resolved by local verification in the main text), \tilde R outperforms J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(excl. </w:t>
            </w:r>
            <w:r>
              <w:rPr>
                <w:i/>
                <w:iCs/>
              </w:rPr>
              <w:t xml:space="preserve">Happy 50k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1.72</w:t>
            </w:r>
          </w:p>
        </w:tc>
      </w:tr>
    </w:tbl>
    <w:bookmarkEnd w:id="12"/>
    <w:bookmarkEnd w:id="13"/>
    <w:bookmarkStart w:id="42" w:name="supplementary-figures"/>
    <w:p>
      <w:pPr>
        <w:pStyle w:val="Heading1"/>
      </w:pPr>
      <w:r>
        <w:t xml:space="preserve">Supplementary Figures</w:t>
      </w:r>
    </w:p>
    <w:bookmarkStart w:id="17" w:name="sfig:five-group-best-worst"/>
    <w:p>
      <w:pPr>
        <w:pStyle w:val="CaptionedFigure"/>
      </w:pPr>
      <w:r>
        <w:drawing>
          <wp:inline>
            <wp:extent cx="5334000" cy="516633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ics/_5G_CA60deg_best_worst_groupe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Best/worst build-orientation Polyscope overlay arranged by group for the five groups (A–E) (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A label is placed atop each group, with groups A–C in the top row and groups D/E (a vertical</w:t>
      </w:r>
      <w:r>
        <w:t xml:space="preserve"> </w:t>
      </w:r>
      <m:oMath>
        <m:r>
          <m:t>5</m:t>
        </m:r>
      </m:oMath>
      <w:r>
        <w:t xml:space="preserve">-row</w:t>
      </w:r>
      <w:r>
        <w:t xml:space="preserve"> </w:t>
      </w:r>
      <m:oMath>
        <m:r>
          <m:t>2</m:t>
        </m:r>
      </m:oMath>
      <w:r>
        <w:t xml:space="preserve">-column layout each) in the bottom row, grouped about the page center.</w:t>
      </w:r>
      <w:r>
        <w:t xml:space="preserve"> </w:t>
      </w:r>
      <w:r>
        <w:t xml:space="preserve">Each mesh shows the original (gray), optimal orientation (blue), and worst orientation (red) side by side,</w:t>
      </w:r>
      <w:r>
        <w:t xml:space="preserve"> </w:t>
      </w:r>
      <w:r>
        <w:t xml:space="preserve">displayed in the actual print pose by rotating the stored build direction to world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.</w:t>
      </w:r>
      <w:r>
        <w:t xml:space="preserve"> </w:t>
      </w:r>
      <w:r>
        <w:t xml:space="preserve">Since SFTF candidates are invariant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the overlays of the five critical angles are identical.</w:t>
      </w:r>
    </w:p>
    <w:bookmarkEnd w:id="17"/>
    <w:bookmarkStart w:id="21" w:name="sfig:bunny-kray500"/>
    <w:p>
      <w:pPr>
        <w:pStyle w:val="CaptionedFigure"/>
      </w:pPr>
      <w:r>
        <w:drawing>
          <wp:inline>
            <wp:extent cx="5334000" cy="280825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ics/_docx_auto/Bunny69k_kray500_concep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Bunny 69k</w:t>
      </w:r>
      <w:r>
        <w:t xml:space="preserve"> </w:t>
      </w:r>
      <w:r>
        <w:t xml:space="preserve">source-face sampling and SFTF score landscape with fixed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.</w:t>
      </w:r>
      <w:r>
        <w:t xml:space="preserve"> </w:t>
      </w:r>
      <w:r>
        <w:t xml:space="preserve">The right panel is recomputed with the same ray budget and uses the common color scale of Supplementary Figs. </w:t>
      </w:r>
      <w:hyperlink w:anchor="sfig:bunny-kray1394">
        <w:r>
          <w:rPr>
            <w:rStyle w:val="Hyperlink"/>
          </w:rPr>
          <w:t xml:space="preserve">3</w:t>
        </w:r>
      </w:hyperlink>
      <w:r>
        <w:t xml:space="preserve">–</w:t>
      </w:r>
      <w:hyperlink w:anchor="sfig:bunny-kray3000">
        <w:r>
          <w:rPr>
            <w:rStyle w:val="Hyperlink"/>
          </w:rPr>
          <w:t xml:space="preserve">4</w:t>
        </w:r>
      </w:hyperlink>
      <w:r>
        <w:t xml:space="preserve">.</w:t>
      </w:r>
    </w:p>
    <w:bookmarkEnd w:id="21"/>
    <w:bookmarkStart w:id="25" w:name="sfig:bunny-kray1394"/>
    <w:p>
      <w:pPr>
        <w:pStyle w:val="CaptionedFigure"/>
      </w:pPr>
      <w:r>
        <w:drawing>
          <wp:inline>
            <wp:extent cx="5334000" cy="280913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ics/_docx_auto/Bunny69k_kray1394_concep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Bunny 69k</w:t>
      </w:r>
      <w:r>
        <w:t xml:space="preserve"> </w:t>
      </w:r>
      <w:r>
        <w:t xml:space="preserve">source-face sampling and SFTF score landscape with the adaptive rule,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0.02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r>
          <m:t>500</m:t>
        </m:r>
        <m:r>
          <m:rPr>
            <m:sty m:val="p"/>
          </m:rPr>
          <m:t>,</m:t>
        </m:r>
        <m:r>
          <m:t>3000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394</m:t>
        </m:r>
      </m:oMath>
      <w:r>
        <w:t xml:space="preserve">.</w:t>
      </w:r>
    </w:p>
    <w:bookmarkEnd w:id="25"/>
    <w:bookmarkStart w:id="29" w:name="sfig:bunny-kray3000"/>
    <w:p>
      <w:pPr>
        <w:pStyle w:val="CaptionedFigure"/>
      </w:pPr>
      <w:r>
        <w:drawing>
          <wp:inline>
            <wp:extent cx="5334000" cy="28073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ics/_docx_auto/Bunny69k_kray3000_concep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Bunny 69k</w:t>
      </w:r>
      <w:r>
        <w:t xml:space="preserve"> </w:t>
      </w:r>
      <w:r>
        <w:t xml:space="preserve">source-face sampling and SFTF score landscape with fixed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3000</m:t>
        </m:r>
      </m:oMath>
      <w:r>
        <w:t xml:space="preserve">, corresponding to the upper cap used for large meshes.</w:t>
      </w:r>
    </w:p>
    <w:bookmarkEnd w:id="29"/>
    <w:bookmarkStart w:id="33" w:name="sfig:bunny-landscape"/>
    <w:p>
      <w:pPr>
        <w:pStyle w:val="CaptionedFigure"/>
      </w:pPr>
      <w:r>
        <w:drawing>
          <wp:inline>
            <wp:extent cx="4160520" cy="267216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ics/_docx_auto/appendix_contour_bunn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67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CPU/SFTF optimal/worst orientations on the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</w:t>
      </w:r>
      <w:r>
        <w:t xml:space="preserve"> </w:t>
      </w:r>
      <w:r>
        <w:rPr>
          <w:i/>
          <w:iCs/>
        </w:rPr>
        <w:t xml:space="preserve">Bunny 69k</w:t>
      </w:r>
      <w:r>
        <w:t xml:space="preserve"> </w:t>
      </w:r>
      <w:r>
        <w:t xml:space="preserve">(blue is good).</w:t>
      </w:r>
      <w:r>
        <w:t xml:space="preserve"> </w:t>
      </w:r>
      <w:r>
        <w:t xml:space="preserve">The markers are 3 each of CPU/SFTF optimal/worst, with kinds following the legend below the figure.</w:t>
      </w:r>
      <w:r>
        <w:t xml:space="preserve"> </w:t>
      </w:r>
      <w:r>
        <w:t xml:space="preserve">The global optimum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4440</m:t>
        </m:r>
      </m:oMath>
      <w:r>
        <w:t xml:space="preserve"> </w:t>
      </w:r>
      <w:r>
        <w:t xml:space="preserve">(yaw</w:t>
      </w:r>
      <m:oMath>
        <m:r>
          <m:rPr>
            <m:sty m:val="p"/>
          </m:rPr>
          <m:t>=</m:t>
        </m:r>
        <m:sSup>
          <m:e>
            <m:r>
              <m:t>299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pitch</w:t>
      </w:r>
      <m:oMath>
        <m:r>
          <m:rPr>
            <m:sty m:val="p"/>
          </m:rPr>
          <m:t>=</m:t>
        </m:r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the corrected main-text comparison table),</w:t>
      </w:r>
      <w:r>
        <w:t xml:space="preserve"> </w:t>
      </w:r>
      <w:r>
        <w:t xml:space="preserve">and lies not at a single point but within a broad low-cost basin.</w:t>
      </w:r>
    </w:p>
    <w:bookmarkEnd w:id="33"/>
    <w:bookmarkStart w:id="37" w:name="sfig:manikin-landscape"/>
    <w:p>
      <w:pPr>
        <w:pStyle w:val="CaptionedFigure"/>
      </w:pPr>
      <w:r>
        <w:drawing>
          <wp:inline>
            <wp:extent cx="4160520" cy="267216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ics/_docx_auto/appendix_contour_manik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67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CPU/SFTF optimal/worst orientations on the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</w:t>
      </w:r>
      <w:r>
        <w:t xml:space="preserve"> </w:t>
      </w:r>
      <w:r>
        <w:rPr>
          <w:i/>
          <w:iCs/>
        </w:rPr>
        <w:t xml:space="preserve">Manikin 13k</w:t>
      </w:r>
      <w:r>
        <w:t xml:space="preserve"> </w:t>
      </w:r>
      <w:r>
        <w:t xml:space="preserve">(blue is good).</w:t>
      </w:r>
      <w:r>
        <w:t xml:space="preserve"> </w:t>
      </w:r>
      <w:r>
        <w:t xml:space="preserve">The markers are 3 each of CPU/SFTF optimal/worst, with kinds following the legend below the figure.</w:t>
      </w:r>
      <w:r>
        <w:t xml:space="preserve"> </w:t>
      </w:r>
      <w:r>
        <w:t xml:space="preserve">The global optimum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2956</m:t>
        </m:r>
      </m:oMath>
      <w:r>
        <w:t xml:space="preserve"> </w:t>
      </w:r>
      <w:r>
        <w:t xml:space="preserve">(yaw</w:t>
      </w:r>
      <m:oMath>
        <m:r>
          <m:rPr>
            <m:sty m:val="p"/>
          </m:rPr>
          <m:t>=</m:t>
        </m:r>
        <m:sSup>
          <m:e>
            <m:r>
              <m:t>190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pitch</w:t>
      </w:r>
      <m:oMath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</w:t>
      </w:r>
      <w:r>
        <w:t xml:space="preserve"> </w:t>
      </w:r>
      <w:r>
        <w:t xml:space="preserve">befitting a vertically elongated shape, the low-cost region is distributed in a narrow pitch band across the full yaw range.</w:t>
      </w:r>
    </w:p>
    <w:bookmarkEnd w:id="37"/>
    <w:bookmarkStart w:id="41" w:name="sfig:lucy-landscape"/>
    <w:p>
      <w:pPr>
        <w:pStyle w:val="CaptionedFigure"/>
      </w:pPr>
      <w:r>
        <w:drawing>
          <wp:inline>
            <wp:extent cx="4160520" cy="267216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ics/_docx_auto/appendix_contour_luc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67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CPU/SFTF optimal/worst orientations on the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</w:t>
      </w:r>
      <w:r>
        <w:t xml:space="preserve"> </w:t>
      </w:r>
      <w:r>
        <w:rPr>
          <w:i/>
          <w:iCs/>
        </w:rPr>
        <w:t xml:space="preserve">Lucy 50k</w:t>
      </w:r>
      <w:r>
        <w:t xml:space="preserve"> </w:t>
      </w:r>
      <w:r>
        <w:t xml:space="preserve">(blue is good).</w:t>
      </w:r>
      <w:r>
        <w:t xml:space="preserve"> </w:t>
      </w:r>
      <w:r>
        <w:t xml:space="preserve">The markers are 3 each of CPU/SFTF optimal/worst, with kinds following the legend below the figure.</w:t>
      </w:r>
      <w:r>
        <w:t xml:space="preserve"> </w:t>
      </w:r>
      <w:r>
        <w:t xml:space="preserve">The global optimum is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7605</m:t>
        </m:r>
      </m:oMath>
      <w:r>
        <w:t xml:space="preserve"> </w:t>
      </w:r>
      <w:r>
        <w:t xml:space="preserve">(yaw</w:t>
      </w:r>
      <m:oMath>
        <m:r>
          <m:rPr>
            <m:sty m:val="p"/>
          </m:rPr>
          <m:t>=</m:t>
        </m:r>
        <m:sSup>
          <m:e>
            <m:r>
              <m:t>178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pitch</w:t>
      </w:r>
      <m:oMath>
        <m:r>
          <m:rPr>
            <m:sty m:val="p"/>
          </m:rPr>
          <m:t>=</m:t>
        </m:r>
        <m:sSup>
          <m:e>
            <m:r>
              <m:t>359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</w:t>
      </w:r>
      <w:r>
        <w:t xml:space="preserve"> </w:t>
      </w:r>
      <w:r>
        <w:t xml:space="preserve">being located near the pitch boundary (</w:t>
      </w:r>
      <m:oMath>
        <m:sSup>
          <m:e>
            <m:r>
              <m:t>359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it requires basin search that considers the yaw–pitch periodicity.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Supplementary Material: Support Flow Tensor Field for Fast Build-Orientation Candidate Generation</dc:title>
  <dc:creator/>
  <cp:keywords/>
  <dcterms:created xsi:type="dcterms:W3CDTF">2026-07-04T09:51:25Z</dcterms:created>
  <dcterms:modified xsi:type="dcterms:W3CDTF">2026-07-04T09:51:25Z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3d-printing-and-additive-manufacturing.csl</vt:lpwstr>
  </property>
  <property fmtid="{D5CDD505-2E9C-101B-9397-08002B2CF9AE}" pid="4" name="date">
    <vt:lpwstr/>
  </property>
</Properties>
</file>