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Fast Candidate Generation for Support-Minimizing Build Orientation in 3D Printing Using a Support Flow Tensor Field</w:t>
      </w:r>
    </w:p>
    <w:p>
      <w:pPr>
        <w:pStyle w:val="Author"/>
      </w:pPr>
      <w:r>
        <w:t xml:space="preserve">InHwan Sul</w:t>
      </w:r>
    </w:p>
    <w:bookmarkStart w:id="9" w:name="author-information"/>
    <w:p>
      <w:pPr>
        <w:pStyle w:val="Heading1"/>
      </w:pPr>
      <w:r>
        <w:t xml:space="preserve">Author Information</w:t>
      </w:r>
    </w:p>
    <w:p>
      <w:pPr>
        <w:pStyle w:val="FirstParagraph"/>
      </w:pPr>
      <w:r>
        <w:t xml:space="preserve">InHwan Sul</w:t>
      </w:r>
      <w:r>
        <w:br/>
      </w:r>
      <w:r>
        <w:t xml:space="preserve">Affiliation: [Department, Institution, City, Country]</w:t>
      </w:r>
      <w:r>
        <w:br/>
      </w:r>
      <w:r>
        <w:t xml:space="preserve">Corresponding author email: [email address]</w:t>
      </w:r>
      <w:r>
        <w:br/>
      </w:r>
      <w:r>
        <w:t xml:space="preserve">ORCID: [optional ORCID]</w:t>
      </w:r>
    </w:p>
    <w:bookmarkEnd w:id="9"/>
    <w:bookmarkStart w:id="10" w:name="acknowledgements"/>
    <w:p>
      <w:pPr>
        <w:pStyle w:val="Heading1"/>
      </w:pPr>
      <w:r>
        <w:t xml:space="preserve">Acknowledgements</w:t>
      </w:r>
    </w:p>
    <w:p>
      <w:pPr>
        <w:pStyle w:val="FirstParagraph"/>
      </w:pPr>
      <w:r>
        <w:t xml:space="preserve">The author acknowledges the use of AI coding assistants, including OpenAI Codex and Anthropic Claude Code,</w:t>
      </w:r>
      <w:r>
        <w:t xml:space="preserve"> </w:t>
      </w:r>
      <w:r>
        <w:t xml:space="preserve">for assistance with portions of the research-code implementation, figure-generation scripts, and manuscript-support automation.</w:t>
      </w:r>
      <w:r>
        <w:t xml:space="preserve"> </w:t>
      </w:r>
      <w:r>
        <w:t xml:space="preserve">All generated code, experimental results, and manuscript changes were reviewed and validated by the author.</w:t>
      </w:r>
    </w:p>
    <w:bookmarkEnd w:id="10"/>
    <w:bookmarkStart w:id="17" w:name="statements-and-declarations"/>
    <w:p>
      <w:pPr>
        <w:pStyle w:val="Heading1"/>
      </w:pPr>
      <w:r>
        <w:t xml:space="preserve">Statements and Declarations</w:t>
      </w:r>
    </w:p>
    <w:bookmarkStart w:id="11" w:name="funding"/>
    <w:p>
      <w:pPr>
        <w:pStyle w:val="Heading2"/>
      </w:pPr>
      <w:r>
        <w:t xml:space="preserve">Funding</w:t>
      </w:r>
    </w:p>
    <w:p>
      <w:pPr>
        <w:pStyle w:val="FirstParagraph"/>
      </w:pPr>
      <w:r>
        <w:t xml:space="preserve">[Provide funding information here, or state that no funding was received.]</w:t>
      </w:r>
    </w:p>
    <w:bookmarkEnd w:id="11"/>
    <w:bookmarkStart w:id="12" w:name="competing-interests"/>
    <w:p>
      <w:pPr>
        <w:pStyle w:val="Heading2"/>
      </w:pPr>
      <w:r>
        <w:t xml:space="preserve">Competing Interests</w:t>
      </w:r>
    </w:p>
    <w:p>
      <w:pPr>
        <w:pStyle w:val="FirstParagraph"/>
      </w:pPr>
      <w:r>
        <w:t xml:space="preserve">The author declares no competing interests.</w:t>
      </w:r>
    </w:p>
    <w:bookmarkEnd w:id="12"/>
    <w:bookmarkStart w:id="13" w:name="author-contributions"/>
    <w:p>
      <w:pPr>
        <w:pStyle w:val="Heading2"/>
      </w:pPr>
      <w:r>
        <w:t xml:space="preserve">Author Contributions</w:t>
      </w:r>
    </w:p>
    <w:p>
      <w:pPr>
        <w:pStyle w:val="FirstParagraph"/>
      </w:pPr>
      <w:r>
        <w:t xml:space="preserve">InHwan Sul: conceptualization, methodology, software, validation, formal analysis, investigation, data curation, visualization, writing–original draft, and writing–review and editing.</w:t>
      </w:r>
    </w:p>
    <w:bookmarkEnd w:id="13"/>
    <w:bookmarkStart w:id="14" w:name="data-availability"/>
    <w:p>
      <w:pPr>
        <w:pStyle w:val="Heading2"/>
      </w:pPr>
      <w:r>
        <w:t xml:space="preserve">Data Availability</w:t>
      </w:r>
    </w:p>
    <w:p>
      <w:pPr>
        <w:pStyle w:val="FirstParagraph"/>
      </w:pPr>
      <w:r>
        <w:t xml:space="preserve">The numerical results reported in the manuscript are based on cached mesh-evaluation records, support-volume grids, and generated summary tables maintained with the research code.</w:t>
      </w:r>
      <w:r>
        <w:t xml:space="preserve"> </w:t>
      </w:r>
      <w:r>
        <w:t xml:space="preserve">An anonymized repository or supplementary archive can be supplied during peer review, and the permanent public repository link can be provided after acceptance.</w:t>
      </w:r>
      <w:r>
        <w:t xml:space="preserve"> </w:t>
      </w:r>
      <w:r>
        <w:t xml:space="preserve">Third-party mesh models should be obtained from their original sources subject to their respective licenses.</w:t>
      </w:r>
    </w:p>
    <w:bookmarkEnd w:id="14"/>
    <w:bookmarkStart w:id="15" w:name="code-availability"/>
    <w:p>
      <w:pPr>
        <w:pStyle w:val="Heading2"/>
      </w:pPr>
      <w:r>
        <w:t xml:space="preserve">Code Availability</w:t>
      </w:r>
    </w:p>
    <w:p>
      <w:pPr>
        <w:pStyle w:val="FirstParagraph"/>
      </w:pPr>
      <w:r>
        <w:t xml:space="preserve">The SFTF implementation, verification scripts, and figure-generation scripts are maintained with the project repository.</w:t>
      </w:r>
      <w:r>
        <w:t xml:space="preserve"> </w:t>
      </w:r>
      <w:r>
        <w:t xml:space="preserve">An anonymized access link can be supplied during review and replaced by the permanent public link after acceptance.</w:t>
      </w:r>
    </w:p>
    <w:bookmarkEnd w:id="15"/>
    <w:bookmarkStart w:id="16" w:name="use-of-artificial-intelligence-tools"/>
    <w:p>
      <w:pPr>
        <w:pStyle w:val="Heading2"/>
      </w:pPr>
      <w:r>
        <w:t xml:space="preserve">Use of Artificial Intelligence Tools</w:t>
      </w:r>
    </w:p>
    <w:p>
      <w:pPr>
        <w:pStyle w:val="FirstParagraph"/>
      </w:pPr>
      <w:r>
        <w:t xml:space="preserve">AI coding assistants, including OpenAI Codex and Anthropic Claude Code, were used to assist with portions of research-code implementation, figure-generation scripts, and manuscript-support automation.</w:t>
      </w:r>
      <w:r>
        <w:t xml:space="preserve"> </w:t>
      </w:r>
      <w:r>
        <w:t xml:space="preserve">All generated code, experimental results, and manuscript changes were reviewed and validated by the author.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Fast Candidate Generation for Support-Minimizing Build Orientation in 3D Printing Using a Support Flow Tensor Field</dc:title>
  <dc:creator>InHwan Sul</dc:creator>
  <cp:keywords/>
  <dcterms:created xsi:type="dcterms:W3CDTF">2026-06-25T00:04:50Z</dcterms:created>
  <dcterms:modified xsi:type="dcterms:W3CDTF">2026-06-25T00:04:50Z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