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90008" w14:textId="7BF04AF9" w:rsidR="00EB682F" w:rsidRDefault="00852B03" w:rsidP="00724A0F">
      <w:pPr>
        <w:jc w:val="both"/>
      </w:pPr>
      <w:r>
        <w:t xml:space="preserve">Se først andelene af endeligt forbrug af energi, som kommer fra el. Dette kalder EUROSTAT for ”Rate of electrification”. </w:t>
      </w:r>
      <w:r w:rsidR="00CB60AA">
        <w:t xml:space="preserve">Herunder vist over den tilgængelige tidshorisont for et udvalg af lande. </w:t>
      </w:r>
    </w:p>
    <w:p w14:paraId="520D30D2" w14:textId="1737B860" w:rsidR="00DF3EFE" w:rsidRDefault="00C00593" w:rsidP="00724A0F">
      <w:pPr>
        <w:jc w:val="both"/>
      </w:pPr>
      <w:r w:rsidRPr="00C00593">
        <w:drawing>
          <wp:inline distT="0" distB="0" distL="0" distR="0" wp14:anchorId="71FCB43A" wp14:editId="18E8F3B2">
            <wp:extent cx="6120130" cy="2016125"/>
            <wp:effectExtent l="0" t="0" r="0" b="3175"/>
            <wp:docPr id="1219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6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9C13" w14:textId="468172B8" w:rsidR="005745DE" w:rsidRDefault="005745DE" w:rsidP="00724A0F">
      <w:pPr>
        <w:jc w:val="both"/>
      </w:pPr>
      <w:r>
        <w:t>EUROSTAT deler det samlede forbrug ned i følgende tre hovedkategorier</w:t>
      </w:r>
      <w:r w:rsidR="004E5F1D">
        <w:t>, hvor de øvrige sektorer rummer over: serviceydelser, husholdninger, landbrug</w:t>
      </w:r>
      <w:r w:rsidR="00AF442A">
        <w:t xml:space="preserve"> og fiskeri.  </w:t>
      </w:r>
      <w:r w:rsidR="00D80B06">
        <w:t>Den stiplede linje er et EU-gennemsnit.</w:t>
      </w:r>
    </w:p>
    <w:p w14:paraId="28CB37CB" w14:textId="22BDA735" w:rsidR="00C00593" w:rsidRDefault="0048441A" w:rsidP="00724A0F">
      <w:pPr>
        <w:jc w:val="both"/>
      </w:pPr>
      <w:r w:rsidRPr="0048441A">
        <w:drawing>
          <wp:inline distT="0" distB="0" distL="0" distR="0" wp14:anchorId="60C4702C" wp14:editId="2F9FA9E2">
            <wp:extent cx="6120130" cy="4158615"/>
            <wp:effectExtent l="0" t="0" r="0" b="0"/>
            <wp:docPr id="155397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76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AEA4" w14:textId="77777777" w:rsidR="00C00593" w:rsidRDefault="00C00593" w:rsidP="00724A0F">
      <w:pPr>
        <w:jc w:val="both"/>
      </w:pPr>
      <w:r>
        <w:br w:type="page"/>
      </w:r>
    </w:p>
    <w:p w14:paraId="7A7556AB" w14:textId="20776439" w:rsidR="00B85D57" w:rsidRDefault="00B85D57" w:rsidP="00724A0F">
      <w:pPr>
        <w:jc w:val="both"/>
      </w:pPr>
      <w:r>
        <w:lastRenderedPageBreak/>
        <w:t xml:space="preserve">Her er de to figurer gentaget, men startåret er indekseret til 100 </w:t>
      </w:r>
      <w:r w:rsidR="006E0E70">
        <w:t>for begge detaljeringsgrader.</w:t>
      </w:r>
    </w:p>
    <w:p w14:paraId="5296D2C0" w14:textId="77777777" w:rsidR="00675C51" w:rsidRDefault="00C00593" w:rsidP="00724A0F">
      <w:pPr>
        <w:jc w:val="both"/>
      </w:pPr>
      <w:r w:rsidRPr="00C00593">
        <w:drawing>
          <wp:inline distT="0" distB="0" distL="0" distR="0" wp14:anchorId="72EC0443" wp14:editId="2E9D3496">
            <wp:extent cx="6120130" cy="2016125"/>
            <wp:effectExtent l="0" t="0" r="0" b="3175"/>
            <wp:docPr id="99256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60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441A" w:rsidRPr="0048441A">
        <w:drawing>
          <wp:inline distT="0" distB="0" distL="0" distR="0" wp14:anchorId="24420603" wp14:editId="0FE40FCD">
            <wp:extent cx="6120130" cy="4158615"/>
            <wp:effectExtent l="0" t="0" r="0" b="0"/>
            <wp:docPr id="178168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852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62F3" w14:textId="77777777" w:rsidR="006F451C" w:rsidRDefault="0028335E" w:rsidP="00724A0F">
      <w:pPr>
        <w:jc w:val="both"/>
      </w:pPr>
      <w:r>
        <w:t xml:space="preserve">Sektorerne kan dekomponeres yderligere ned i 20 </w:t>
      </w:r>
      <w:r w:rsidR="002D0FA2">
        <w:t>underkategorier</w:t>
      </w:r>
      <w:r>
        <w:t xml:space="preserve">. </w:t>
      </w:r>
      <w:r w:rsidR="002D0FA2">
        <w:t>På næste side vises Danmarks elektrificeringsrate mod EU-gennemsnittet på tværs af alle 20 underkategorier.</w:t>
      </w:r>
      <w:r w:rsidR="00C2263A">
        <w:t xml:space="preserve"> </w:t>
      </w:r>
    </w:p>
    <w:p w14:paraId="060EFA81" w14:textId="6354B16C" w:rsidR="00675C51" w:rsidRDefault="00C2263A" w:rsidP="00724A0F">
      <w:pPr>
        <w:jc w:val="both"/>
      </w:pPr>
      <w:r>
        <w:t xml:space="preserve">Efterfølgende viser </w:t>
      </w:r>
      <w:r w:rsidR="00D322F6">
        <w:t xml:space="preserve">jeg </w:t>
      </w:r>
      <w:r>
        <w:t xml:space="preserve">bruttoværditilvæksten </w:t>
      </w:r>
      <w:r w:rsidR="000975DD">
        <w:t>(BVT</w:t>
      </w:r>
      <w:r w:rsidR="00724A0F">
        <w:t>)</w:t>
      </w:r>
      <w:r w:rsidR="000975DD">
        <w:t xml:space="preserve"> </w:t>
      </w:r>
      <w:r w:rsidR="00D322F6">
        <w:t>på tværs af de udvalgte lande</w:t>
      </w:r>
      <w:r w:rsidR="00D322F6">
        <w:t xml:space="preserve"> over tid </w:t>
      </w:r>
      <w:r>
        <w:t xml:space="preserve">på de samme 20 underkategorier. Dette gør jeg som </w:t>
      </w:r>
      <w:r w:rsidR="000975DD">
        <w:t xml:space="preserve">et sundhedstjek </w:t>
      </w:r>
      <w:r w:rsidR="000A4307">
        <w:t>af</w:t>
      </w:r>
      <w:r w:rsidR="000975DD">
        <w:t xml:space="preserve"> BVT-dataene, der bruges i shift-share dekomponeringen senere.</w:t>
      </w:r>
      <w:r w:rsidR="006F2BA9">
        <w:t xml:space="preserve"> Jeg har anvendt et ”grouping-map” for at gå fra 69-gr</w:t>
      </w:r>
      <w:r w:rsidR="00ED236E">
        <w:t>u</w:t>
      </w:r>
      <w:r w:rsidR="006F2BA9">
        <w:t xml:space="preserve">peringen af industrier i industristatistikken til de 20 grupper af industrier i </w:t>
      </w:r>
      <w:r w:rsidR="00F93B6B">
        <w:t>elektrificeringsdataen</w:t>
      </w:r>
      <w:r w:rsidR="00ED236E">
        <w:t>e</w:t>
      </w:r>
      <w:r w:rsidR="00F93B6B">
        <w:t>.</w:t>
      </w:r>
      <w:r w:rsidR="000A20A7">
        <w:t xml:space="preserve"> Dette er den stærkeste antagelse i arbejdet.</w:t>
      </w:r>
    </w:p>
    <w:p w14:paraId="52E1FD6B" w14:textId="77777777" w:rsidR="00D52DD3" w:rsidRDefault="002A45A7" w:rsidP="00724A0F">
      <w:pPr>
        <w:jc w:val="both"/>
      </w:pPr>
      <w:r w:rsidRPr="002A45A7">
        <w:lastRenderedPageBreak/>
        <w:drawing>
          <wp:inline distT="0" distB="0" distL="0" distR="0" wp14:anchorId="06F990EB" wp14:editId="0F1EEF93">
            <wp:extent cx="6120130" cy="7987665"/>
            <wp:effectExtent l="0" t="0" r="0" b="0"/>
            <wp:docPr id="1618677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77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98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E9BB4" w14:textId="77777777" w:rsidR="005378F2" w:rsidRDefault="000B4BBD" w:rsidP="00724A0F">
      <w:pPr>
        <w:jc w:val="both"/>
      </w:pPr>
      <w:r w:rsidRPr="000B4BBD">
        <w:lastRenderedPageBreak/>
        <w:drawing>
          <wp:inline distT="0" distB="0" distL="0" distR="0" wp14:anchorId="3F9440F2" wp14:editId="059C0B61">
            <wp:extent cx="6120130" cy="8156575"/>
            <wp:effectExtent l="0" t="0" r="0" b="0"/>
            <wp:docPr id="583626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626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15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9087C" w14:textId="77777777" w:rsidR="005378F2" w:rsidRDefault="005378F2" w:rsidP="00724A0F">
      <w:pPr>
        <w:jc w:val="both"/>
      </w:pPr>
    </w:p>
    <w:p w14:paraId="15E98C61" w14:textId="2E815AF1" w:rsidR="005378F2" w:rsidRDefault="005378F2" w:rsidP="00724A0F">
      <w:pPr>
        <w:jc w:val="both"/>
      </w:pPr>
      <w:r>
        <w:lastRenderedPageBreak/>
        <w:t xml:space="preserve">For videre at bekræfte </w:t>
      </w:r>
      <w:r w:rsidR="00E63953">
        <w:t xml:space="preserve">”sundheden” </w:t>
      </w:r>
      <w:r>
        <w:t xml:space="preserve">BVT-dataene </w:t>
      </w:r>
      <w:r w:rsidR="00F05C2B">
        <w:t xml:space="preserve">undersøger jeg sammensætningen af industrier for et givent år per udvalgt land. I elektrificeringsstatistikken er serviceydelser én kategori, hvorfor denne kommer til at fylde meget i følgende. Derfor </w:t>
      </w:r>
      <w:r w:rsidR="00EC3715">
        <w:t xml:space="preserve">gentager jeg figuren </w:t>
      </w:r>
      <w:r w:rsidR="00E9329C">
        <w:t>uden</w:t>
      </w:r>
      <w:r w:rsidR="00EC3715">
        <w:t xml:space="preserve"> serviceydelser også.</w:t>
      </w:r>
    </w:p>
    <w:p w14:paraId="2C89BAB9" w14:textId="19275B62" w:rsidR="00F944C5" w:rsidRDefault="00240075" w:rsidP="00724A0F">
      <w:pPr>
        <w:jc w:val="both"/>
      </w:pPr>
      <w:r w:rsidRPr="00240075">
        <w:drawing>
          <wp:inline distT="0" distB="0" distL="0" distR="0" wp14:anchorId="679412DA" wp14:editId="36A4243D">
            <wp:extent cx="6120130" cy="3232150"/>
            <wp:effectExtent l="0" t="0" r="0" b="6350"/>
            <wp:docPr id="174611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07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075">
        <w:t xml:space="preserve"> </w:t>
      </w:r>
      <w:r w:rsidR="000C122D" w:rsidRPr="000C122D">
        <w:drawing>
          <wp:inline distT="0" distB="0" distL="0" distR="0" wp14:anchorId="51F065D2" wp14:editId="7EBBB955">
            <wp:extent cx="6120130" cy="2524125"/>
            <wp:effectExtent l="0" t="0" r="0" b="9525"/>
            <wp:docPr id="37993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34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6E59" w14:textId="77777777" w:rsidR="00F944C5" w:rsidRDefault="00F944C5" w:rsidP="00724A0F">
      <w:pPr>
        <w:jc w:val="both"/>
      </w:pPr>
      <w:r>
        <w:br w:type="page"/>
      </w:r>
    </w:p>
    <w:p w14:paraId="57893A7A" w14:textId="7570B9C5" w:rsidR="00D155F5" w:rsidRDefault="00D155F5" w:rsidP="00724A0F">
      <w:pPr>
        <w:jc w:val="both"/>
      </w:pPr>
      <w:r>
        <w:lastRenderedPageBreak/>
        <w:t xml:space="preserve">Sidst er selve dekomponeringsøvelsen, der søger at svare på, hvor meget af udviklingen over tid i elektrificeringsraten, som kommer fra hhv. skift i industrisammensætningen </w:t>
      </w:r>
      <w:r w:rsidR="002A0640">
        <w:t xml:space="preserve">og skift i elintensiteten indenfor industrier. </w:t>
      </w:r>
    </w:p>
    <w:p w14:paraId="1AE0C110" w14:textId="6D3BDE25" w:rsidR="00A147FB" w:rsidRDefault="00F944C5" w:rsidP="00724A0F">
      <w:pPr>
        <w:jc w:val="both"/>
        <w:rPr>
          <w:rFonts w:eastAsiaTheme="minorEastAsia"/>
        </w:rPr>
      </w:pPr>
      <w:r>
        <w:t xml:space="preserve">Lad elektrificeringsraten for et givet land på et givet tidspunkt være </w:t>
      </w:r>
      <w:r w:rsidR="00571A7B">
        <w:t xml:space="preserve">den vægtede sum af de industrispecifikke elektrificeringsrater,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c,t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i,c,t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nary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. Så kan ændringen over tid dekomponeres til hhv. udviklingen i industrisammensætningen,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 xml:space="preserve">, og udviklingen i de industrispecifikke intensiteter,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i,c,t</m:t>
            </m:r>
          </m:sub>
        </m:sSub>
      </m:oMath>
      <w:r w:rsidR="00A147FB">
        <w:rPr>
          <w:rFonts w:eastAsiaTheme="minorEastAsia"/>
        </w:rPr>
        <w:t>.</w:t>
      </w:r>
    </w:p>
    <w:p w14:paraId="73DADB89" w14:textId="1232C979" w:rsidR="004358FE" w:rsidRDefault="00BB6B5B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Dette kan gøres ved en shift-share dekomponering med </w:t>
      </w:r>
      <w:r w:rsidR="00AF3321">
        <w:rPr>
          <w:rFonts w:eastAsiaTheme="minorEastAsia"/>
        </w:rPr>
        <w:t>midtvejsvægte givet ved gns. af første og sidste observation</w:t>
      </w:r>
      <w:r w:rsidR="00766CBB">
        <w:rPr>
          <w:rFonts w:eastAsiaTheme="minorEastAsia"/>
        </w:rPr>
        <w:t xml:space="preserve"> for en effekt over tid</w:t>
      </w:r>
      <w:r w:rsidR="00AF3321">
        <w:rPr>
          <w:rFonts w:eastAsiaTheme="minorEastAsia"/>
        </w:rPr>
        <w:t xml:space="preserve">, eller </w:t>
      </w:r>
      <w:r w:rsidR="00766CBB">
        <w:rPr>
          <w:rFonts w:eastAsiaTheme="minorEastAsia"/>
        </w:rPr>
        <w:t xml:space="preserve">ved gns. </w:t>
      </w:r>
      <w:r w:rsidR="004358FE">
        <w:rPr>
          <w:rFonts w:eastAsiaTheme="minorEastAsia"/>
        </w:rPr>
        <w:t xml:space="preserve">mellem de lande for en tværsnitseffekt. </w:t>
      </w:r>
      <w:r w:rsidR="00F76BB5">
        <w:rPr>
          <w:rFonts w:eastAsiaTheme="minorEastAsia"/>
        </w:rPr>
        <w:t>Da er dekomponeringen givet ved,</w:t>
      </w:r>
    </w:p>
    <w:p w14:paraId="721D7401" w14:textId="0C3783F6" w:rsidR="00354AD9" w:rsidRPr="00354AD9" w:rsidRDefault="00313AAF" w:rsidP="00724A0F">
      <w:pPr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E=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acc>
                <m:accPr>
                  <m:chr m:val="̅"/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acc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,</m:t>
          </m:r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acc>
            <m:accPr>
              <m:chr m:val="̅"/>
              <m:ctrlPr>
                <w:rPr>
                  <w:rFonts w:ascii="Cambria Math" w:eastAsiaTheme="minorEastAsia" w:hAnsi="Cambria Math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ac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i,1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4823CEFD" w14:textId="0DBE380A" w:rsidR="00313AAF" w:rsidRDefault="00313AAF" w:rsidP="00724A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Hvor det første led angiver sammensætningseffekten, det andet led intensitetseffekten og det tredje led er et </w:t>
      </w:r>
      <w:r w:rsidR="004C53BF">
        <w:rPr>
          <w:rFonts w:eastAsiaTheme="minorEastAsia"/>
        </w:rPr>
        <w:t>interaktionsled</w:t>
      </w:r>
      <w:r>
        <w:rPr>
          <w:rFonts w:eastAsiaTheme="minorEastAsia"/>
        </w:rPr>
        <w:t>.</w:t>
      </w:r>
      <w:r w:rsidR="00E641F3">
        <w:rPr>
          <w:rFonts w:eastAsiaTheme="minorEastAsia"/>
        </w:rPr>
        <w:t xml:space="preserve"> I første figur angiver en stigning, at landet samlet set har fået en højere elektrificeringsrate over tid. I den anden figur angiver en stigning, at </w:t>
      </w:r>
      <w:r w:rsidR="00372A2B">
        <w:rPr>
          <w:rFonts w:eastAsiaTheme="minorEastAsia"/>
        </w:rPr>
        <w:t>Danmark er relativt mere elektrificeret.</w:t>
      </w:r>
    </w:p>
    <w:p w14:paraId="5A8783D2" w14:textId="344D20AD" w:rsidR="0053567B" w:rsidRDefault="00ED0476" w:rsidP="00724A0F">
      <w:pPr>
        <w:jc w:val="both"/>
        <w:rPr>
          <w:rFonts w:eastAsiaTheme="minorEastAsia"/>
        </w:rPr>
      </w:pPr>
      <w:r w:rsidRPr="00ED0476">
        <w:rPr>
          <w:rFonts w:eastAsiaTheme="minorEastAsia"/>
        </w:rPr>
        <w:drawing>
          <wp:inline distT="0" distB="0" distL="0" distR="0" wp14:anchorId="0DEB4A38" wp14:editId="0B14442C">
            <wp:extent cx="6120130" cy="2016125"/>
            <wp:effectExtent l="0" t="0" r="0" b="3175"/>
            <wp:docPr id="179855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500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84AF" w14:textId="24D5131E" w:rsidR="004358FE" w:rsidRPr="004358FE" w:rsidRDefault="00B95644" w:rsidP="00724A0F">
      <w:pPr>
        <w:jc w:val="both"/>
        <w:rPr>
          <w:rFonts w:eastAsiaTheme="minorEastAsia"/>
        </w:rPr>
      </w:pPr>
      <w:r w:rsidRPr="00B95644">
        <w:rPr>
          <w:rFonts w:eastAsiaTheme="minorEastAsia"/>
        </w:rPr>
        <w:drawing>
          <wp:inline distT="0" distB="0" distL="0" distR="0" wp14:anchorId="69A6BC66" wp14:editId="6D9E413E">
            <wp:extent cx="6120130" cy="2016125"/>
            <wp:effectExtent l="0" t="0" r="0" b="3175"/>
            <wp:docPr id="2111945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457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58FE" w:rsidRPr="004358F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64C"/>
    <w:rsid w:val="00080C7C"/>
    <w:rsid w:val="000975DD"/>
    <w:rsid w:val="000A20A7"/>
    <w:rsid w:val="000A4307"/>
    <w:rsid w:val="000B4BBD"/>
    <w:rsid w:val="000C122D"/>
    <w:rsid w:val="00164C5E"/>
    <w:rsid w:val="001C184B"/>
    <w:rsid w:val="001E430D"/>
    <w:rsid w:val="00240075"/>
    <w:rsid w:val="0028335E"/>
    <w:rsid w:val="002A0640"/>
    <w:rsid w:val="002A45A7"/>
    <w:rsid w:val="002D0BF4"/>
    <w:rsid w:val="002D0FA2"/>
    <w:rsid w:val="00300CC0"/>
    <w:rsid w:val="00313AAF"/>
    <w:rsid w:val="00352F62"/>
    <w:rsid w:val="00354AD9"/>
    <w:rsid w:val="00372A2B"/>
    <w:rsid w:val="003E1ED4"/>
    <w:rsid w:val="004358FE"/>
    <w:rsid w:val="004413FD"/>
    <w:rsid w:val="0048441A"/>
    <w:rsid w:val="0049464C"/>
    <w:rsid w:val="004C53BF"/>
    <w:rsid w:val="004E5F1D"/>
    <w:rsid w:val="0053567B"/>
    <w:rsid w:val="005378F2"/>
    <w:rsid w:val="00550CF7"/>
    <w:rsid w:val="00571A7B"/>
    <w:rsid w:val="005745DE"/>
    <w:rsid w:val="005C0462"/>
    <w:rsid w:val="00675C51"/>
    <w:rsid w:val="006C72BF"/>
    <w:rsid w:val="006E0E70"/>
    <w:rsid w:val="006E1920"/>
    <w:rsid w:val="006F2BA9"/>
    <w:rsid w:val="006F451C"/>
    <w:rsid w:val="00724A0F"/>
    <w:rsid w:val="00766CBB"/>
    <w:rsid w:val="00775ECC"/>
    <w:rsid w:val="0082097D"/>
    <w:rsid w:val="00852B03"/>
    <w:rsid w:val="00977742"/>
    <w:rsid w:val="00991000"/>
    <w:rsid w:val="00A147AF"/>
    <w:rsid w:val="00A147FB"/>
    <w:rsid w:val="00AE5621"/>
    <w:rsid w:val="00AF3321"/>
    <w:rsid w:val="00AF442A"/>
    <w:rsid w:val="00B65880"/>
    <w:rsid w:val="00B85D57"/>
    <w:rsid w:val="00B95644"/>
    <w:rsid w:val="00BA754D"/>
    <w:rsid w:val="00BB6B5B"/>
    <w:rsid w:val="00C00593"/>
    <w:rsid w:val="00C2263A"/>
    <w:rsid w:val="00CB60AA"/>
    <w:rsid w:val="00CD289D"/>
    <w:rsid w:val="00D155F5"/>
    <w:rsid w:val="00D322F6"/>
    <w:rsid w:val="00D52DD3"/>
    <w:rsid w:val="00D80B06"/>
    <w:rsid w:val="00D817FB"/>
    <w:rsid w:val="00D94D3D"/>
    <w:rsid w:val="00DF3EFE"/>
    <w:rsid w:val="00E63953"/>
    <w:rsid w:val="00E641F3"/>
    <w:rsid w:val="00E9329C"/>
    <w:rsid w:val="00EB682F"/>
    <w:rsid w:val="00EC3715"/>
    <w:rsid w:val="00ED0476"/>
    <w:rsid w:val="00ED236E"/>
    <w:rsid w:val="00F02A46"/>
    <w:rsid w:val="00F05C2B"/>
    <w:rsid w:val="00F76BB5"/>
    <w:rsid w:val="00F93B6B"/>
    <w:rsid w:val="00F94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B9E1"/>
  <w15:chartTrackingRefBased/>
  <w15:docId w15:val="{1448FF7C-1F0A-44FC-A5EC-4B7BB83F9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6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71A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b2e3c1a-d678-4045-ab86-cec8bd5b223c" xsi:nil="true"/>
    <lcf76f155ced4ddcb4097134ff3c332f xmlns="53694279-be3b-48f4-abf1-f846896aa1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1D8F13C92F2D4AA551A876B7C6A7A3" ma:contentTypeVersion="14" ma:contentTypeDescription="Opret et nyt dokument." ma:contentTypeScope="" ma:versionID="d37aed14d94f33d2da64e931d0bd0598">
  <xsd:schema xmlns:xsd="http://www.w3.org/2001/XMLSchema" xmlns:xs="http://www.w3.org/2001/XMLSchema" xmlns:p="http://schemas.microsoft.com/office/2006/metadata/properties" xmlns:ns2="53694279-be3b-48f4-abf1-f846896aa128" xmlns:ns3="fb2e3c1a-d678-4045-ab86-cec8bd5b223c" targetNamespace="http://schemas.microsoft.com/office/2006/metadata/properties" ma:root="true" ma:fieldsID="457325b8327431c556ce0cceb7774680" ns2:_="" ns3:_="">
    <xsd:import namespace="53694279-be3b-48f4-abf1-f846896aa128"/>
    <xsd:import namespace="fb2e3c1a-d678-4045-ab86-cec8bd5b22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694279-be3b-48f4-abf1-f846896aa1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ledmærker" ma:readOnly="false" ma:fieldId="{5cf76f15-5ced-4ddc-b409-7134ff3c332f}" ma:taxonomyMulti="true" ma:sspId="cfe49cd5-0d4f-4079-a2e1-3a71b1890f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e3c1a-d678-4045-ab86-cec8bd5b223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81259ba-daea-4186-9ee7-5b2073ce4a5f}" ma:internalName="TaxCatchAll" ma:showField="CatchAllData" ma:web="fb2e3c1a-d678-4045-ab86-cec8bd5b22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4B349AF-6E49-49A7-BEFC-CE86FD1F1D98}">
  <ds:schemaRefs>
    <ds:schemaRef ds:uri="http://schemas.microsoft.com/office/2006/metadata/properties"/>
    <ds:schemaRef ds:uri="http://schemas.microsoft.com/office/infopath/2007/PartnerControls"/>
    <ds:schemaRef ds:uri="fb2e3c1a-d678-4045-ab86-cec8bd5b223c"/>
    <ds:schemaRef ds:uri="53694279-be3b-48f4-abf1-f846896aa128"/>
  </ds:schemaRefs>
</ds:datastoreItem>
</file>

<file path=customXml/itemProps2.xml><?xml version="1.0" encoding="utf-8"?>
<ds:datastoreItem xmlns:ds="http://schemas.openxmlformats.org/officeDocument/2006/customXml" ds:itemID="{EDE134E6-676A-44C8-84C8-988BE3F76F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A025EA-71EF-4FC1-A8F6-8CC90486F8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694279-be3b-48f4-abf1-f846896aa128"/>
    <ds:schemaRef ds:uri="fb2e3c1a-d678-4045-ab86-cec8bd5b22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6</Pages>
  <Words>376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Linus Lindquist</dc:creator>
  <cp:keywords/>
  <dc:description/>
  <cp:lastModifiedBy>Linus Lindquist</cp:lastModifiedBy>
  <cp:revision>78</cp:revision>
  <dcterms:created xsi:type="dcterms:W3CDTF">2026-04-22T08:46:00Z</dcterms:created>
  <dcterms:modified xsi:type="dcterms:W3CDTF">2026-04-22T12:26:00Z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0x0101003E1D8F13C92F2D4AA551A876B7C6A7A3</vt:lpwstr>
  </property>
  <property fmtid="{D5CDD505-2E9C-101B-9397-08002B2CF9AE}" pid="3" name="MediaServiceImageTags">
    <vt:lpwstr/>
  </property>
</Properties>
</file>