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w:t>
      </w:r>
      <w:r>
        <w:t xml:space="preserve"> </w:t>
      </w:r>
      <w:r>
        <w:t xml:space="preserve">Matematico</w:t>
      </w:r>
      <w:r>
        <w:t xml:space="preserve"> </w:t>
      </w:r>
      <w:r>
        <w:t xml:space="preserve">CBR</w:t>
      </w:r>
    </w:p>
    <w:p>
      <w:pPr>
        <w:pStyle w:val="Author"/>
      </w:pPr>
      <w:r>
        <w:t xml:space="preserve">P.N.</w:t>
      </w:r>
      <w:r>
        <w:t xml:space="preserve"> </w:t>
      </w:r>
      <w:r>
        <w:t xml:space="preserve">de</w:t>
      </w:r>
      <w:r>
        <w:t xml:space="preserve"> </w:t>
      </w:r>
      <w:r>
        <w:t xml:space="preserve">Lima,</w:t>
      </w:r>
      <w:r>
        <w:t xml:space="preserve"> </w:t>
      </w:r>
      <w:r>
        <w:t xml:space="preserve">D.</w:t>
      </w:r>
      <w:r>
        <w:t xml:space="preserve"> </w:t>
      </w:r>
      <w:r>
        <w:t xml:space="preserve">B.</w:t>
      </w:r>
      <w:r>
        <w:t xml:space="preserve"> </w:t>
      </w:r>
      <w:r>
        <w:t xml:space="preserve">Goldmeyer,</w:t>
      </w:r>
      <w:r>
        <w:t xml:space="preserve"> </w:t>
      </w:r>
      <w:r>
        <w:t xml:space="preserve">L.</w:t>
      </w:r>
      <w:r>
        <w:t xml:space="preserve"> </w:t>
      </w:r>
      <w:r>
        <w:t xml:space="preserve">F.</w:t>
      </w:r>
      <w:r>
        <w:t xml:space="preserve"> </w:t>
      </w:r>
      <w:r>
        <w:t xml:space="preserve">R.</w:t>
      </w:r>
      <w:r>
        <w:t xml:space="preserve"> </w:t>
      </w:r>
      <w:r>
        <w:t xml:space="preserve">Camargo,</w:t>
      </w:r>
      <w:r>
        <w:t xml:space="preserve"> </w:t>
      </w:r>
      <w:r>
        <w:t xml:space="preserve">A.</w:t>
      </w:r>
      <w:r>
        <w:t xml:space="preserve"> </w:t>
      </w:r>
      <w:r>
        <w:t xml:space="preserve">Dresch,</w:t>
      </w:r>
      <w:r>
        <w:t xml:space="preserve"> </w:t>
      </w:r>
      <w:r>
        <w:t xml:space="preserve">D.</w:t>
      </w:r>
      <w:r>
        <w:t xml:space="preserve"> </w:t>
      </w:r>
      <w:r>
        <w:t xml:space="preserve">P.</w:t>
      </w:r>
      <w:r>
        <w:t xml:space="preserve"> </w:t>
      </w:r>
      <w:r>
        <w:t xml:space="preserve">Lacerda,</w:t>
      </w:r>
      <w:r>
        <w:t xml:space="preserve"> </w:t>
      </w:r>
      <w:r>
        <w:t xml:space="preserve">T.</w:t>
      </w:r>
      <w:r>
        <w:t xml:space="preserve"> </w:t>
      </w:r>
      <w:r>
        <w:t xml:space="preserve">Kunrath</w:t>
      </w:r>
    </w:p>
    <w:p>
      <w:pPr>
        <w:pStyle w:val="Date"/>
      </w:pPr>
      <w:r>
        <w:t xml:space="preserve">junho</w:t>
      </w:r>
      <w:r>
        <w:t xml:space="preserve"> </w:t>
      </w:r>
      <w:r>
        <w:t xml:space="preserve">de</w:t>
      </w:r>
      <w:r>
        <w:t xml:space="preserve"> </w:t>
      </w:r>
      <w:r>
        <w:t xml:space="preserve">2017</w:t>
      </w:r>
    </w:p>
    <w:p>
      <w:pPr>
        <w:pStyle w:val="Heading1"/>
      </w:pPr>
      <w:bookmarkStart w:id="21" w:name="modelo-matematico---razao-beneficio-custo"/>
      <w:bookmarkEnd w:id="21"/>
      <w:r>
        <w:t xml:space="preserve">Modelo Matemático - Razão Benefício-Custo</w:t>
      </w:r>
    </w:p>
    <w:p>
      <w:pPr>
        <w:pStyle w:val="FirstParagraph"/>
      </w:pPr>
      <w:r>
        <w:t xml:space="preserve">Este documento contém uma definição do modelo matemático que suporta a calculadora de custos e benefícios de inciativas em SST.</w:t>
      </w:r>
    </w:p>
    <w:p>
      <w:pPr>
        <w:pStyle w:val="Heading2"/>
      </w:pPr>
      <w:bookmarkStart w:id="22" w:name="cbr---razao-beneficio-custo"/>
      <w:bookmarkEnd w:id="22"/>
      <w:r>
        <w:t xml:space="preserve">CBR - Razão Benefício-Custo</w:t>
      </w:r>
    </w:p>
    <w:p>
      <w:pPr>
        <w:pStyle w:val="FirstParagraph"/>
      </w:pPr>
      <w:r>
        <w:t xml:space="preserve">A razão benefício-custo</w:t>
      </w:r>
      <w:r>
        <w:t xml:space="preserve"> </w:t>
      </w:r>
      <m:oMath>
        <m:r>
          <m:t>α</m:t>
        </m:r>
      </m:oMath>
      <w:r>
        <w:t xml:space="preserve"> </w:t>
      </w:r>
      <w:r>
        <w:t xml:space="preserve">corresponde à razão do somatório dos custos</w:t>
      </w:r>
      <w:r>
        <w:t xml:space="preserve"> </w:t>
      </w:r>
      <m:oMath>
        <m:sSub>
          <m:e>
            <m:r>
              <m:t>C</m:t>
            </m:r>
          </m:e>
          <m:sub>
            <m:r>
              <m:t>i</m:t>
            </m:r>
          </m:sub>
        </m:sSub>
      </m:oMath>
      <w:r>
        <w:t xml:space="preserve"> </w:t>
      </w:r>
      <w:r>
        <w:t xml:space="preserve">onde</w:t>
      </w:r>
      <w:r>
        <w:t xml:space="preserve"> </w:t>
      </w:r>
      <m:oMath>
        <m:r>
          <m:t>i</m:t>
        </m:r>
      </m:oMath>
      <w:r>
        <w:t xml:space="preserve"> </w:t>
      </w:r>
      <w:r>
        <w:t xml:space="preserve">representa o índice de custos e</w:t>
      </w:r>
      <w:r>
        <w:t xml:space="preserve"> </w:t>
      </w:r>
      <m:oMath>
        <m:sSub>
          <m:e>
            <m:r>
              <m:t>B</m:t>
            </m:r>
          </m:e>
          <m:sub>
            <m:r>
              <m:t>j</m:t>
            </m:r>
          </m:sub>
        </m:sSub>
      </m:oMath>
      <w:r>
        <w:t xml:space="preserve"> </w:t>
      </w:r>
      <w:r>
        <w:t xml:space="preserve">os benefícios a valor presente.</w:t>
      </w:r>
    </w:p>
    <w:p>
      <w:pPr>
        <w:pStyle w:val="BodyText"/>
      </w:pPr>
      <m:oMathPara>
        <m:oMathParaPr>
          <m:jc m:val="center"/>
        </m:oMathParaPr>
        <m:oMath>
          <m:r>
            <m:t>α</m:t>
          </m:r>
          <m:r>
            <m:t>=</m:t>
          </m:r>
          <m:f>
            <m:fPr>
              <m:type m:val="bar"/>
            </m:fPr>
            <m:num>
              <m:nary>
                <m:naryPr>
                  <m:chr m:val="∑"/>
                  <m:limLoc m:val="undOvr"/>
                  <m:subHide m:val="0"/>
                  <m:supHide m:val="0"/>
                </m:naryPr>
                <m:sub>
                  <m:r>
                    <m:t>i</m:t>
                  </m:r>
                  <m:r>
                    <m:t>=</m:t>
                  </m:r>
                  <m:r>
                    <m:t>1</m:t>
                  </m:r>
                </m:sub>
                <m:sup>
                  <m:r>
                    <m:t>I</m:t>
                  </m:r>
                </m:sup>
                <m:e>
                  <m:sSub>
                    <m:e>
                      <m:r>
                        <m:t>B</m:t>
                      </m:r>
                    </m:e>
                    <m:sub>
                      <m:r>
                        <m:t>i</m:t>
                      </m:r>
                    </m:sub>
                  </m:sSub>
                </m:e>
              </m:nary>
            </m:num>
            <m:den>
              <m:nary>
                <m:naryPr>
                  <m:chr m:val="∑"/>
                  <m:limLoc m:val="undOvr"/>
                  <m:subHide m:val="0"/>
                  <m:supHide m:val="0"/>
                </m:naryPr>
                <m:sub>
                  <m:r>
                    <m:t>j</m:t>
                  </m:r>
                  <m:r>
                    <m:t>=</m:t>
                  </m:r>
                  <m:r>
                    <m:t>1</m:t>
                  </m:r>
                </m:sub>
                <m:sup>
                  <m:r>
                    <m:t>J</m:t>
                  </m:r>
                </m:sup>
                <m:e>
                  <m:sSub>
                    <m:e>
                      <m:r>
                        <m:t>C</m:t>
                      </m:r>
                    </m:e>
                    <m:sub>
                      <m:r>
                        <m:t>j</m:t>
                      </m:r>
                    </m:sub>
                  </m:sSub>
                </m:e>
              </m:nary>
            </m:den>
          </m:f>
        </m:oMath>
      </m:oMathPara>
    </w:p>
    <w:p>
      <w:pPr>
        <w:pStyle w:val="Heading3"/>
      </w:pPr>
      <w:bookmarkStart w:id="23" w:name="fluxo-de-caixa-em-valor-presente"/>
      <w:bookmarkEnd w:id="23"/>
      <w:r>
        <w:t xml:space="preserve">Fluxo de Caixa em Valor Presente</w:t>
      </w:r>
    </w:p>
    <w:p>
      <w:pPr>
        <w:pStyle w:val="FirstParagraph"/>
      </w:pPr>
      <w:r>
        <w:t xml:space="preserve">Os fluxos de caixa devem ser ajustados a valor presente utilizando-se uma taxa de atratividade</w:t>
      </w:r>
      <w:r>
        <w:t xml:space="preserve"> </w:t>
      </w:r>
      <m:oMath>
        <m:r>
          <m:t>θ</m:t>
        </m:r>
      </m:oMath>
      <w:r>
        <w:t xml:space="preserve"> </w:t>
      </w:r>
      <w:r>
        <w:t xml:space="preserve">definida pelo usuário do modelo. Tal taxa será utilizada para trazer os valores de fluxo de caixa a valor presente.</w:t>
      </w:r>
    </w:p>
    <w:p>
      <w:pPr>
        <w:pStyle w:val="BodyText"/>
      </w:pPr>
      <m:oMathPara>
        <m:oMathParaPr>
          <m:jc m:val="center"/>
        </m:oMathParaPr>
        <m:oMath>
          <m:sSub>
            <m:e>
              <m:r>
                <m:t>B</m:t>
              </m:r>
            </m:e>
            <m:sub>
              <m:r>
                <m:t>i</m:t>
              </m:r>
            </m:sub>
          </m:sSub>
          <m:r>
            <m:t>(</m:t>
          </m:r>
          <m:r>
            <m:t>t</m:t>
          </m:r>
          <m:r>
            <m:t>)</m:t>
          </m:r>
          <m:r>
            <m:t>=</m:t>
          </m:r>
          <m:f>
            <m:fPr>
              <m:type m:val="bar"/>
            </m:fPr>
            <m:num>
              <m:sSub>
                <m:e>
                  <m:r>
                    <m:t>b</m:t>
                  </m:r>
                </m:e>
                <m:sub>
                  <m:r>
                    <m:t>i</m:t>
                  </m:r>
                </m:sub>
              </m:sSub>
            </m:num>
            <m:den>
              <m:r>
                <m:t>(</m:t>
              </m:r>
              <m:r>
                <m:t>1</m:t>
              </m:r>
              <m:r>
                <m:t>+</m:t>
              </m:r>
              <m:r>
                <m:t>θ</m:t>
              </m:r>
              <m:sSup>
                <m:e>
                  <m:r>
                    <m:t>)</m:t>
                  </m:r>
                </m:e>
                <m:sup>
                  <m:r>
                    <m:t>t</m:t>
                  </m:r>
                </m:sup>
              </m:sSup>
            </m:den>
          </m:f>
        </m:oMath>
      </m:oMathPara>
    </w:p>
    <w:p>
      <w:pPr>
        <w:pStyle w:val="Heading3"/>
      </w:pPr>
      <w:bookmarkStart w:id="24" w:name="calculo-dos-beneficios"/>
      <w:bookmarkEnd w:id="24"/>
      <w:r>
        <w:t xml:space="preserve">Calculo dos Benefícios</w:t>
      </w:r>
    </w:p>
    <w:p>
      <w:pPr>
        <w:pStyle w:val="FirstParagraph"/>
      </w:pPr>
      <w:r>
        <w:t xml:space="preserve">Em todos os casos, o benefício será calculado a partir da diferença em valores monetários de uma variável financeira sem a iniciativa em SST e com a iniciativa em SST. Exemplificando, o benefício gerado pela redução de absenteísmo</w:t>
      </w:r>
      <w:r>
        <w:t xml:space="preserve"> </w:t>
      </w:r>
      <m:oMath>
        <m:sSub>
          <m:e>
            <m:r>
              <m:t>B</m:t>
            </m:r>
          </m:e>
          <m:sub>
            <m:r>
              <m:t>a</m:t>
            </m:r>
            <m:r>
              <m:t>b</m:t>
            </m:r>
            <m:r>
              <m:t>s</m:t>
            </m:r>
          </m:sub>
        </m:sSub>
      </m:oMath>
      <w:r>
        <w:t xml:space="preserve"> </w:t>
      </w:r>
      <w:r>
        <w:t xml:space="preserve">será calculado a partir da seguinte equação.</w:t>
      </w:r>
    </w:p>
    <w:p>
      <w:pPr>
        <w:pStyle w:val="BodyText"/>
      </w:pPr>
      <m:oMathPara>
        <m:oMathParaPr>
          <m:jc m:val="center"/>
        </m:oMathParaPr>
        <m:oMath>
          <m:sSub>
            <m:e>
              <m:r>
                <m:t>B</m:t>
              </m:r>
            </m:e>
            <m:sub>
              <m:r>
                <m:t>i</m:t>
              </m:r>
            </m:sub>
          </m:sSub>
          <m:r>
            <m:t>=</m:t>
          </m:r>
          <m:sSub>
            <m:e>
              <m:r>
                <m:t>D</m:t>
              </m:r>
            </m:e>
            <m:sub>
              <m:r>
                <m:t>i</m:t>
              </m:r>
              <m:r>
                <m:t>,</m:t>
              </m:r>
              <m:r>
                <m:t>c</m:t>
              </m:r>
              <m:r>
                <m:t>i</m:t>
              </m:r>
            </m:sub>
          </m:sSub>
          <m:r>
            <m:t>−</m:t>
          </m:r>
          <m:sSub>
            <m:e>
              <m:r>
                <m:t>D</m:t>
              </m:r>
            </m:e>
            <m:sub>
              <m:r>
                <m:t>i</m:t>
              </m:r>
              <m:r>
                <m:t>,</m:t>
              </m:r>
              <m:r>
                <m:t>s</m:t>
              </m:r>
              <m:r>
                <m:t>i</m:t>
              </m:r>
            </m:sub>
          </m:sSub>
        </m:oMath>
      </m:oMathPara>
    </w:p>
    <w:p>
      <w:pPr>
        <w:pStyle w:val="FirstParagraph"/>
      </w:pPr>
      <w:r>
        <w:t xml:space="preserve">Exemplificando, se uma empresa, sem uma iniciativa em SST terá</w:t>
      </w:r>
      <w:r>
        <w:t xml:space="preserve"> </w:t>
      </w:r>
      <m:oMath>
        <m:r>
          <m:t>20000</m:t>
        </m:r>
      </m:oMath>
      <w:r>
        <w:t xml:space="preserve"> </w:t>
      </w:r>
      <w:r>
        <w:t xml:space="preserve">reais em desepesas com absenteísmo, e com esta iniciativa terá</w:t>
      </w:r>
      <w:r>
        <w:t xml:space="preserve"> </w:t>
      </w:r>
      <m:oMath>
        <m:r>
          <m:t>15000</m:t>
        </m:r>
      </m:oMath>
      <w:r>
        <w:t xml:space="preserve">, o benefício oriúndo desta inciativa, apenas relacionado a absenteísmo será:</w:t>
      </w:r>
    </w:p>
    <w:p>
      <w:pPr>
        <w:pStyle w:val="BodyText"/>
      </w:pPr>
      <m:oMathPara>
        <m:oMathParaPr>
          <m:jc m:val="center"/>
        </m:oMathParaPr>
        <m:oMath>
          <m:sSub>
            <m:e>
              <m:r>
                <m:t>B</m:t>
              </m:r>
            </m:e>
            <m:sub>
              <m:r>
                <m:t>a</m:t>
              </m:r>
              <m:r>
                <m:t>b</m:t>
              </m:r>
              <m:r>
                <m:t>s</m:t>
              </m:r>
            </m:sub>
          </m:sSub>
          <m:r>
            <m:t>=</m:t>
          </m:r>
          <m:sSub>
            <m:e>
              <m:r>
                <m:t>D</m:t>
              </m:r>
            </m:e>
            <m:sub>
              <m:r>
                <m:t>a</m:t>
              </m:r>
              <m:r>
                <m:t>b</m:t>
              </m:r>
              <m:r>
                <m:t>s</m:t>
              </m:r>
              <m:r>
                <m:t>,</m:t>
              </m:r>
              <m:r>
                <m:t>c</m:t>
              </m:r>
              <m:r>
                <m:t>i</m:t>
              </m:r>
            </m:sub>
          </m:sSub>
          <m:r>
            <m:t>−</m:t>
          </m:r>
          <m:sSub>
            <m:e>
              <m:r>
                <m:t>D</m:t>
              </m:r>
            </m:e>
            <m:sub>
              <m:r>
                <m:t>a</m:t>
              </m:r>
              <m:r>
                <m:t>b</m:t>
              </m:r>
              <m:r>
                <m:t>s</m:t>
              </m:r>
              <m:r>
                <m:t>,</m:t>
              </m:r>
              <m:r>
                <m:t>s</m:t>
              </m:r>
              <m:r>
                <m:t>i</m:t>
              </m:r>
            </m:sub>
          </m:sSub>
          <m:r>
            <m:t>=</m:t>
          </m:r>
          <m:r>
            <m:t>(</m:t>
          </m:r>
          <m:r>
            <m:t>−</m:t>
          </m:r>
          <m:r>
            <m:t>15000</m:t>
          </m:r>
          <m:r>
            <m:t>)</m:t>
          </m:r>
          <m:r>
            <m:t>−</m:t>
          </m:r>
          <m:r>
            <m:t>(</m:t>
          </m:r>
          <m:r>
            <m:t>−</m:t>
          </m:r>
          <m:r>
            <m:t>20000</m:t>
          </m:r>
          <m:r>
            <m:t>)</m:t>
          </m:r>
          <m:r>
            <m:t>=</m:t>
          </m:r>
          <m:r>
            <m:t>5000</m:t>
          </m:r>
        </m:oMath>
      </m:oMathPara>
    </w:p>
    <w:p>
      <w:pPr>
        <w:pStyle w:val="Heading4"/>
      </w:pPr>
      <w:bookmarkStart w:id="25" w:name="despesas-evitaveis"/>
      <w:bookmarkEnd w:id="25"/>
      <w:r>
        <w:t xml:space="preserve">Despesas Evitáveis</w:t>
      </w:r>
    </w:p>
    <w:p>
      <w:pPr>
        <w:pStyle w:val="Heading5"/>
      </w:pPr>
      <w:bookmarkStart w:id="26" w:name="despesas-com-reclamatorias-trabalhistas"/>
      <w:bookmarkEnd w:id="26"/>
      <w:r>
        <w:t xml:space="preserve">Despesas com Reclamatórias Trabalhistas</w:t>
      </w:r>
    </w:p>
    <w:p>
      <w:pPr>
        <w:pStyle w:val="Heading5"/>
      </w:pPr>
      <w:bookmarkStart w:id="27" w:name="acidente-doenca-ocupacional---invalidez"/>
      <w:bookmarkEnd w:id="27"/>
      <w:r>
        <w:t xml:space="preserve">Acidente / Doença Ocupacional - Invalidez</w:t>
      </w:r>
    </w:p>
    <w:p>
      <w:pPr>
        <w:pStyle w:val="Heading5"/>
      </w:pPr>
      <w:bookmarkStart w:id="28" w:name="acoes-regressivas-ntep"/>
      <w:bookmarkEnd w:id="28"/>
      <w:r>
        <w:t xml:space="preserve">Ações Regressivas (NTEP)</w:t>
      </w:r>
    </w:p>
    <w:p>
      <w:pPr>
        <w:pStyle w:val="Heading5"/>
      </w:pPr>
      <w:bookmarkStart w:id="29" w:name="ausencia-para-tratamento"/>
      <w:bookmarkEnd w:id="29"/>
      <w:r>
        <w:t xml:space="preserve">Ausência para Tratamento</w:t>
      </w:r>
    </w:p>
    <w:p>
      <w:pPr>
        <w:pStyle w:val="Heading5"/>
      </w:pPr>
      <w:bookmarkStart w:id="30" w:name="despesas-medicas"/>
      <w:bookmarkEnd w:id="30"/>
      <w:r>
        <w:t xml:space="preserve">Despesas Médicas</w:t>
      </w:r>
    </w:p>
    <w:p>
      <w:pPr>
        <w:pStyle w:val="Heading5"/>
      </w:pPr>
      <w:bookmarkStart w:id="31" w:name="taxa-de-sinistralidade"/>
      <w:bookmarkEnd w:id="31"/>
      <w:r>
        <w:t xml:space="preserve">Taxa de Sinistralidade</w:t>
      </w:r>
    </w:p>
    <w:p>
      <w:pPr>
        <w:pStyle w:val="Heading5"/>
      </w:pPr>
      <w:bookmarkStart w:id="32" w:name="interrupcao-operacional-acidentemorte"/>
      <w:bookmarkEnd w:id="32"/>
      <w:r>
        <w:t xml:space="preserve">Interrupção Operacional (Acidente/Morte)</w:t>
      </w:r>
    </w:p>
    <w:p>
      <w:pPr>
        <w:pStyle w:val="Heading5"/>
      </w:pPr>
      <w:bookmarkStart w:id="33" w:name="reabilitacao-do-trabalhador"/>
      <w:bookmarkEnd w:id="33"/>
      <w:r>
        <w:t xml:space="preserve">Reabilitação do trabalhador</w:t>
      </w:r>
    </w:p>
    <w:p>
      <w:pPr>
        <w:pStyle w:val="Heading4"/>
      </w:pPr>
      <w:bookmarkStart w:id="34" w:name="beneficio-nao-capturado"/>
      <w:bookmarkEnd w:id="34"/>
      <w:r>
        <w:t xml:space="preserve">Benefício Não Capturado</w:t>
      </w:r>
    </w:p>
    <w:p>
      <w:pPr>
        <w:pStyle w:val="Heading5"/>
      </w:pPr>
      <w:bookmarkStart w:id="35" w:name="exposicao-a-multas"/>
      <w:bookmarkEnd w:id="35"/>
      <w:r>
        <w:t xml:space="preserve">Exposição à Multas</w:t>
      </w:r>
    </w:p>
    <w:p>
      <w:pPr>
        <w:pStyle w:val="Heading5"/>
      </w:pPr>
      <w:bookmarkStart w:id="36" w:name="reducoes-fiscais"/>
      <w:bookmarkEnd w:id="36"/>
      <w:r>
        <w:t xml:space="preserve">Reduções Fiscais</w:t>
      </w:r>
    </w:p>
    <w:p>
      <w:pPr>
        <w:pStyle w:val="FirstParagraph"/>
      </w:pPr>
      <w:r>
        <w:t xml:space="preserve">FAP, RAT e SAT: As despesas com seguro acidentário do trabalho</w:t>
      </w:r>
      <w:r>
        <w:t xml:space="preserve"> </w:t>
      </w:r>
      <m:oMath>
        <m:sSub>
          <m:e>
            <m:r>
              <m:t>D</m:t>
            </m:r>
          </m:e>
          <m:sub>
            <m:r>
              <m:t>s</m:t>
            </m:r>
            <m:r>
              <m:t>a</m:t>
            </m:r>
            <m:r>
              <m:t>t</m:t>
            </m:r>
          </m:sub>
        </m:sSub>
      </m:oMath>
      <w:r>
        <w:t xml:space="preserve"> </w:t>
      </w:r>
      <w:r>
        <w:t xml:space="preserve">serão calculadas de acordo com as estimativas do</w:t>
      </w:r>
      <w:r>
        <w:t xml:space="preserve"> </w:t>
      </w:r>
      <m:oMath>
        <m:r>
          <m:t>F</m:t>
        </m:r>
        <m:r>
          <m:t>A</m:t>
        </m:r>
        <m:r>
          <m:t>P</m:t>
        </m:r>
      </m:oMath>
      <w:r>
        <w:t xml:space="preserve"> </w:t>
      </w:r>
      <w:r>
        <w:t xml:space="preserve">(</w:t>
      </w:r>
      <m:oMath>
        <m:r>
          <m:t>0</m:t>
        </m:r>
        <m:r>
          <m:t>,</m:t>
        </m:r>
        <m:r>
          <m:t>005</m:t>
        </m:r>
        <m:r>
          <m:t>−</m:t>
        </m:r>
        <m:r>
          <m:t>0</m:t>
        </m:r>
        <m:r>
          <m:t>,</m:t>
        </m:r>
        <m:r>
          <m:t>02</m:t>
        </m:r>
      </m:oMath>
      <w:r>
        <w:t xml:space="preserve">) e</w:t>
      </w:r>
      <w:r>
        <w:t xml:space="preserve"> </w:t>
      </w:r>
      <m:oMath>
        <m:r>
          <m:t>R</m:t>
        </m:r>
        <m:r>
          <m:t>A</m:t>
        </m:r>
        <m:r>
          <m:t>T</m:t>
        </m:r>
      </m:oMath>
      <w:r>
        <w:t xml:space="preserve"> </w:t>
      </w:r>
      <w:r>
        <w:t xml:space="preserve">.</w:t>
      </w:r>
    </w:p>
    <w:p>
      <w:pPr>
        <w:pStyle w:val="BodyText"/>
      </w:pPr>
      <m:oMathPara>
        <m:oMathParaPr>
          <m:jc m:val="center"/>
        </m:oMathParaPr>
        <m:oMath>
          <m:sSub>
            <m:e>
              <m:r>
                <m:t>D</m:t>
              </m:r>
            </m:e>
            <m:sub>
              <m:r>
                <m:t>s</m:t>
              </m:r>
              <m:r>
                <m:t>a</m:t>
              </m:r>
              <m:r>
                <m:t>t</m:t>
              </m:r>
            </m:sub>
          </m:sSub>
          <m:r>
            <m:t>=</m:t>
          </m:r>
          <m:r>
            <m:t>R</m:t>
          </m:r>
          <m:r>
            <m:t>A</m:t>
          </m:r>
          <m:sSub>
            <m:e>
              <m:r>
                <m:t>T</m:t>
              </m:r>
            </m:e>
            <m:sub>
              <m:r>
                <m:t>a</m:t>
              </m:r>
              <m:r>
                <m:t>j</m:t>
              </m:r>
              <m:r>
                <m:t>u</m:t>
              </m:r>
              <m:r>
                <m:t>s</m:t>
              </m:r>
              <m:r>
                <m:t>t</m:t>
              </m:r>
            </m:sub>
          </m:sSub>
          <m:r>
            <m:t>*</m:t>
          </m:r>
          <m:r>
            <m:t>F</m:t>
          </m:r>
        </m:oMath>
      </m:oMathPara>
    </w:p>
    <w:p>
      <w:pPr>
        <w:pStyle w:val="Heading6"/>
      </w:pPr>
      <w:bookmarkStart w:id="37" w:name="rat-ajustado"/>
      <w:bookmarkEnd w:id="37"/>
      <w:r>
        <w:t xml:space="preserve">Rat Ajustado</w:t>
      </w:r>
    </w:p>
    <w:p>
      <w:pPr>
        <w:pStyle w:val="FirstParagraph"/>
      </w:pPr>
      <m:oMathPara>
        <m:oMathParaPr>
          <m:jc m:val="center"/>
        </m:oMathParaPr>
        <m:oMath>
          <m:r>
            <m:t>R</m:t>
          </m:r>
          <m:r>
            <m:t>A</m:t>
          </m:r>
          <m:sSub>
            <m:e>
              <m:r>
                <m:t>T</m:t>
              </m:r>
            </m:e>
            <m:sub>
              <m:r>
                <m:t>a</m:t>
              </m:r>
              <m:r>
                <m:t>j</m:t>
              </m:r>
              <m:r>
                <m:t>u</m:t>
              </m:r>
              <m:r>
                <m:t>s</m:t>
              </m:r>
              <m:r>
                <m:t>t</m:t>
              </m:r>
            </m:sub>
          </m:sSub>
          <m:r>
            <m:t>=</m:t>
          </m:r>
          <m:r>
            <m:t>(</m:t>
          </m:r>
          <m:r>
            <m:t>F</m:t>
          </m:r>
          <m:r>
            <m:t>A</m:t>
          </m:r>
          <m:r>
            <m:t>P</m:t>
          </m:r>
          <m:r>
            <m:t>*</m:t>
          </m:r>
          <m:r>
            <m:t>R</m:t>
          </m:r>
          <m:r>
            <m:t>A</m:t>
          </m:r>
          <m:r>
            <m:t>T</m:t>
          </m:r>
          <m:r>
            <m:t>)</m:t>
          </m:r>
        </m:oMath>
      </m:oMathPara>
    </w:p>
    <w:p>
      <w:pPr>
        <w:pStyle w:val="FirstParagraph"/>
      </w:pPr>
      <w:r>
        <w:t xml:space="preserve">O</w:t>
      </w:r>
      <w:r>
        <w:t xml:space="preserve"> </w:t>
      </w:r>
      <m:oMath>
        <m:r>
          <m:t>R</m:t>
        </m:r>
        <m:r>
          <m:t>A</m:t>
        </m:r>
        <m:r>
          <m:t>T</m:t>
        </m:r>
      </m:oMath>
      <w:r>
        <w:t xml:space="preserve"> </w:t>
      </w:r>
      <w:r>
        <w:t xml:space="preserve">varia entre 1 e 3, de acordo com o cnae da empresa em questão.</w:t>
      </w:r>
    </w:p>
    <w:p>
      <w:pPr>
        <w:pStyle w:val="BodyText"/>
      </w:pPr>
      <m:oMathPara>
        <m:oMathParaPr>
          <m:jc m:val="center"/>
        </m:oMathParaPr>
        <m:oMath>
          <m:r>
            <m:t>R</m:t>
          </m:r>
          <m:r>
            <m:t>A</m:t>
          </m:r>
          <m:r>
            <m:t>T</m:t>
          </m:r>
          <m:r>
            <m:t>∈</m:t>
          </m:r>
          <m:r>
            <m:t>1</m:t>
          </m:r>
          <m:r>
            <m:t>,</m:t>
          </m:r>
          <m:r>
            <m:t>2</m:t>
          </m:r>
          <m:r>
            <m:t>,</m:t>
          </m:r>
          <m:r>
            <m:t>3</m:t>
          </m:r>
        </m:oMath>
      </m:oMathPara>
    </w:p>
    <w:p>
      <w:pPr>
        <w:pStyle w:val="Heading6"/>
      </w:pPr>
      <w:bookmarkStart w:id="38" w:name="fap"/>
      <w:bookmarkEnd w:id="38"/>
      <w:r>
        <w:t xml:space="preserve">FAP</w:t>
      </w:r>
    </w:p>
    <w:p>
      <w:pPr>
        <w:pStyle w:val="FirstParagraph"/>
      </w:pPr>
      <w:r>
        <w:t xml:space="preserve">O FAP, por sua vez, é calculado de acordo com os percentis de gravidade</w:t>
      </w:r>
      <w:r>
        <w:t xml:space="preserve"> </w:t>
      </w:r>
      <m:oMath>
        <m:sSub>
          <m:e>
            <m:r>
              <m:t>p</m:t>
            </m:r>
          </m:e>
          <m:sub>
            <m:r>
              <m:t>g</m:t>
            </m:r>
          </m:sub>
        </m:sSub>
      </m:oMath>
      <w:r>
        <w:t xml:space="preserve">, frequência</w:t>
      </w:r>
      <w:r>
        <w:t xml:space="preserve"> </w:t>
      </w:r>
      <m:oMath>
        <m:sSub>
          <m:e>
            <m:r>
              <m:t>p</m:t>
            </m:r>
          </m:e>
          <m:sub>
            <m:r>
              <m:t>f</m:t>
            </m:r>
          </m:sub>
        </m:sSub>
      </m:oMath>
      <w:r>
        <w:t xml:space="preserve"> </w:t>
      </w:r>
      <w:r>
        <w:t xml:space="preserve">e custo</w:t>
      </w:r>
      <m:oMath>
        <m:sSub>
          <m:e>
            <m:r>
              <m:t>p</m:t>
            </m:r>
          </m:e>
          <m:sub>
            <m:r>
              <m:t>c</m:t>
            </m:r>
          </m:sub>
        </m:sSub>
      </m:oMath>
      <w:r>
        <w:t xml:space="preserve">:</w:t>
      </w:r>
    </w:p>
    <w:p>
      <w:pPr>
        <w:pStyle w:val="BodyText"/>
      </w:pPr>
      <m:oMathPara>
        <m:oMathParaPr>
          <m:jc m:val="center"/>
        </m:oMathParaPr>
        <m:oMath>
          <m:r>
            <m:t>F</m:t>
          </m:r>
          <m:r>
            <m:t>A</m:t>
          </m:r>
          <m:r>
            <m:t>P</m:t>
          </m:r>
          <m:r>
            <m:t>=</m:t>
          </m:r>
          <m:r>
            <m:t>(</m:t>
          </m:r>
          <m:r>
            <m:t>0</m:t>
          </m:r>
          <m:r>
            <m:t>,</m:t>
          </m:r>
          <m:r>
            <m:t>5</m:t>
          </m:r>
          <m:r>
            <m:t>*</m:t>
          </m:r>
          <m:sSub>
            <m:e>
              <m:r>
                <m:t>p</m:t>
              </m:r>
            </m:e>
            <m:sub>
              <m:r>
                <m:t>g</m:t>
              </m:r>
            </m:sub>
          </m:sSub>
          <m:r>
            <m:t>+</m:t>
          </m:r>
          <m:r>
            <m:t>0</m:t>
          </m:r>
          <m:r>
            <m:t>,</m:t>
          </m:r>
          <m:r>
            <m:t>35</m:t>
          </m:r>
          <m:r>
            <m:t>*</m:t>
          </m:r>
          <m:sSub>
            <m:e>
              <m:r>
                <m:t>p</m:t>
              </m:r>
            </m:e>
            <m:sub>
              <m:r>
                <m:t>f</m:t>
              </m:r>
            </m:sub>
          </m:sSub>
          <m:r>
            <m:t>+</m:t>
          </m:r>
          <m:r>
            <m:t>0</m:t>
          </m:r>
          <m:r>
            <m:t>,</m:t>
          </m:r>
          <m:r>
            <m:t>15</m:t>
          </m:r>
          <m:r>
            <m:t>*</m:t>
          </m:r>
          <m:sSub>
            <m:e>
              <m:r>
                <m:t>p</m:t>
              </m:r>
            </m:e>
            <m:sub>
              <m:r>
                <m:t>c</m:t>
              </m:r>
            </m:sub>
          </m:sSub>
          <m:r>
            <m:t>)</m:t>
          </m:r>
          <m:r>
            <m:t>0</m:t>
          </m:r>
          <m:r>
            <m:t>,</m:t>
          </m:r>
          <m:r>
            <m:t>02</m:t>
          </m:r>
        </m:oMath>
      </m:oMathPara>
    </w:p>
    <w:p>
      <w:pPr>
        <w:pStyle w:val="FirstParagraph"/>
      </w:pPr>
      <w:r>
        <w:t xml:space="preserve">Percentis são calculados de acordo com os índices nos dois anos anteriores.* Os percentis dependem do posicionamento da empresa em relação às demais. Específicamente a função</w:t>
      </w:r>
      <w:r>
        <w:t xml:space="preserve"> </w:t>
      </w:r>
      <m:oMath>
        <m:r>
          <m:t>P</m:t>
        </m:r>
        <m:r>
          <m:t>o</m:t>
        </m:r>
        <m:r>
          <m:t>s</m:t>
        </m:r>
        <m:r>
          <m:t>(</m:t>
        </m:r>
        <m:sSub>
          <m:e>
            <m:r>
              <m:t>I</m:t>
            </m:r>
          </m:e>
          <m:sub>
            <m:r>
              <m:t>t</m:t>
            </m:r>
            <m:r>
              <m:t>−</m:t>
            </m:r>
            <m:r>
              <m:t>1</m:t>
            </m:r>
          </m:sub>
        </m:sSub>
        <m:r>
          <m:t>,</m:t>
        </m:r>
        <m:sSub>
          <m:e>
            <m:r>
              <m:t>I</m:t>
            </m:r>
          </m:e>
          <m:sub>
            <m:r>
              <m:t>t</m:t>
            </m:r>
            <m:r>
              <m:t>−</m:t>
            </m:r>
            <m:r>
              <m:t>2</m:t>
            </m:r>
          </m:sub>
        </m:sSub>
        <m:r>
          <m:t>)</m:t>
        </m:r>
      </m:oMath>
      <w:r>
        <w:t xml:space="preserve"> </w:t>
      </w:r>
      <w:r>
        <w:t xml:space="preserve">é calculada pela previdência de acordo com os índices de todas as empresas no mesmo subgrupo do CNAE da empresa em questão. Ainda não foi definida uma maneira de estimar esta função.</w:t>
      </w:r>
    </w:p>
    <w:p>
      <w:pPr>
        <w:pStyle w:val="BodyText"/>
      </w:pPr>
      <m:oMathPara>
        <m:oMathParaPr>
          <m:jc m:val="center"/>
        </m:oMathParaPr>
        <m:oMath>
          <m:sSub>
            <m:e>
              <m:r>
                <m:t>p</m:t>
              </m:r>
            </m:e>
            <m:sub>
              <m:r>
                <m:t>t</m:t>
              </m:r>
            </m:sub>
          </m:sSub>
          <m:r>
            <m:t>=</m:t>
          </m:r>
          <m:f>
            <m:fPr>
              <m:type m:val="bar"/>
            </m:fPr>
            <m:num>
              <m:r>
                <m:t>100</m:t>
              </m:r>
              <m:r>
                <m:t>*</m:t>
              </m:r>
              <m:r>
                <m:t>(</m:t>
              </m:r>
              <m:r>
                <m:t>P</m:t>
              </m:r>
              <m:r>
                <m:t>o</m:t>
              </m:r>
              <m:r>
                <m:t>s</m:t>
              </m:r>
              <m:r>
                <m:t>(</m:t>
              </m:r>
              <m:sSub>
                <m:e>
                  <m:r>
                    <m:t>I</m:t>
                  </m:r>
                </m:e>
                <m:sub>
                  <m:r>
                    <m:t>t</m:t>
                  </m:r>
                  <m:r>
                    <m:t>−</m:t>
                  </m:r>
                  <m:r>
                    <m:t>1</m:t>
                  </m:r>
                </m:sub>
              </m:sSub>
              <m:r>
                <m:t>,</m:t>
              </m:r>
              <m:sSub>
                <m:e>
                  <m:r>
                    <m:t>I</m:t>
                  </m:r>
                </m:e>
                <m:sub>
                  <m:r>
                    <m:t>t</m:t>
                  </m:r>
                  <m:r>
                    <m:t>−</m:t>
                  </m:r>
                  <m:r>
                    <m:t>2</m:t>
                  </m:r>
                </m:sub>
              </m:sSub>
              <m:r>
                <m:t>)</m:t>
              </m:r>
              <m:r>
                <m:t>−</m:t>
              </m:r>
              <m:r>
                <m:t>1</m:t>
              </m:r>
              <m:r>
                <m:t>)</m:t>
              </m:r>
            </m:num>
            <m:den>
              <m:r>
                <m:t>n</m:t>
              </m:r>
              <m:r>
                <m:t>−</m:t>
              </m:r>
              <m:r>
                <m:t>1</m:t>
              </m:r>
            </m:den>
          </m:f>
        </m:oMath>
      </m:oMathPara>
    </w:p>
    <w:p>
      <w:pPr>
        <w:pStyle w:val="Heading6"/>
      </w:pPr>
      <w:bookmarkStart w:id="39" w:name="indice-de-frequencia"/>
      <w:bookmarkEnd w:id="39"/>
      <w:r>
        <w:t xml:space="preserve">Índice de Frequência</w:t>
      </w:r>
    </w:p>
    <w:p>
      <w:pPr>
        <w:pStyle w:val="FirstParagraph"/>
      </w:pPr>
      <m:oMathPara>
        <m:oMathParaPr>
          <m:jc m:val="center"/>
        </m:oMathParaPr>
        <m:oMath>
          <m:sSub>
            <m:e>
              <m:r>
                <m:t>I</m:t>
              </m:r>
            </m:e>
            <m:sub>
              <m:r>
                <m:t>f</m:t>
              </m:r>
            </m:sub>
          </m:sSub>
          <m:r>
            <m:t>=</m:t>
          </m:r>
          <m:f>
            <m:fPr>
              <m:type m:val="bar"/>
            </m:fPr>
            <m:num>
              <m:r>
                <m:t>(</m:t>
              </m:r>
              <m:sSub>
                <m:e>
                  <m:r>
                    <m:t>n</m:t>
                  </m:r>
                </m:e>
                <m:sub>
                  <m:r>
                    <m:t>c</m:t>
                  </m:r>
                  <m:r>
                    <m:t>a</m:t>
                  </m:r>
                  <m:r>
                    <m:t>t</m:t>
                  </m:r>
                  <m:r>
                    <m:t>s</m:t>
                  </m:r>
                </m:sub>
              </m:sSub>
              <m:r>
                <m:t>+</m:t>
              </m:r>
              <m:sSub>
                <m:e>
                  <m:r>
                    <m:t>n</m:t>
                  </m:r>
                </m:e>
                <m:sub>
                  <m:r>
                    <m:t>b</m:t>
                  </m:r>
                  <m:r>
                    <m:t>92</m:t>
                  </m:r>
                </m:sub>
              </m:sSub>
              <m:r>
                <m:t>+</m:t>
              </m:r>
              <m:sSub>
                <m:e>
                  <m:r>
                    <m:t>n</m:t>
                  </m:r>
                </m:e>
                <m:sub>
                  <m:r>
                    <m:t>b</m:t>
                  </m:r>
                  <m:r>
                    <m:t>91</m:t>
                  </m:r>
                </m:sub>
              </m:sSub>
              <m:r>
                <m:t>+</m:t>
              </m:r>
              <m:sSub>
                <m:e>
                  <m:r>
                    <m:t>n</m:t>
                  </m:r>
                </m:e>
                <m:sub>
                  <m:r>
                    <m:t>b</m:t>
                  </m:r>
                  <m:r>
                    <m:t>93</m:t>
                  </m:r>
                </m:sub>
              </m:sSub>
              <m:r>
                <m:t>)</m:t>
              </m:r>
            </m:num>
            <m:den>
              <m:r>
                <m:t>f</m:t>
              </m:r>
            </m:den>
          </m:f>
          <m:r>
            <m:t>*</m:t>
          </m:r>
          <m:r>
            <m:t>1000</m:t>
          </m:r>
        </m:oMath>
      </m:oMathPara>
    </w:p>
    <w:p>
      <w:pPr>
        <w:pStyle w:val="Heading6"/>
      </w:pPr>
      <w:bookmarkStart w:id="40" w:name="indice-de-gravidade"/>
      <w:bookmarkEnd w:id="40"/>
      <w:r>
        <w:t xml:space="preserve">Índice de gravidade</w:t>
      </w:r>
    </w:p>
    <w:p>
      <w:pPr>
        <w:pStyle w:val="FirstParagraph"/>
      </w:pPr>
      <m:oMathPara>
        <m:oMathParaPr>
          <m:jc m:val="center"/>
        </m:oMathParaPr>
        <m:oMath>
          <m:sSub>
            <m:e>
              <m:r>
                <m:t>I</m:t>
              </m:r>
            </m:e>
            <m:sub>
              <m:r>
                <m:t>g</m:t>
              </m:r>
            </m:sub>
          </m:sSub>
          <m:r>
            <m:t>=</m:t>
          </m:r>
          <m:f>
            <m:fPr>
              <m:type m:val="bar"/>
            </m:fPr>
            <m:num>
              <m:r>
                <m:t>(</m:t>
              </m:r>
              <m:r>
                <m:t>0.1</m:t>
              </m:r>
              <m:r>
                <m:t>*</m:t>
              </m:r>
              <m:sSub>
                <m:e>
                  <m:r>
                    <m:t>n</m:t>
                  </m:r>
                </m:e>
                <m:sub>
                  <m:r>
                    <m:t>b</m:t>
                  </m:r>
                  <m:r>
                    <m:t>91</m:t>
                  </m:r>
                </m:sub>
              </m:sSub>
              <m:r>
                <m:t>+</m:t>
              </m:r>
              <m:r>
                <m:t>0.3</m:t>
              </m:r>
              <m:r>
                <m:t>*</m:t>
              </m:r>
              <m:sSub>
                <m:e>
                  <m:r>
                    <m:t>n</m:t>
                  </m:r>
                </m:e>
                <m:sub>
                  <m:r>
                    <m:t>b</m:t>
                  </m:r>
                  <m:r>
                    <m:t>92</m:t>
                  </m:r>
                </m:sub>
              </m:sSub>
              <m:r>
                <m:t>+</m:t>
              </m:r>
              <m:r>
                <m:t>0.5</m:t>
              </m:r>
              <m:r>
                <m:t>*</m:t>
              </m:r>
              <m:sSub>
                <m:e>
                  <m:r>
                    <m:t>n</m:t>
                  </m:r>
                </m:e>
                <m:sub>
                  <m:r>
                    <m:t>b</m:t>
                  </m:r>
                  <m:r>
                    <m:t>93</m:t>
                  </m:r>
                </m:sub>
              </m:sSub>
              <m:r>
                <m:t>+</m:t>
              </m:r>
              <m:r>
                <m:t>0.1</m:t>
              </m:r>
              <m:r>
                <m:t>*</m:t>
              </m:r>
              <m:sSub>
                <m:e>
                  <m:r>
                    <m:t>n</m:t>
                  </m:r>
                </m:e>
                <m:sub>
                  <m:r>
                    <m:t>b</m:t>
                  </m:r>
                  <m:r>
                    <m:t>94</m:t>
                  </m:r>
                </m:sub>
              </m:sSub>
              <m:r>
                <m:t>)</m:t>
              </m:r>
            </m:num>
            <m:den>
              <m:r>
                <m:t>f</m:t>
              </m:r>
            </m:den>
          </m:f>
          <m:r>
            <m:t>*</m:t>
          </m:r>
          <m:r>
            <m:t>1000</m:t>
          </m:r>
        </m:oMath>
      </m:oMathPara>
    </w:p>
    <w:p>
      <w:pPr>
        <w:pStyle w:val="Heading6"/>
      </w:pPr>
      <w:bookmarkStart w:id="41" w:name="indice-de-custo"/>
      <w:bookmarkEnd w:id="41"/>
      <w:r>
        <w:t xml:space="preserve">Índice de Custo</w:t>
      </w:r>
    </w:p>
    <w:p>
      <w:pPr>
        <w:pStyle w:val="FirstParagraph"/>
      </w:pPr>
      <m:oMathPara>
        <m:oMathParaPr>
          <m:jc m:val="center"/>
        </m:oMathParaPr>
        <m:oMath>
          <m:sSub>
            <m:e>
              <m:r>
                <m:t>I</m:t>
              </m:r>
            </m:e>
            <m:sub>
              <m:r>
                <m:t>c</m:t>
              </m:r>
            </m:sub>
          </m:sSub>
          <m:r>
            <m:t>=</m:t>
          </m:r>
          <m:f>
            <m:fPr>
              <m:type m:val="bar"/>
            </m:fPr>
            <m:num>
              <m:sSub>
                <m:e>
                  <m:r>
                    <m:t>c</m:t>
                  </m:r>
                </m:e>
                <m:sub>
                  <m:r>
                    <m:t>b</m:t>
                  </m:r>
                  <m:r>
                    <m:t>e</m:t>
                  </m:r>
                  <m:r>
                    <m:t>n</m:t>
                  </m:r>
                  <m:r>
                    <m:t>e</m:t>
                  </m:r>
                  <m:r>
                    <m:t>f</m:t>
                  </m:r>
                  <m:r>
                    <m:t>i</m:t>
                  </m:r>
                  <m:r>
                    <m:t>c</m:t>
                  </m:r>
                  <m:r>
                    <m:t>i</m:t>
                  </m:r>
                  <m:r>
                    <m:t>o</m:t>
                  </m:r>
                  <m:r>
                    <m:t>s</m:t>
                  </m:r>
                  <m:r>
                    <m:t>i</m:t>
                  </m:r>
                  <m:r>
                    <m:t>n</m:t>
                  </m:r>
                  <m:r>
                    <m:t>s</m:t>
                  </m:r>
                  <m:r>
                    <m:t>s</m:t>
                  </m:r>
                </m:sub>
              </m:sSub>
            </m:num>
            <m:den>
              <m:r>
                <m:t>f</m:t>
              </m:r>
              <m:r>
                <m:t>o</m:t>
              </m:r>
              <m:r>
                <m:t>l</m:t>
              </m:r>
              <m:r>
                <m:t>h</m:t>
              </m:r>
              <m:r>
                <m:t>a</m:t>
              </m:r>
              <m:r>
                <m:t>m</m:t>
              </m:r>
              <m:r>
                <m:t>e</m:t>
              </m:r>
              <m:r>
                <m:t>d</m:t>
              </m:r>
              <m:r>
                <m:t>i</m:t>
              </m:r>
              <m:r>
                <m:t>a</m:t>
              </m:r>
            </m:den>
          </m:f>
          <m:r>
            <m:t>/</m:t>
          </m:r>
          <m:r>
            <m:t>*</m:t>
          </m:r>
          <m:r>
            <m:t>1000</m:t>
          </m:r>
        </m:oMath>
      </m:oMathPara>
    </w:p>
    <w:p>
      <w:pPr>
        <w:pStyle w:val="FirstParagraph"/>
      </w:pPr>
      <w:r>
        <w:t xml:space="preserve">Custos de Benefícios: Considerar tempo médio de afastamento por tipo de afastamento (b91, b92, b93, b94) e o "ticket médio" de cada um destes benefícios.</w:t>
      </w:r>
    </w:p>
    <w:p>
      <w:pPr>
        <w:pStyle w:val="Heading4"/>
      </w:pPr>
      <w:bookmarkStart w:id="42" w:name="intangivel"/>
      <w:bookmarkEnd w:id="42"/>
      <w:r>
        <w:t xml:space="preserve">Intangível</w:t>
      </w:r>
    </w:p>
    <w:p>
      <w:pPr>
        <w:pStyle w:val="Heading5"/>
      </w:pPr>
      <w:bookmarkStart w:id="43" w:name="imagem-da-empresa"/>
      <w:bookmarkEnd w:id="43"/>
      <w:r>
        <w:t xml:space="preserve">Imagem da Empresa</w:t>
      </w:r>
    </w:p>
    <w:p>
      <w:pPr>
        <w:pStyle w:val="Heading5"/>
      </w:pPr>
      <w:bookmarkStart w:id="44" w:name="engajamento-clima-organizacional"/>
      <w:bookmarkEnd w:id="44"/>
      <w:r>
        <w:t xml:space="preserve">Engajamento / Clima Organizacional</w:t>
      </w:r>
    </w:p>
    <w:p>
      <w:pPr>
        <w:pStyle w:val="Heading4"/>
      </w:pPr>
      <w:bookmarkStart w:id="45" w:name="melhor-uso-dos-recursos"/>
      <w:bookmarkEnd w:id="45"/>
      <w:r>
        <w:t xml:space="preserve">Melhor Uso dos Recursos</w:t>
      </w:r>
    </w:p>
    <w:p>
      <w:pPr>
        <w:pStyle w:val="Heading5"/>
      </w:pPr>
      <w:bookmarkStart w:id="46" w:name="turnover"/>
      <w:bookmarkEnd w:id="46"/>
      <w:r>
        <w:t xml:space="preserve">Turnover</w:t>
      </w:r>
    </w:p>
    <w:p>
      <w:pPr>
        <w:pStyle w:val="FirstParagraph"/>
      </w:pPr>
      <w:r>
        <w:t xml:space="preserve">As despesas com Turnover</w:t>
      </w:r>
      <w:r>
        <w:t xml:space="preserve"> </w:t>
      </w:r>
      <m:oMath>
        <m:sSub>
          <m:e>
            <m:r>
              <m:t>D</m:t>
            </m:r>
          </m:e>
          <m:sub>
            <m:r>
              <m:t>t</m:t>
            </m:r>
            <m:r>
              <m:t>u</m:t>
            </m:r>
            <m:r>
              <m:t>r</m:t>
            </m:r>
          </m:sub>
        </m:sSub>
      </m:oMath>
      <w:r>
        <w:t xml:space="preserve"> </w:t>
      </w:r>
      <w:r>
        <w:t xml:space="preserve">serão calculadas com base no número de funcionários afastados por problemas relacionados à SST</w:t>
      </w:r>
      <w:r>
        <w:t xml:space="preserve"> </w:t>
      </w:r>
      <m:oMath>
        <m:sSub>
          <m:e>
            <m:r>
              <m:t>n</m:t>
            </m:r>
          </m:e>
          <m:sub>
            <m:r>
              <m:t>a</m:t>
            </m:r>
            <m:r>
              <m:t>f</m:t>
            </m:r>
            <m:r>
              <m:t>a</m:t>
            </m:r>
            <m:r>
              <m:t>s</m:t>
            </m:r>
            <m:r>
              <m:t>t</m:t>
            </m:r>
          </m:sub>
        </m:sSub>
      </m:oMath>
      <w:r>
        <w:t xml:space="preserve"> </w:t>
      </w:r>
      <w:r>
        <w:t xml:space="preserve">e no custo médio de substituição dos funcionários</w:t>
      </w:r>
      <m:oMath>
        <m:sSub>
          <m:e>
            <m:r>
              <m:t>c</m:t>
            </m:r>
          </m:e>
          <m:sub>
            <m:r>
              <m:t>s</m:t>
            </m:r>
            <m:r>
              <m:t>u</m:t>
            </m:r>
            <m:r>
              <m:t>b</m:t>
            </m:r>
          </m:sub>
        </m:sSub>
      </m:oMath>
      <w:r>
        <w:t xml:space="preserve">.</w:t>
      </w:r>
    </w:p>
    <w:p>
      <w:pPr>
        <w:pStyle w:val="BodyText"/>
      </w:pPr>
      <m:oMathPara>
        <m:oMathParaPr>
          <m:jc m:val="center"/>
        </m:oMathParaPr>
        <m:oMath>
          <m:sSub>
            <m:e>
              <m:r>
                <m:t>D</m:t>
              </m:r>
            </m:e>
            <m:sub>
              <m:r>
                <m:t>t</m:t>
              </m:r>
              <m:r>
                <m:t>u</m:t>
              </m:r>
              <m:r>
                <m:t>r</m:t>
              </m:r>
            </m:sub>
          </m:sSub>
          <m:r>
            <m:t>=</m:t>
          </m:r>
          <m:sSub>
            <m:e>
              <m:r>
                <m:t>n</m:t>
              </m:r>
            </m:e>
            <m:sub>
              <m:r>
                <m:t>a</m:t>
              </m:r>
              <m:r>
                <m:t>f</m:t>
              </m:r>
              <m:r>
                <m:t>a</m:t>
              </m:r>
              <m:r>
                <m:t>s</m:t>
              </m:r>
              <m:r>
                <m:t>t</m:t>
              </m:r>
            </m:sub>
          </m:sSub>
          <m:r>
            <m:t>*</m:t>
          </m:r>
          <m:sSub>
            <m:e>
              <m:r>
                <m:t>c</m:t>
              </m:r>
            </m:e>
            <m:sub>
              <m:r>
                <m:t>s</m:t>
              </m:r>
              <m:r>
                <m:t>u</m:t>
              </m:r>
              <m:r>
                <m:t>b</m:t>
              </m:r>
            </m:sub>
          </m:sSub>
        </m:oMath>
      </m:oMathPara>
    </w:p>
    <w:p>
      <w:pPr>
        <w:pStyle w:val="FirstParagraph"/>
      </w:pPr>
      <w:r>
        <w:t xml:space="preserve">Número de Afastamentos é calculado de acordo com a probabilidade de morte</w:t>
      </w:r>
      <w:r>
        <w:t xml:space="preserve"> </w:t>
      </w:r>
      <m:oMath>
        <m:sSub>
          <m:e>
            <m:r>
              <m:t>p</m:t>
            </m:r>
          </m:e>
          <m:sub>
            <m:r>
              <m:t>m</m:t>
            </m:r>
            <m:r>
              <m:t>o</m:t>
            </m:r>
            <m:r>
              <m:t>r</m:t>
            </m:r>
            <m:r>
              <m:t>t</m:t>
            </m:r>
            <m:r>
              <m:t>e</m:t>
            </m:r>
          </m:sub>
        </m:sSub>
      </m:oMath>
      <w:r>
        <w:t xml:space="preserve"> </w:t>
      </w:r>
      <w:r>
        <w:t xml:space="preserve">e a probabilidade de afastamento por período menor que 15 dias</w:t>
      </w:r>
      <w:r>
        <w:t xml:space="preserve"> </w:t>
      </w:r>
      <m:oMath>
        <m:sSub>
          <m:e>
            <m:r>
              <m:t>p</m:t>
            </m:r>
          </m:e>
          <m:sub>
            <m:r>
              <m:t>&gt;</m:t>
            </m:r>
            <m:r>
              <m:t>15</m:t>
            </m:r>
          </m:sub>
        </m:sSub>
      </m:oMath>
    </w:p>
    <w:p>
      <w:pPr>
        <w:pStyle w:val="BodyText"/>
      </w:pPr>
      <m:oMathPara>
        <m:oMathParaPr>
          <m:jc m:val="center"/>
        </m:oMathParaPr>
        <m:oMath>
          <m:sSub>
            <m:e>
              <m:r>
                <m:t>n</m:t>
              </m:r>
            </m:e>
            <m:sub>
              <m:r>
                <m:t>a</m:t>
              </m:r>
              <m:r>
                <m:t>f</m:t>
              </m:r>
              <m:r>
                <m:t>a</m:t>
              </m:r>
              <m:r>
                <m:t>s</m:t>
              </m:r>
              <m:r>
                <m:t>t</m:t>
              </m:r>
            </m:sub>
          </m:sSub>
          <m:r>
            <m:t>=</m:t>
          </m:r>
          <m:sSub>
            <m:e>
              <m:r>
                <m:t>p</m:t>
              </m:r>
            </m:e>
            <m:sub>
              <m:r>
                <m:t>m</m:t>
              </m:r>
              <m:r>
                <m:t>o</m:t>
              </m:r>
              <m:r>
                <m:t>r</m:t>
              </m:r>
              <m:r>
                <m:t>t</m:t>
              </m:r>
              <m:r>
                <m:t>e</m:t>
              </m:r>
            </m:sub>
          </m:sSub>
          <m:r>
            <m:t>*</m:t>
          </m:r>
          <m:r>
            <m:t>f</m:t>
          </m:r>
          <m:r>
            <m:t>+</m:t>
          </m:r>
          <m:sSub>
            <m:e>
              <m:r>
                <m:t>p</m:t>
              </m:r>
            </m:e>
            <m:sub>
              <m:r>
                <m:t>&gt;</m:t>
              </m:r>
              <m:r>
                <m:t>15</m:t>
              </m:r>
            </m:sub>
          </m:sSub>
          <m:r>
            <m:t>*</m:t>
          </m:r>
          <m:r>
            <m:t>f</m:t>
          </m:r>
        </m:oMath>
      </m:oMathPara>
    </w:p>
    <w:p>
      <w:pPr>
        <w:pStyle w:val="Heading6"/>
      </w:pPr>
      <w:bookmarkStart w:id="47" w:name="numero-de-afastamentos"/>
      <w:bookmarkEnd w:id="47"/>
      <w:r>
        <w:t xml:space="preserve">Número de Afastamentos</w:t>
      </w:r>
    </w:p>
    <w:p>
      <w:pPr>
        <w:pStyle w:val="FirstParagraph"/>
      </w:pPr>
      <w:r>
        <w:t xml:space="preserve">O número de afastamentos</w:t>
      </w:r>
      <w:r>
        <w:t xml:space="preserve"> </w:t>
      </w:r>
      <m:oMath>
        <m:sSub>
          <m:e>
            <m:r>
              <m:t>n</m:t>
            </m:r>
          </m:e>
          <m:sub>
            <m:r>
              <m:t>a</m:t>
            </m:r>
            <m:r>
              <m:t>f</m:t>
            </m:r>
            <m:r>
              <m:t>a</m:t>
            </m:r>
            <m:r>
              <m:t>s</m:t>
            </m:r>
            <m:r>
              <m:t>t</m:t>
            </m:r>
          </m:sub>
        </m:sSub>
      </m:oMath>
      <w:r>
        <w:t xml:space="preserve"> </w:t>
      </w:r>
      <w:r>
        <w:t xml:space="preserve">será estimado de acordo com a probabilidade de afastamento</w:t>
      </w:r>
      <w:r>
        <w:t xml:space="preserve"> </w:t>
      </w:r>
      <m:oMath>
        <m:sSub>
          <m:e>
            <m:r>
              <m:t>ρ</m:t>
            </m:r>
          </m:e>
          <m:sub>
            <m:r>
              <m:t>a</m:t>
            </m:r>
            <m:r>
              <m:t>f</m:t>
            </m:r>
            <m:r>
              <m:t>a</m:t>
            </m:r>
            <m:r>
              <m:t>s</m:t>
            </m:r>
            <m:r>
              <m:t>t</m:t>
            </m:r>
          </m:sub>
        </m:sSub>
      </m:oMath>
      <w:r>
        <w:t xml:space="preserve"> </w:t>
      </w:r>
      <w:r>
        <w:t xml:space="preserve">e número de funcionários</w:t>
      </w:r>
      <w:r>
        <w:t xml:space="preserve"> </w:t>
      </w:r>
      <m:oMath>
        <m:r>
          <m:t>f</m:t>
        </m:r>
      </m:oMath>
      <w:r>
        <w:t xml:space="preserve">:</w:t>
      </w:r>
    </w:p>
    <w:p>
      <w:pPr>
        <w:pStyle w:val="BodyText"/>
      </w:pPr>
      <m:oMathPara>
        <m:oMathParaPr>
          <m:jc m:val="center"/>
        </m:oMathParaPr>
        <m:oMath>
          <m:sSub>
            <m:e>
              <m:r>
                <m:t>n</m:t>
              </m:r>
            </m:e>
            <m:sub>
              <m:r>
                <m:t>a</m:t>
              </m:r>
              <m:r>
                <m:t>f</m:t>
              </m:r>
              <m:r>
                <m:t>a</m:t>
              </m:r>
              <m:r>
                <m:t>s</m:t>
              </m:r>
              <m:r>
                <m:t>t</m:t>
              </m:r>
            </m:sub>
          </m:sSub>
          <m:r>
            <m:t>=</m:t>
          </m:r>
          <m:sSub>
            <m:e>
              <m:r>
                <m:t>ρ</m:t>
              </m:r>
            </m:e>
            <m:sub>
              <m:r>
                <m:t>a</m:t>
              </m:r>
              <m:r>
                <m:t>f</m:t>
              </m:r>
              <m:r>
                <m:t>a</m:t>
              </m:r>
              <m:r>
                <m:t>s</m:t>
              </m:r>
              <m:r>
                <m:t>t</m:t>
              </m:r>
            </m:sub>
          </m:sSub>
          <m:r>
            <m:t>*</m:t>
          </m:r>
          <m:r>
            <m:t>f</m:t>
          </m:r>
        </m:oMath>
      </m:oMathPara>
    </w:p>
    <w:p>
      <w:pPr>
        <w:pStyle w:val="Heading5"/>
      </w:pPr>
      <w:bookmarkStart w:id="48" w:name="absenteismo"/>
      <w:bookmarkEnd w:id="48"/>
      <w:r>
        <w:t xml:space="preserve">Absenteísmo</w:t>
      </w:r>
    </w:p>
    <w:p>
      <w:pPr>
        <w:pStyle w:val="FirstParagraph"/>
      </w:pPr>
      <w:r>
        <w:t xml:space="preserve">As despesas com Absenteísmo</w:t>
      </w:r>
      <w:r>
        <w:t xml:space="preserve"> </w:t>
      </w:r>
      <m:oMath>
        <m:sSub>
          <m:e>
            <m:r>
              <m:t>D</m:t>
            </m:r>
          </m:e>
          <m:sub>
            <m:r>
              <m:t>a</m:t>
            </m:r>
            <m:r>
              <m:t>b</m:t>
            </m:r>
            <m:r>
              <m:t>s</m:t>
            </m:r>
          </m:sub>
        </m:sSub>
      </m:oMath>
      <w:r>
        <w:t xml:space="preserve"> </w:t>
      </w:r>
      <w:r>
        <w:t xml:space="preserve">serão calculadas com base no número de dias de absenteísmo por problemas relacionados à SST</w:t>
      </w:r>
      <w:r>
        <w:t xml:space="preserve"> </w:t>
      </w:r>
      <m:oMath>
        <m:sSub>
          <m:e>
            <m:r>
              <m:t>d</m:t>
            </m:r>
          </m:e>
          <m:sub>
            <m:r>
              <m:t>a</m:t>
            </m:r>
            <m:r>
              <m:t>b</m:t>
            </m:r>
            <m:r>
              <m:t>s</m:t>
            </m:r>
          </m:sub>
        </m:sSub>
      </m:oMath>
      <w:r>
        <w:t xml:space="preserve">, no número de horas trabalhadas por dia</w:t>
      </w:r>
      <w:r>
        <w:t xml:space="preserve"> </w:t>
      </w:r>
      <m:oMath>
        <m:r>
          <m:t>h</m:t>
        </m:r>
      </m:oMath>
      <w:r>
        <w:t xml:space="preserve"> </w:t>
      </w:r>
      <w:r>
        <w:t xml:space="preserve">e no custo em mão de obra médio horário</w:t>
      </w:r>
      <w:r>
        <w:t xml:space="preserve"> </w:t>
      </w:r>
      <m:oMath>
        <m:sSub>
          <m:e>
            <m:r>
              <m:t>c</m:t>
            </m:r>
          </m:e>
          <m:sub>
            <m:r>
              <m:t>m</m:t>
            </m:r>
            <m:r>
              <m:t>d</m:t>
            </m:r>
            <m:r>
              <m:t>o</m:t>
            </m:r>
          </m:sub>
        </m:sSub>
      </m:oMath>
      <w:r>
        <w:t xml:space="preserve">.</w:t>
      </w:r>
    </w:p>
    <w:p>
      <w:pPr>
        <w:pStyle w:val="BodyText"/>
      </w:pPr>
      <m:oMathPara>
        <m:oMathParaPr>
          <m:jc m:val="center"/>
        </m:oMathParaPr>
        <m:oMath>
          <m:sSub>
            <m:e>
              <m:r>
                <m:t>D</m:t>
              </m:r>
            </m:e>
            <m:sub>
              <m:r>
                <m:t>a</m:t>
              </m:r>
              <m:r>
                <m:t>b</m:t>
              </m:r>
              <m:r>
                <m:t>s</m:t>
              </m:r>
            </m:sub>
          </m:sSub>
          <m:r>
            <m:t>=</m:t>
          </m:r>
          <m:sSub>
            <m:e>
              <m:r>
                <m:t>d</m:t>
              </m:r>
            </m:e>
            <m:sub>
              <m:r>
                <m:t>a</m:t>
              </m:r>
              <m:r>
                <m:t>b</m:t>
              </m:r>
              <m:r>
                <m:t>s</m:t>
              </m:r>
            </m:sub>
          </m:sSub>
          <m:r>
            <m:t>*</m:t>
          </m:r>
          <m:r>
            <m:t>h</m:t>
          </m:r>
          <m:r>
            <m:t>*</m:t>
          </m:r>
          <m:sSub>
            <m:e>
              <m:r>
                <m:t>c</m:t>
              </m:r>
            </m:e>
            <m:sub>
              <m:r>
                <m:t>m</m:t>
              </m:r>
              <m:r>
                <m:t>d</m:t>
              </m:r>
              <m:r>
                <m:t>o</m:t>
              </m:r>
            </m:sub>
          </m:sSub>
        </m:oMath>
      </m:oMathPara>
    </w:p>
    <w:p>
      <w:pPr>
        <w:pStyle w:val="Heading6"/>
      </w:pPr>
      <w:bookmarkStart w:id="49" w:name="dias-de-absenteismo"/>
      <w:bookmarkEnd w:id="49"/>
      <w:r>
        <w:t xml:space="preserve">Dias de Absenteísmo</w:t>
      </w:r>
    </w:p>
    <w:p>
      <w:pPr>
        <w:pStyle w:val="FirstParagraph"/>
      </w:pPr>
      <m:oMathPara>
        <m:oMathParaPr>
          <m:jc m:val="center"/>
        </m:oMathParaPr>
        <m:oMath>
          <m:sSub>
            <m:e>
              <m:r>
                <m:t>d</m:t>
              </m:r>
            </m:e>
            <m:sub>
              <m:r>
                <m:t>a</m:t>
              </m:r>
              <m:r>
                <m:t>b</m:t>
              </m:r>
              <m:r>
                <m:t>s</m:t>
              </m:r>
            </m:sub>
          </m:sSub>
          <m:r>
            <m:t>=</m:t>
          </m:r>
          <m:sSub>
            <m:e>
              <m:r>
                <m:t>p</m:t>
              </m:r>
            </m:e>
            <m:sub>
              <m:r>
                <m:t>&lt;</m:t>
              </m:r>
              <m:r>
                <m:t>15</m:t>
              </m:r>
            </m:sub>
          </m:sSub>
          <m:r>
            <m:t>*</m:t>
          </m:r>
          <m:r>
            <m:t>f</m:t>
          </m:r>
          <m:r>
            <m:t>*</m:t>
          </m:r>
          <m:sSub>
            <m:e>
              <m:r>
                <m:t>n</m:t>
              </m:r>
            </m:e>
            <m:sub>
              <m:r>
                <m:t>d</m:t>
              </m:r>
              <m:r>
                <m:t>a</m:t>
              </m:r>
              <m:r>
                <m:t>f</m:t>
              </m:r>
            </m:sub>
          </m:sSub>
          <m:r>
            <m:t>+</m:t>
          </m:r>
          <m:sSub>
            <m:e>
              <m:r>
                <m:t>p</m:t>
              </m:r>
            </m:e>
            <m:sub>
              <m:r>
                <m:t>f</m:t>
              </m:r>
              <m:r>
                <m:t>a</m:t>
              </m:r>
              <m:r>
                <m:t>l</m:t>
              </m:r>
              <m:r>
                <m:t>t</m:t>
              </m:r>
              <m:r>
                <m:t>a</m:t>
              </m:r>
            </m:sub>
          </m:sSub>
          <m:r>
            <m:t>*</m:t>
          </m:r>
          <m:r>
            <m:t>f</m:t>
          </m:r>
          <m:r>
            <m:t>*</m:t>
          </m:r>
          <m:sSub>
            <m:e>
              <m:r>
                <m:t>n</m:t>
              </m:r>
            </m:e>
            <m:sub>
              <m:r>
                <m:t>f</m:t>
              </m:r>
              <m:r>
                <m:t>a</m:t>
              </m:r>
              <m:r>
                <m:t>l</m:t>
              </m:r>
              <m:r>
                <m:t>t</m:t>
              </m:r>
              <m:r>
                <m:t>a</m:t>
              </m:r>
            </m:sub>
          </m:sSub>
        </m:oMath>
      </m:oMathPara>
    </w:p>
    <w:p>
      <w:pPr>
        <w:pStyle w:val="Heading6"/>
      </w:pPr>
      <w:bookmarkStart w:id="50" w:name="dias-de-absenteismo-antigo"/>
      <w:bookmarkEnd w:id="50"/>
      <w:r>
        <w:t xml:space="preserve">Dias de Absenteísmo (Antigo)</w:t>
      </w:r>
    </w:p>
    <w:p>
      <w:pPr>
        <w:pStyle w:val="FirstParagraph"/>
      </w:pPr>
      <w:r>
        <w:t xml:space="preserve">Os dias de absenteísmo</w:t>
      </w:r>
      <w:r>
        <w:t xml:space="preserve"> </w:t>
      </w:r>
      <m:oMath>
        <m:sSub>
          <m:e>
            <m:r>
              <m:t>d</m:t>
            </m:r>
          </m:e>
          <m:sub>
            <m:r>
              <m:t>a</m:t>
            </m:r>
            <m:r>
              <m:t>b</m:t>
            </m:r>
            <m:r>
              <m:t>s</m:t>
            </m:r>
          </m:sub>
        </m:sSub>
      </m:oMath>
      <w:r>
        <w:t xml:space="preserve"> </w:t>
      </w:r>
      <w:r>
        <w:t xml:space="preserve">serão estimados de acordo com a probabilidade de absenteísmo</w:t>
      </w:r>
      <w:r>
        <w:t xml:space="preserve"> </w:t>
      </w:r>
      <m:oMath>
        <m:sSub>
          <m:e>
            <m:r>
              <m:t>ρ</m:t>
            </m:r>
          </m:e>
          <m:sub>
            <m:r>
              <m:t>a</m:t>
            </m:r>
            <m:r>
              <m:t>b</m:t>
            </m:r>
            <m:r>
              <m:t>s</m:t>
            </m:r>
          </m:sub>
        </m:sSub>
      </m:oMath>
      <w:r>
        <w:t xml:space="preserve">, número de funcionários</w:t>
      </w:r>
      <w:r>
        <w:t xml:space="preserve"> </w:t>
      </w:r>
      <m:oMath>
        <m:r>
          <m:t>f</m:t>
        </m:r>
      </m:oMath>
      <w:r>
        <w:t xml:space="preserve"> </w:t>
      </w:r>
      <w:r>
        <w:t xml:space="preserve">e número de dias úteis do ano</w:t>
      </w:r>
      <w:r>
        <w:t xml:space="preserve"> </w:t>
      </w:r>
      <m:oMath>
        <m:r>
          <m:t>d</m:t>
        </m:r>
      </m:oMath>
      <w:r>
        <w:t xml:space="preserve">:</w:t>
      </w:r>
    </w:p>
    <w:p>
      <w:pPr>
        <w:pStyle w:val="BodyText"/>
      </w:pPr>
      <m:oMathPara>
        <m:oMathParaPr>
          <m:jc m:val="center"/>
        </m:oMathParaPr>
        <m:oMath>
          <m:sSub>
            <m:e>
              <m:r>
                <m:t>d</m:t>
              </m:r>
            </m:e>
            <m:sub>
              <m:r>
                <m:t>a</m:t>
              </m:r>
              <m:r>
                <m:t>b</m:t>
              </m:r>
              <m:r>
                <m:t>s</m:t>
              </m:r>
            </m:sub>
          </m:sSub>
          <m:r>
            <m:t>=</m:t>
          </m:r>
          <m:sSub>
            <m:e>
              <m:r>
                <m:t>ρ</m:t>
              </m:r>
            </m:e>
            <m:sub>
              <m:r>
                <m:t>a</m:t>
              </m:r>
              <m:r>
                <m:t>b</m:t>
              </m:r>
              <m:r>
                <m:t>s</m:t>
              </m:r>
            </m:sub>
          </m:sSub>
          <m:r>
            <m:t>*</m:t>
          </m:r>
          <m:r>
            <m:t>f</m:t>
          </m:r>
          <m:r>
            <m:t>*</m:t>
          </m:r>
          <m:r>
            <m:t>d</m:t>
          </m:r>
        </m:oMath>
      </m:oMathPara>
    </w:p>
    <w:p>
      <w:pPr>
        <w:pStyle w:val="Heading5"/>
      </w:pPr>
      <w:bookmarkStart w:id="51" w:name="presenteismo"/>
      <w:bookmarkEnd w:id="51"/>
      <w:r>
        <w:t xml:space="preserve">Presenteísmo</w:t>
      </w:r>
    </w:p>
    <w:p>
      <w:pPr>
        <w:pStyle w:val="Heading5"/>
      </w:pPr>
      <w:bookmarkStart w:id="52" w:name="produtividade"/>
      <w:bookmarkEnd w:id="52"/>
      <w:r>
        <w:t xml:space="preserve">Produtividade</w:t>
      </w:r>
    </w:p>
    <w:p>
      <w:pPr>
        <w:pStyle w:val="Heading5"/>
      </w:pPr>
      <w:bookmarkStart w:id="53" w:name="qualidade"/>
      <w:bookmarkEnd w:id="53"/>
      <w:r>
        <w:t xml:space="preserve">Qualidade</w:t>
      </w:r>
    </w:p>
    <w:p>
      <w:pPr>
        <w:pStyle w:val="Heading5"/>
      </w:pPr>
      <w:bookmarkStart w:id="54" w:name="refugo-e-retrabalho"/>
      <w:bookmarkEnd w:id="54"/>
      <w:r>
        <w:t xml:space="preserve">Refugo e Retrabalho</w:t>
      </w:r>
    </w:p>
    <w:p>
      <w:pPr>
        <w:pStyle w:val="Heading5"/>
      </w:pPr>
      <w:bookmarkStart w:id="55" w:name="mp-insumos-equipamentos-operacao"/>
      <w:bookmarkEnd w:id="55"/>
      <w:r>
        <w:t xml:space="preserve">MP, Insumos, Equipamentos Operação</w:t>
      </w:r>
    </w:p>
    <w:p>
      <w:pPr>
        <w:pStyle w:val="Heading3"/>
      </w:pPr>
      <w:bookmarkStart w:id="56" w:name="variaveis-intermediarias"/>
      <w:bookmarkEnd w:id="56"/>
      <w:r>
        <w:t xml:space="preserve">Variáveis Intermediárias</w:t>
      </w:r>
    </w:p>
    <w:p>
      <w:pPr>
        <w:pStyle w:val="Heading3"/>
      </w:pPr>
      <w:bookmarkStart w:id="57" w:name="custos"/>
      <w:bookmarkEnd w:id="57"/>
      <w:r>
        <w:t xml:space="preserve">Custos</w:t>
      </w:r>
    </w:p>
    <w:p>
      <w:pPr>
        <w:pStyle w:val="Heading4"/>
      </w:pPr>
      <w:bookmarkStart w:id="58" w:name="custos-de-implementacao"/>
      <w:bookmarkEnd w:id="58"/>
      <w:r>
        <w:t xml:space="preserve">Custos de Implementação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8411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Matematico CBR</dc:title>
  <dc:creator>P.N. de Lima, D. B. Goldmeyer, L. F. R. Camargo, A. Dresch, D. P. Lacerda, T. Kunrath</dc:creator>
  <dcterms:created xsi:type="dcterms:W3CDTF">2017-06-29T12:21:51Z</dcterms:created>
  <dcterms:modified xsi:type="dcterms:W3CDTF">2017-06-29T12:21:51Z</dcterms:modified>
</cp:coreProperties>
</file>