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Matematico</w:t>
      </w:r>
      <w:r>
        <w:t xml:space="preserve"> </w:t>
      </w:r>
      <w:r>
        <w:t xml:space="preserve">-</w:t>
      </w:r>
      <w:r>
        <w:t xml:space="preserve"> </w:t>
      </w:r>
      <w:r>
        <w:t xml:space="preserve">Calculadora</w:t>
      </w:r>
      <w:r>
        <w:t xml:space="preserve"> </w:t>
      </w:r>
      <w:r>
        <w:t xml:space="preserve">SST/FPS</w:t>
      </w:r>
    </w:p>
    <w:p>
      <w:pPr>
        <w:pStyle w:val="Author"/>
      </w:pPr>
      <w:r>
        <w:t xml:space="preserve">GMAP</w:t>
      </w:r>
      <w:r>
        <w:t xml:space="preserve"> </w:t>
      </w:r>
      <w:r>
        <w:t xml:space="preserve">|</w:t>
      </w:r>
      <w:r>
        <w:t xml:space="preserve"> </w:t>
      </w:r>
      <w:r>
        <w:t xml:space="preserve">UNISINOS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</w:t>
      </w:r>
    </w:p>
    <w:p>
      <w:pPr>
        <w:pStyle w:val="Heading2"/>
      </w:pPr>
      <w:bookmarkStart w:id="22" w:name="cbr---razao-beneficio-custo"/>
      <w:bookmarkEnd w:id="22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"/>
      <w:bookmarkEnd w:id="23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4" w:name="calculo-dos-beneficios-da-iniciativa"/>
      <w:bookmarkEnd w:id="24"/>
      <w:r>
        <w:t xml:space="preserve">Cálculo dos Benefícios da Iniciativa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20000</m:t>
          </m:r>
          <m:r>
            <m:t>)</m:t>
          </m:r>
          <m:r>
            <m:t>=</m:t>
          </m:r>
          <m:r>
            <m:t>5000</m:t>
          </m:r>
        </m:oMath>
      </m:oMathPara>
    </w:p>
    <w:p>
      <w:pPr>
        <w:pStyle w:val="FirstParagraph"/>
      </w:pPr>
      <w:r>
        <w:t xml:space="preserve">O benefício relativo da dimensão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pode ser calculado considerando o seu valor e o benefício Total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5" w:name="calculo-dos-eventos"/>
      <w:bookmarkEnd w:id="25"/>
      <w:r>
        <w:t xml:space="preserve">Cálculo dos Eventos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e o percentual de funcionários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que sofrerá o evento</w:t>
      </w:r>
      <w:r>
        <w:t xml:space="preserve"> </w:t>
      </w:r>
      <m:oMath>
        <m:r>
          <m:t>c</m:t>
        </m:r>
      </m:oMath>
      <w:r>
        <w:t xml:space="preserve">, e o percentual do tipo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ocorrer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pertecem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6" w:name="calculo-de-faltas"/>
      <w:bookmarkEnd w:id="26"/>
      <w:r>
        <w:t xml:space="preserve">Calculo de Faltas</w:t>
      </w:r>
    </w:p>
    <w:p>
      <w:pPr>
        <w:pStyle w:val="FirstParagraph"/>
      </w:pPr>
      <w:r>
        <w:t xml:space="preserve">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  <m:r>
              <m:t>a</m:t>
            </m:r>
            <m:r>
              <m:t>l</m:t>
            </m:r>
            <m:r>
              <m:t>t</m:t>
            </m:r>
            <m:r>
              <m:t>a</m:t>
            </m:r>
          </m:sub>
        </m:sSub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Heading4"/>
      </w:pPr>
      <w:bookmarkStart w:id="27" w:name="indices-de-gravidade-e-frequencia-ampliados"/>
      <w:bookmarkEnd w:id="27"/>
      <w:r>
        <w:t xml:space="preserve">Índices de Gravidade e Frequência Ampliados</w:t>
      </w:r>
    </w:p>
    <w:p>
      <w:pPr>
        <w:pStyle w:val="FirstParagraph"/>
      </w:pPr>
      <w:r>
        <w:t xml:space="preserve">Os índices de frequência e gravidade ampliados serão usados como variáveis independentes nas regressões relacionadas à reajuste do plano de saúde, tempo de contratação e desligamento voluntário.</w:t>
      </w:r>
      <w:r>
        <w:t xml:space="preserve"> </w:t>
      </w:r>
      <w:r>
        <w:t xml:space="preserve">O índice de frequência considera todos os eventos, sobre o número de funcionários.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c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a</m:t>
                          </m:r>
                          <m:r>
                            <m:t>c</m:t>
                          </m:r>
                          <m:r>
                            <m:t>i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s</m:t>
                          </m:r>
                          <m:r>
                            <m:t> </m:t>
                          </m:r>
                          <m:r>
                            <m:t>k</m:t>
                          </m:r>
                          <m:r>
                            <m:t>,</m:t>
                          </m:r>
                          <m:r>
                            <m:t>c</m:t>
                          </m:r>
                          <m:r>
                            <m:t>,</m:t>
                          </m:r>
                          <m:r>
                            <m:t>t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O índice de gravidade ponderará os eventos, considerando os mesmos pesos atribuídos no calculo do FAP.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0.3</m:t>
              </m:r>
              <m:r>
                <m:t>*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0.1</m:t>
              </m:r>
              <m:r>
                <m:t>*</m:t>
              </m:r>
              <m:r>
                <m:t>(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&lt;</m:t>
                  </m:r>
                  <m:r>
                    <m:t>15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A</m:t>
                  </m:r>
                  <m:r>
                    <m:t>f</m:t>
                  </m:r>
                  <m:r>
                    <m:t>a</m:t>
                  </m:r>
                  <m:r>
                    <m:t>s</m:t>
                  </m:r>
                  <m:r>
                    <m:t>t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l</m:t>
                  </m:r>
                  <m:r>
                    <m:t>t</m:t>
                  </m:r>
                  <m:r>
                    <m:t>a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&gt;</m:t>
                  </m:r>
                  <m:r>
                    <m:t>15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4"/>
      </w:pPr>
      <w:bookmarkStart w:id="28" w:name="turnover-geral"/>
      <w:bookmarkEnd w:id="28"/>
      <w:r>
        <w:t xml:space="preserve">Turnover Geral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s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</m:sub>
              </m:sSub>
            </m:num>
            <m:den>
              <m:r>
                <m:t>f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n</m:t>
              </m:r>
              <m:r>
                <m:t>i</m:t>
              </m:r>
              <m:r>
                <m:t>c</m:t>
              </m:r>
              <m:r>
                <m:t>i</m:t>
              </m:r>
              <m:r>
                <m:t>a</m:t>
              </m:r>
              <m:r>
                <m:t>l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*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Heading3"/>
      </w:pPr>
      <w:bookmarkStart w:id="29" w:name="ligacao-entre-eventos-e-variaveis-previdenciarias"/>
      <w:bookmarkEnd w:id="29"/>
      <w:r>
        <w:t xml:space="preserve">Ligação entre Eventos e Variáveis Previdenciárias</w:t>
      </w:r>
    </w:p>
    <w:p>
      <w:pPr>
        <w:pStyle w:val="FirstParagraph"/>
      </w:pPr>
      <w:r>
        <w:t xml:space="preserve">O quadro a seguir apresenta a ligação entre os eventos e os benefícios calculados.</w:t>
      </w:r>
      <w:r>
        <w:t xml:space="preserve"> </w:t>
      </w:r>
      <w:r>
        <w:drawing>
          <wp:inline>
            <wp:extent cx="5334000" cy="1493634"/>
            <wp:effectExtent b="0" l="0" r="0" t="0"/>
            <wp:docPr descr="Quadro de Eventos e B's calculados" id="1" name="Picture"/>
            <a:graphic>
              <a:graphicData uri="http://schemas.openxmlformats.org/drawingml/2006/picture">
                <pic:pic>
                  <pic:nvPicPr>
                    <pic:cNvPr descr="../figures/quadro_benefic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b91---auxilio-doenca-acidentario."/>
      <w:bookmarkEnd w:id="31"/>
      <w:r>
        <w:t xml:space="preserve">B91 - Auxílio Doença Acidentário.</w:t>
      </w:r>
    </w:p>
    <w:p>
      <w:pPr>
        <w:pStyle w:val="FirstParagraph"/>
      </w:pPr>
      <w:r>
        <w:t xml:space="preserve">Após o calculo dos eventos serão calculados os benefícios gerados a partir deste benefícios.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2" w:name="b92---aposentadoria-por-invalidez-acidentaria"/>
      <w:bookmarkEnd w:id="32"/>
      <w:r>
        <w:t xml:space="preserve">B92 - Aposentadoria por Invalidez Acidentária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33" w:name="b93---pensao-por-morte-acidentaria"/>
      <w:bookmarkEnd w:id="33"/>
      <w:r>
        <w:t xml:space="preserve">B93 - Pensão por Morte Acidentária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Heading4"/>
      </w:pPr>
      <w:bookmarkStart w:id="34" w:name="b94---auxilio-acidente"/>
      <w:bookmarkEnd w:id="34"/>
      <w:r>
        <w:t xml:space="preserve">B94 - Auxílio Acidente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>
      <w:pPr>
        <w:pStyle w:val="Heading4"/>
      </w:pPr>
      <w:bookmarkStart w:id="35" w:name="b31---auxilio-doenca-previdenciario"/>
      <w:bookmarkEnd w:id="35"/>
      <w:r>
        <w:t xml:space="preserve">B31 - Auxílio Doença Previdenciário</w:t>
      </w:r>
    </w:p>
    <w:p>
      <w:pPr>
        <w:pStyle w:val="FirstParagraph"/>
      </w:pPr>
      <w:r>
        <w:t xml:space="preserve">Os Auxílios por Doença Previdenciário serão calculados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6" w:name="b32---aposentadoria-invalidez-previdenciario"/>
      <w:bookmarkEnd w:id="36"/>
      <w:r>
        <w:t xml:space="preserve">B32 - Aposentadoria Invalidez Previdenciário</w:t>
      </w:r>
    </w:p>
    <w:p>
      <w:pPr>
        <w:pStyle w:val="FirstParagraph"/>
      </w:pPr>
      <w:r>
        <w:t xml:space="preserve">As aposentadorias por invalidez previdenciárias serão calculadas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7" w:name="numero-de-beneficios-acumulados"/>
      <w:bookmarkEnd w:id="37"/>
      <w:r>
        <w:t xml:space="preserve">Numero de benefícios acumulados</w:t>
      </w:r>
    </w:p>
    <w:p>
      <w:pPr>
        <w:pStyle w:val="FirstParagraph"/>
      </w:pPr>
      <w:r>
        <w:t xml:space="preserve">O número de benefícios acumulado será calculado de acordo com o número de benefícios concedido até o período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em questão e o número de benefícios inicial.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3"/>
      </w:pPr>
      <w:bookmarkStart w:id="38" w:name="categorias-de-beneficios"/>
      <w:bookmarkEnd w:id="38"/>
      <w:r>
        <w:t xml:space="preserve">Categorias de Benefícios</w:t>
      </w:r>
    </w:p>
    <w:p>
      <w:pPr>
        <w:pStyle w:val="Heading4"/>
      </w:pPr>
      <w:bookmarkStart w:id="39" w:name="despesas-evitaveis"/>
      <w:bookmarkEnd w:id="39"/>
      <w:r>
        <w:t xml:space="preserve">Despesas Evitáveis</w:t>
      </w:r>
    </w:p>
    <w:p>
      <w:pPr>
        <w:pStyle w:val="Heading5"/>
      </w:pPr>
      <w:bookmarkStart w:id="40" w:name="despesas-com-reclamatorias-trabalhistas"/>
      <w:bookmarkEnd w:id="40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41" w:name="numero-de-reclamatorias-trabalhistas"/>
      <w:bookmarkEnd w:id="41"/>
      <w:r>
        <w:t xml:space="preserve">Número de Reclamatórias Trabalhistas</w:t>
      </w:r>
    </w:p>
    <w:p>
      <w:pPr>
        <w:pStyle w:val="FirstParagraph"/>
      </w:pPr>
      <w:r>
        <w:t xml:space="preserve">O número de reclamatórias trabalhistas será calculado considerando o número de funcionários desligados total multiplicado pela probabilidade de ajuizar e ganhar uma reclamatória trabalhista cujo objeto da ação está relacionado à saúde e Segurança do Trabalho.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2" w:name="acidente-doenca-ocupacional---invalidez"/>
      <w:bookmarkEnd w:id="42"/>
      <w:r>
        <w:t xml:space="preserve">Acidente / Doença Ocupacional - Invalidez</w:t>
      </w:r>
    </w:p>
    <w:p>
      <w:pPr>
        <w:pStyle w:val="FirstParagraph"/>
      </w:pPr>
      <w:r>
        <w:t xml:space="preserve">Esta subcategoria compreende as despesas evitadas com incapacitação parcial ou total provocada por acidente típico, doença ocupacional ou acidente de trajeto após a implementação integral da iniciativa.</w:t>
      </w:r>
    </w:p>
    <w:p>
      <w:pPr>
        <w:pStyle w:val="BodyText"/>
      </w:pPr>
      <w:r>
        <w:t xml:space="preserve">Possibilidade 1: Todos os custos incorridos nesta rúbrica entram para o calculo do FAP e não deveriam ser contados em duplicidade.</w:t>
      </w:r>
      <w:r>
        <w:t xml:space="preserve"> </w:t>
      </w:r>
      <w:r>
        <w:t xml:space="preserve">Possibilidade 2: Existem despesas que não estão em nenhuma outra categoria e que deveriam ser contabilizados aqui. A princípio estamos na possibilidade 1. A categoria será excluída caso a possibilidade 1 se confirme.</w:t>
      </w:r>
    </w:p>
    <w:p>
      <w:pPr>
        <w:pStyle w:val="Heading5"/>
      </w:pPr>
      <w:bookmarkStart w:id="43" w:name="acoes-regressivas-inss"/>
      <w:bookmarkEnd w:id="43"/>
      <w:r>
        <w:t xml:space="preserve">Ações Regressivas INSS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 A Ação Regressiva representa o o ressarcimento de pagamento de benefícios acidentários do empregador ao INSS. Lei 8213/91, artigo 120 :A ação regressiva é a penalização adicional relacionada ao B91 - B94.</w:t>
      </w:r>
    </w:p>
    <w:p>
      <w:pPr>
        <w:pStyle w:val="BodyText"/>
      </w:pPr>
      <w:r>
        <w:t xml:space="preserve"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a esta função. O custo médio ponderado dos benefícios acumulados será calculado de acordo com os mesmos custos médios informados para fins de FAP. Assume-se que as despesas de ressarcimento da empresa para com o INSS são as mesmas despesas que o INSS teve com o indivíduo que originou a ação regressiva.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r>
                <m:t>n</m:t>
              </m:r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,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n</m:t>
                  </m:r>
                </m:e>
              </m:nary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n</m:t>
                  </m:r>
                </m:e>
              </m:nary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Heading5"/>
      </w:pPr>
      <w:bookmarkStart w:id="44" w:name="ausencia-para-tratamento"/>
      <w:bookmarkEnd w:id="44"/>
      <w:r>
        <w:t xml:space="preserve">Ausência para Tratamento</w:t>
      </w:r>
    </w:p>
    <w:p>
      <w:pPr>
        <w:pStyle w:val="FirstParagraph"/>
      </w:pPr>
      <w:r>
        <w:t xml:space="preserve">Esta subcategoria compreende as despesas evitadas com a ausência do trabalhador afastado para tratamento após a implementação integral da iniciativa. Os custos desta categoria já estão incluidos na categoria de absenteísmo.</w:t>
      </w:r>
    </w:p>
    <w:p>
      <w:pPr>
        <w:pStyle w:val="Heading5"/>
      </w:pPr>
      <w:bookmarkStart w:id="45" w:name="despesas-medicas"/>
      <w:bookmarkEnd w:id="45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  <m:r>
            <m:t>*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′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  <m:r>
                    <m:t>′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</m:sub>
                  </m:sSub>
                </m:e>
              </m:nary>
            </m:e>
          </m:nary>
          <m:r>
            <m:t>)</m:t>
          </m:r>
          <m:r>
            <m:t> 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′</m:t>
          </m:r>
          <m:r>
            <m:t>=</m:t>
          </m:r>
          <m:r>
            <m:t>{</m:t>
          </m:r>
          <m:r>
            <m:t>1</m:t>
          </m:r>
          <m:r>
            <m:t>,</m:t>
          </m:r>
          <m:r>
            <m:t>3</m:t>
          </m:r>
          <m:r>
            <m:t>}</m:t>
          </m:r>
          <m:r>
            <m:t> </m:t>
          </m:r>
          <m:r>
            <m:t>e</m:t>
          </m:r>
          <m:r>
            <m:t> </m:t>
          </m:r>
          <m:r>
            <m:t>C</m:t>
          </m:r>
          <m:r>
            <m:t>′</m:t>
          </m:r>
          <m:r>
            <m:t>=</m:t>
          </m:r>
          <m:r>
            <m:t>{</m:t>
          </m:r>
          <m:r>
            <m:t>2</m:t>
          </m:r>
          <m:r>
            <m:t>,</m:t>
          </m:r>
          <m:r>
            <m:t>3</m:t>
          </m:r>
          <m:r>
            <m:t>,</m:t>
          </m:r>
          <m:r>
            <m:t>4</m:t>
          </m:r>
          <m:r>
            <m:t>}</m:t>
          </m:r>
        </m:oMath>
      </m:oMathPara>
    </w:p>
    <w:p>
      <w:pPr>
        <w:pStyle w:val="Heading5"/>
      </w:pPr>
      <w:bookmarkStart w:id="46" w:name="reajustes-do-plano-de-saude"/>
      <w:bookmarkEnd w:id="46"/>
      <w:r>
        <w:t xml:space="preserve">Reajustes do plano de Saúde</w:t>
      </w:r>
    </w:p>
    <w:p>
      <w:pPr>
        <w:pStyle w:val="FirstParagraph"/>
      </w:pPr>
      <w:r>
        <w:t xml:space="preserve"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O reajuste estimado (parcela variável, excluindo variações inflacionárias) será obtido por meio de uma regressão, comparada aos índices de frequência e gravidade, considerando a soma de acidentes do ano anterior. Deve-se observar que o intercepto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 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B</m:t>
            </m:r>
          </m:e>
          <m:sub>
            <m:r>
              <m:t>g</m:t>
            </m:r>
          </m:sub>
        </m:sSub>
      </m:oMath>
      <w:r>
        <w:t xml:space="preserve">serão estimados a priori, e aplicados pelo modelo a cada ano. As ações regressivas relacionadas ao SUS contra o plano de saúde entrarão indiretamente nesta regressão (presente nos índices).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7" w:name="interrupcao-operacional-por-acidentemorte"/>
      <w:bookmarkEnd w:id="47"/>
      <w:r>
        <w:t xml:space="preserve">Interrupção Operacional por Acidente/Morte</w:t>
      </w:r>
    </w:p>
    <w:p>
      <w:pPr>
        <w:pStyle w:val="FirstParagraph"/>
      </w:pPr>
      <w:r>
        <w:t xml:space="preserve">As despesas com interrupção operacional serão calculadas considerando o número de acidentes típicos, o tempo de interrução (o qual pode ser estimado pelo número total de dias de interrupção sobre o número total de acidentes) e o lucro cessante médio diário oriúndo de cada acidente.</w:t>
      </w:r>
    </w:p>
    <w:p>
      <w:pPr>
        <w:pStyle w:val="BodyText"/>
      </w:pPr>
      <w:r>
        <w:t xml:space="preserve">Opção 1: Coletar os dias médios de interrupção geral.</w:t>
      </w:r>
      <w:r>
        <w:t xml:space="preserve"> </w:t>
      </w:r>
      <w:r>
        <w:t xml:space="preserve">Opção 2: Estimar os dias de interrupção de modo separado por tipo de acidentes (ex.: Óbito, Afastamento maior que 15, menor que 15, ou sem Afastamento.). Possívelmente, há como manter os dias de interrupção por óbito em separado.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8" w:name="interdicoes-por-fiscalizacao"/>
      <w:bookmarkEnd w:id="48"/>
      <w:r>
        <w:t xml:space="preserve">Interdições Por Fiscalização</w:t>
      </w:r>
    </w:p>
    <w:p>
      <w:pPr>
        <w:pStyle w:val="FirstParagraph"/>
      </w:pPr>
      <w:r>
        <w:t xml:space="preserve"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 O evento de interdição por fiscalização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  <m:r>
          <m:t>t</m:t>
        </m:r>
        <m:sSub>
          <m:e>
            <m:r>
              <m:t>o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d</m:t>
            </m:r>
            <m:r>
              <m:t>i</m:t>
            </m:r>
            <m:r>
              <m:t>c</m:t>
            </m:r>
            <m:r>
              <m:t>a</m:t>
            </m:r>
            <m:r>
              <m:t>o</m:t>
            </m:r>
          </m:sub>
        </m:sSub>
      </m:oMath>
      <w:r>
        <w:t xml:space="preserve"> </w:t>
      </w:r>
      <w:r>
        <w:t xml:space="preserve">será estimado com uma distribuição binomial.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r>
            <m:t>E</m:t>
          </m:r>
          <m:r>
            <m:t>v</m:t>
          </m:r>
          <m:r>
            <m:t>e</m:t>
          </m:r>
          <m:r>
            <m:t>n</m:t>
          </m:r>
          <m:r>
            <m:t>t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f</m:t>
              </m:r>
              <m:r>
                <m:t>i</m:t>
              </m:r>
              <m:r>
                <m:t>s</m:t>
              </m:r>
              <m:r>
                <m:t>c</m:t>
              </m:r>
              <m:r>
                <m:t>a</m:t>
              </m:r>
              <m:r>
                <m:t>l</m:t>
              </m:r>
              <m:r>
                <m:t>i</m:t>
              </m:r>
              <m:r>
                <m:t>z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9" w:name="reabilitacao-do-trabalhador"/>
      <w:bookmarkEnd w:id="49"/>
      <w:r>
        <w:t xml:space="preserve">Reabilitação do Trabalhador</w:t>
      </w:r>
    </w:p>
    <w:p>
      <w:pPr>
        <w:pStyle w:val="FirstParagraph"/>
      </w:pPr>
      <w:r>
        <w:t xml:space="preserve">Trabalhadores passíveis de esforços de reabilitação incluem trabalhadores préviamente afastados (seja por mais do que 30 dias ou por mais do que 15 dias). O custo de reabilitação contém todos os custos relacionados à reabilitação, inclusive os custos de manutenção do reabilitado. Os custos de manutenção em períodos posteriores não são contabilizados. Custos relacionados à iniciativas de reabilitação de grupos de risco e PCDs serão considerados no modelo por meio da redução do risco de eventos. Desta maneira, não serão contabilizados como um benefício direto nesta categoria.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=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c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t>(</m:t>
              </m:r>
            </m:e>
          </m:nary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</m:sub>
          </m:sSub>
          <m:r>
            <m:t>)</m:t>
          </m:r>
          <m:r>
            <m:t>*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b</m:t>
          </m:r>
        </m:oMath>
      </m:oMathPara>
    </w:p>
    <w:p>
      <w:pPr>
        <w:pStyle w:val="Heading4"/>
      </w:pPr>
      <w:bookmarkStart w:id="50" w:name="reducoes-fiscais"/>
      <w:bookmarkEnd w:id="50"/>
      <w:r>
        <w:t xml:space="preserve">Reduções Fiscais</w:t>
      </w:r>
    </w:p>
    <w:p>
      <w:pPr>
        <w:pStyle w:val="Heading5"/>
      </w:pPr>
      <w:bookmarkStart w:id="51" w:name="exposicao-a-multas"/>
      <w:bookmarkEnd w:id="51"/>
      <w:r>
        <w:t xml:space="preserve">Exposição à Multas</w:t>
      </w:r>
    </w:p>
    <w:p>
      <w:pPr>
        <w:pStyle w:val="FirstParagraph"/>
      </w:pPr>
      <w:r>
        <w:t xml:space="preserve">As despesas oriúndas da exposição à multa serão calculadas considerando-se o número de multas aplicadas e o custo médio da multa. Adicionalmente, o número de multas também pode ser modulado pela ocorrência de uma crise.</w:t>
      </w:r>
    </w:p>
    <w:p>
      <w:pPr>
        <w:pStyle w:val="BodyText"/>
      </w:pPr>
      <w:r>
        <w:t xml:space="preserve">Opção 1: Considerar a Exposição á multas de modo geral.</w:t>
      </w:r>
      <w:r>
        <w:t xml:space="preserve"> </w:t>
      </w:r>
      <w:r>
        <w:t xml:space="preserve">Opção 2: Estimar custos médios de multa, e probabilidades de multa de modo individualizado (para cada NR).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′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52" w:name="numero-de-multas"/>
      <w:bookmarkEnd w:id="52"/>
      <w:r>
        <w:t xml:space="preserve">Número de multas</w:t>
      </w:r>
    </w:p>
    <w:p>
      <w:pPr>
        <w:pStyle w:val="FirstParagraph"/>
      </w:pPr>
      <w:r>
        <w:t xml:space="preserve">O número de múltas aplicado será calculado de acordo com o atingimento da legislação (variável binária 0 ou 1) e o número de multas estimado pela regressão.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′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O número de multas será estimado de acordo com os eventos de acidentes típicos e doenças ocupacionais.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*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d</m:t>
              </m:r>
              <m:r>
                <m:t>o</m:t>
              </m:r>
              <m:r>
                <m:t>e</m:t>
              </m:r>
              <m:r>
                <m:t>n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)</m:t>
          </m:r>
        </m:oMath>
      </m:oMathPara>
    </w:p>
    <w:p>
      <w:pPr>
        <w:pStyle w:val="Heading5"/>
      </w:pPr>
      <w:bookmarkStart w:id="53" w:name="fap"/>
      <w:bookmarkEnd w:id="53"/>
      <w:r>
        <w:t xml:space="preserve">FAP</w:t>
      </w:r>
    </w:p>
    <w:p>
      <w:pPr>
        <w:pStyle w:val="FirstParagraph"/>
      </w:pPr>
      <w:r>
        <w:t xml:space="preserve">Fonte para o calculo do FAP utilizada:</w:t>
      </w:r>
      <w:r>
        <w:t xml:space="preserve"> </w:t>
      </w:r>
      <w:hyperlink r:id="rId54">
        <w:r>
          <w:rPr>
            <w:rStyle w:val="Hyperlink"/>
          </w:rPr>
          <w:t xml:space="preserve">http://sislex.previdencia.gov.br/paginas/72/MF-CNP/2017/1329.htm</w:t>
        </w:r>
      </w:hyperlink>
    </w:p>
    <w:p>
      <w:pPr>
        <w:pStyle w:val="Heading6"/>
      </w:pPr>
      <w:bookmarkStart w:id="55" w:name="indices-de-frequencia-gravidade-e-custo"/>
      <w:bookmarkEnd w:id="55"/>
      <w:r>
        <w:t xml:space="preserve">Índices de Frequência, Gravidade e Custo</w:t>
      </w:r>
    </w:p>
    <w:p>
      <w:pPr>
        <w:pStyle w:val="FirstParagraph"/>
      </w:pPr>
      <w:r>
        <w:t xml:space="preserve">Os óbitos sem benefício são exatamente isso: Óbitos acidentários que não receberam benefício (por algum motivo).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calculo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O índice de gravidade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E o índice de custo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6" w:name="percentis"/>
      <w:bookmarkEnd w:id="56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Considerando a necessidade de estimar o percentil a partir dos eventos, será utilizada uma regressão linear relacionando o percentil ao número de eventos observados na empresa. Considerando que o FAP é calculado utilizando os últimos dois anos, a regressão também deve considerar este mesmo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+</m:t>
          </m:r>
          <m:sSub>
            <m:e>
              <m:r>
                <m:t>β</m:t>
              </m:r>
            </m:e>
            <m:sub>
              <m:r>
                <m:t>t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 </m:t>
          </m:r>
          <m:r>
            <m:t>∀</m:t>
          </m:r>
          <m:r>
            <m:t>t</m:t>
          </m:r>
          <m:r>
            <m:t>∈</m:t>
          </m:r>
          <m:r>
            <m:t>{</m:t>
          </m:r>
          <m:r>
            <m:t>f</m:t>
          </m:r>
          <m:r>
            <m:t>,</m:t>
          </m:r>
          <m:r>
            <m:t>g</m:t>
          </m:r>
          <m:r>
            <m:t>,</m:t>
          </m:r>
          <m:r>
            <m:t>c</m:t>
          </m:r>
          <m:r>
            <m:t>}</m:t>
          </m:r>
        </m:oMath>
      </m:oMathPara>
    </w:p>
    <w:p>
      <w:pPr>
        <w:pStyle w:val="Heading6"/>
      </w:pPr>
      <w:bookmarkStart w:id="57" w:name="indice-composto"/>
      <w:bookmarkEnd w:id="57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6"/>
      </w:pPr>
      <w:bookmarkStart w:id="58" w:name="calculo-final-do-fap"/>
      <w:bookmarkEnd w:id="58"/>
      <w:r>
        <w:t xml:space="preserve">Calculo Final do FAP</w:t>
      </w:r>
    </w:p>
    <w:p>
      <w:pPr>
        <w:pStyle w:val="FirstParagraph"/>
      </w:pPr>
      <w:r>
        <w:t xml:space="preserve"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Para fins de modelagem, o turnover FAP utilizará o calculo do Turnover geral mencionado anteriormente, ainda assim considerando a ponderação de dois anos anteriores.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T</m:t>
              </m:r>
              <m:r>
                <m:t>u</m:t>
              </m:r>
              <m:r>
                <m:t>r</m:t>
              </m:r>
              <m:sSub>
                <m:e>
                  <m:r>
                    <m:t>n</m:t>
                  </m:r>
                </m:e>
                <m:sub>
                  <m:r>
                    <m:t>g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r>
                <m:t>T</m:t>
              </m:r>
              <m:r>
                <m:t>u</m:t>
              </m:r>
              <m:r>
                <m:t>r</m:t>
              </m:r>
              <m:sSub>
                <m:e>
                  <m:r>
                    <m:t>n</m:t>
                  </m:r>
                </m:e>
                <m:sub>
                  <m:r>
                    <m:t>g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59" w:name="rat-ajustado"/>
      <w:bookmarkEnd w:id="59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calculo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60" w:name="intangivel"/>
      <w:bookmarkEnd w:id="60"/>
      <w:r>
        <w:t xml:space="preserve">Intangível</w:t>
      </w:r>
    </w:p>
    <w:p>
      <w:pPr>
        <w:pStyle w:val="Heading5"/>
      </w:pPr>
      <w:bookmarkStart w:id="61" w:name="imagem-da-empresa"/>
      <w:bookmarkEnd w:id="61"/>
      <w:r>
        <w:t xml:space="preserve">Imagem da Empresa</w:t>
      </w:r>
    </w:p>
    <w:p>
      <w:pPr>
        <w:pStyle w:val="FirstParagraph"/>
      </w:pPr>
      <w:r>
        <w:t xml:space="preserve">Os benefícios da inciativa relacionados à imagem foram desmembradas em duas variáveis. Uma variável considera o ganho obtido com expansão de receita, e uma segunda apresenta o ganho relacionado às despesas com contratação.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+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4 alternativas pensadas para estimar a variável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m</m:t>
            </m:r>
            <m:r>
              <m:t>,</m:t>
            </m:r>
            <m:r>
              <m:t>r</m:t>
            </m:r>
            <m:r>
              <m:t>e</m:t>
            </m:r>
            <m:r>
              <m:t>c</m:t>
            </m:r>
            <m:r>
              <m:t>e</m:t>
            </m:r>
            <m:r>
              <m:t>i</m:t>
            </m:r>
            <m:r>
              <m:t>t</m:t>
            </m:r>
            <m:r>
              <m:t>a</m:t>
            </m:r>
          </m:sub>
        </m:sSub>
      </m:oMath>
      <w:r>
        <w:t xml:space="preserve"> </w:t>
      </w:r>
      <w:r>
        <w:t xml:space="preserve">são estas:</w:t>
      </w:r>
      <w:r>
        <w:t xml:space="preserve"> </w:t>
      </w:r>
      <w:r>
        <w:t xml:space="preserve">A) Ganho de Mercado Informado;</w:t>
      </w:r>
      <w:r>
        <w:t xml:space="preserve"> </w:t>
      </w:r>
      <w:r>
        <w:t xml:space="preserve">B) Ganho de Mercado Informado apenas quando se atende a uma taxa máxima de frequência e gravidade (considerando as taxas do INSS);</w:t>
      </w:r>
      <w:r>
        <w:t xml:space="preserve"> </w:t>
      </w:r>
      <w:r>
        <w:t xml:space="preserve">C) Regressão considerando os índices do INSS e PIB, explicando a variação das propostas (</w:t>
      </w:r>
      <m:oMath>
        <m:r>
          <m:t>P</m:t>
        </m:r>
        <m:r>
          <m:t>r</m:t>
        </m:r>
        <m:r>
          <m:t>o</m:t>
        </m:r>
        <m:r>
          <m:t>p</m:t>
        </m:r>
        <m:r>
          <m:t>o</m:t>
        </m:r>
        <m:r>
          <m:t>s</m:t>
        </m:r>
        <m:r>
          <m:t>t</m:t>
        </m:r>
        <m:r>
          <m:t>a</m:t>
        </m:r>
        <m:r>
          <m:t>s</m:t>
        </m:r>
        <m:r>
          <m:t>*</m:t>
        </m:r>
        <m:r>
          <m:t>c</m:t>
        </m:r>
        <m:r>
          <m:t>h</m:t>
        </m:r>
        <m:r>
          <m:t>a</m:t>
        </m:r>
        <m:r>
          <m:t>n</m:t>
        </m:r>
        <m:r>
          <m:t>c</m:t>
        </m:r>
        <m:r>
          <m:t>e</m:t>
        </m:r>
        <m:r>
          <m:t>d</m:t>
        </m:r>
        <m:r>
          <m:t>e</m:t>
        </m:r>
        <m:r>
          <m:t>c</m:t>
        </m:r>
        <m:r>
          <m:t>o</m:t>
        </m:r>
        <m:r>
          <m:t>n</m:t>
        </m:r>
        <m:r>
          <m:t>v</m:t>
        </m:r>
        <m:r>
          <m:t>e</m:t>
        </m:r>
        <m:r>
          <m:t>r</m:t>
        </m:r>
        <m:r>
          <m:t>s</m:t>
        </m:r>
        <m:r>
          <m:t>ã</m:t>
        </m:r>
        <m:r>
          <m:t>o</m:t>
        </m:r>
        <m:r>
          <m:t>*</m:t>
        </m:r>
        <m:r>
          <m:t>R</m:t>
        </m:r>
        <m:r>
          <m:t>e</m:t>
        </m:r>
        <m:r>
          <m:t>c</m:t>
        </m:r>
        <m:r>
          <m:t>e</m:t>
        </m:r>
        <m:r>
          <m:t>i</m:t>
        </m:r>
        <m:r>
          <m:t>t</m:t>
        </m:r>
        <m:r>
          <m:t>a</m:t>
        </m:r>
        <m:r>
          <m:t>*</m:t>
        </m:r>
        <m:r>
          <m:t>m</m:t>
        </m:r>
        <m:r>
          <m:t>a</m:t>
        </m:r>
        <m:r>
          <m:t>r</m:t>
        </m:r>
        <m:r>
          <m:t>g</m:t>
        </m:r>
        <m:r>
          <m:t>e</m:t>
        </m:r>
        <m:r>
          <m:t>m</m:t>
        </m:r>
        <m:r>
          <m:t>m</m:t>
        </m:r>
        <m:r>
          <m:t>é</m:t>
        </m:r>
        <m:r>
          <m:t>d</m:t>
        </m:r>
        <m:r>
          <m:t>i</m:t>
        </m:r>
        <m:r>
          <m:t>a</m:t>
        </m:r>
      </m:oMath>
      <w:r>
        <w:t xml:space="preserve">);</w:t>
      </w:r>
      <w:r>
        <w:t xml:space="preserve"> </w:t>
      </w:r>
      <w:r>
        <w:t xml:space="preserve">D) Não fazer nada: Não inserir o ganho de receita via imagem no modelo.</w:t>
      </w:r>
    </w:p>
    <w:p>
      <w:pPr>
        <w:pStyle w:val="BodyText"/>
      </w:pPr>
      <w:r>
        <w:t xml:space="preserve">As despesas com imagem relacionadas a contratação serão estimadas considerando o tempo de contratação médio, custo de contratação e número médio de funcionários contratados.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,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,</m:t>
                  </m:r>
                  <m:r>
                    <m:t>t</m:t>
                  </m:r>
                  <m:r>
                    <m:t>0</m:t>
                  </m:r>
                </m:sub>
              </m:sSub>
            </m:den>
          </m:f>
          <m:r>
            <m:t>*</m:t>
          </m:r>
          <m:r>
            <m:t>c</m:t>
          </m:r>
          <m:r>
            <m:t>m</m:t>
          </m:r>
          <m:r>
            <m:t>e</m:t>
          </m:r>
          <m:r>
            <m:t>d</m:t>
          </m:r>
          <m:r>
            <m:t>*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</m:sub>
          </m:sSub>
          <m:r>
            <m:t>e</m:t>
          </m:r>
          <m:r>
            <m:t>r</m:t>
          </m:r>
          <m:r>
            <m:t>a</m:t>
          </m:r>
          <m:r>
            <m:t>l</m:t>
          </m:r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A variável de tempo de contratação será estimada por meio de uma regressão linear, considerando o número de eventos do ano anterior (considerando acidentes com afastamento maior do que 15 dias e óbitos).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2" w:name="engajamento-e-clima-organizacional"/>
      <w:bookmarkEnd w:id="62"/>
      <w:r>
        <w:t xml:space="preserve">Engajamento e Clima organizacional</w:t>
      </w:r>
    </w:p>
    <w:p>
      <w:pPr>
        <w:pStyle w:val="FirstParagraph"/>
      </w:pPr>
      <w:r>
        <w:t xml:space="preserve">As despesas relacionadas a engajamento e clima organizacional serão calculadas a partir de desligamentos voluntários projetados.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</m:sub>
          </m:sSub>
          <m:r>
            <m:t>=</m:t>
          </m:r>
          <m:r>
            <m:t>D</m:t>
          </m:r>
          <m:r>
            <m:t>e</m:t>
          </m:r>
          <m:r>
            <m:t>s</m:t>
          </m:r>
          <m:r>
            <m:t>l</m:t>
          </m:r>
          <m:r>
            <m:t>i</m:t>
          </m:r>
          <m:sSub>
            <m:e>
              <m:r>
                <m:t>g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s</m:t>
          </m:r>
          <m:r>
            <m:t>l</m:t>
          </m:r>
          <m:r>
            <m:t>i</m:t>
          </m:r>
          <m:sSub>
            <m:e>
              <m:r>
                <m:t>g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A variável de percentual de desligamento voluntário será calculada por meio de uma regressão linear, considerando os eventos calculados.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4"/>
      </w:pPr>
      <w:bookmarkStart w:id="63" w:name="melhor-uso-dos-recursos"/>
      <w:bookmarkEnd w:id="63"/>
      <w:r>
        <w:t xml:space="preserve">Melhor Uso dos Recursos</w:t>
      </w:r>
    </w:p>
    <w:p>
      <w:pPr>
        <w:pStyle w:val="Heading5"/>
      </w:pPr>
      <w:bookmarkStart w:id="64" w:name="despesas-com-turnover-sst-fps"/>
      <w:bookmarkEnd w:id="64"/>
      <w:r>
        <w:t xml:space="preserve">Despesas com Turnover SST / FPS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5" w:name="despesas-com-absenteismo"/>
      <w:bookmarkEnd w:id="65"/>
      <w:r>
        <w:t xml:space="preserve">Despesas com 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6" w:name="dias-de-absenteismo"/>
      <w:bookmarkEnd w:id="66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7" w:name="presenteismo"/>
      <w:bookmarkEnd w:id="67"/>
      <w:r>
        <w:t xml:space="preserve">Presenteísmo</w:t>
      </w:r>
    </w:p>
    <w:p>
      <w:pPr>
        <w:pStyle w:val="FirstParagraph"/>
      </w:pPr>
      <w:r>
        <w:t xml:space="preserve">Assim como o absenteísmo, o presenteísmo será calculado considerando o custo médio da mão de obra, o número de horas trabalhadas e o índice de presenteísmo. O índice será informado para a situação com iniciativa e sem iniciativa. A decisão a ser tomada é como estimar o percentual de presenteísmo: Se informado ou coletado via instrumento específico.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i</m:t>
              </m:r>
              <m:r>
                <m:t>s</m:t>
              </m:r>
              <m:r>
                <m:t>m</m:t>
              </m:r>
              <m:r>
                <m:t>o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f</m:t>
          </m:r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68" w:name="refugo-e-retrabalho"/>
      <w:bookmarkEnd w:id="68"/>
      <w:r>
        <w:t xml:space="preserve">Refugo e Retrabalho</w:t>
      </w:r>
    </w:p>
    <w:p>
      <w:pPr>
        <w:pStyle w:val="FirstParagraph"/>
      </w:pPr>
      <w:r>
        <w:t xml:space="preserve">As despesas com refugo e retrabalho serão calculadas considerando o número de eventos típicos e doenças ocupacionais, e um custo médio em refugo e retrabalho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u</m:t>
              </m:r>
              <m:sSub>
                <m:e>
                  <m:r>
                    <m:t>g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69" w:name="mp-insumos-equipamentos-operacao"/>
      <w:bookmarkEnd w:id="69"/>
      <w:r>
        <w:t xml:space="preserve">MP, Insumos, Equipamentos Operação</w:t>
      </w:r>
    </w:p>
    <w:p>
      <w:pPr>
        <w:pStyle w:val="FirstParagraph"/>
      </w:pPr>
      <w:r>
        <w:t xml:space="preserve">De modo similar, as despesas com matéria prima, insumos e equipamentos serão calculadas considerando o número de eventos típicos e doenças ocupacionais, e um custo médio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70" w:name="qualidade"/>
      <w:bookmarkEnd w:id="70"/>
      <w:r>
        <w:t xml:space="preserve">Qualidade</w:t>
      </w:r>
    </w:p>
    <w:p>
      <w:pPr>
        <w:pStyle w:val="FirstParagraph"/>
      </w:pPr>
      <w:r>
        <w:t xml:space="preserve">Os ganhos em qualidade</w:t>
      </w:r>
      <w:r>
        <w:t xml:space="preserve"> </w:t>
      </w:r>
      <m:oMath>
        <m:sSub>
          <m:e>
            <m:r>
              <m:t>D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qualidade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w:r>
        <w:t xml:space="preserve">Opção 1: Variação no Volume de Venda Projetada: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m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m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Opção 2: Regressão a partir dos custos e índices de frequência e gravidade: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m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m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71" w:name="produtividade"/>
      <w:bookmarkEnd w:id="71"/>
      <w:r>
        <w:t xml:space="preserve">Produtividade</w:t>
      </w:r>
    </w:p>
    <w:p>
      <w:pPr>
        <w:pStyle w:val="FirstParagraph"/>
      </w:pPr>
      <w:r>
        <w:t xml:space="preserve">Os ganhos em produtividade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  <m:r>
              <m:t>r</m:t>
            </m:r>
            <m:r>
              <m:t>o</m:t>
            </m:r>
            <m:r>
              <m:t>d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mão-de-obra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w:r>
        <w:t xml:space="preserve">Opção 1: Saving unitário informado da inciativa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s</m:t>
          </m:r>
          <m:r>
            <m:t>a</m:t>
          </m:r>
          <m:sSub>
            <m:e>
              <m:r>
                <m:t>v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Opção 2: Regressão a partir dos custos e índices de frequência e gravidade:</w:t>
      </w:r>
      <w:r>
        <w:t xml:space="preserve"> </w:t>
      </w:r>
      <w:r>
        <w:t xml:space="preserve">O custo médio unitário será igual ao total produzido e os custo operacional.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r>
            <m:t>r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2ab2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54" Target="http://sislex.previdencia.gov.br/paginas/72/MF-CNP/2017/1329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sislex.previdencia.gov.br/paginas/72/MF-CNP/2017/1329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- Calculadora SST/FPS</dc:title>
  <dc:creator>GMAP | UNISINOS</dc:creator>
  <dcterms:created xsi:type="dcterms:W3CDTF">2017-08-04T19:24:39Z</dcterms:created>
  <dcterms:modified xsi:type="dcterms:W3CDTF">2017-08-04T19:24:39Z</dcterms:modified>
</cp:coreProperties>
</file>