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F9B3C" w14:textId="77777777" w:rsidR="00E76325" w:rsidRDefault="00EE3B44">
      <w:pPr>
        <w:pBdr>
          <w:top w:val="nil"/>
          <w:left w:val="nil"/>
          <w:bottom w:val="nil"/>
          <w:right w:val="nil"/>
          <w:between w:val="nil"/>
        </w:pBdr>
        <w:ind w:left="-1134"/>
        <w:jc w:val="both"/>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EXCELENTÍSSIMO(A) SENHOR(A) JUIZ(A) FEDERAL DA 1ª TURMA RECURSAL DA SEÇÃO JUDICIÁRIA DO ESTADO DO TOCANTINS</w:t>
      </w:r>
    </w:p>
    <w:p w14:paraId="08D330AE"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b/>
          <w:bCs/>
          <w:color w:val="000000"/>
          <w:sz w:val="22"/>
          <w:szCs w:val="22"/>
        </w:rPr>
      </w:pPr>
    </w:p>
    <w:p w14:paraId="28FF3B8F" w14:textId="77777777" w:rsidR="00E76325" w:rsidRDefault="00EE3B44">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Processo nº 1005746-85.2025.4.01.4300</w:t>
      </w:r>
    </w:p>
    <w:p w14:paraId="629CA734" w14:textId="77777777" w:rsidR="00E76325" w:rsidRDefault="00EE3B44">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Origem: 3ª Vara Federal da Seção Judiciária do Tocantins</w:t>
      </w:r>
    </w:p>
    <w:p w14:paraId="2EC74FF5"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2F532A38"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2487735F"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7B61D2DC"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72E32978"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0FBAE200"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0F7CC1CA"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4023272B"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1FA26CB9"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3531AF5A"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4E20E7BC"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5F67018B"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0DB32111"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2C084E69"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55B4E5B0"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17DC7F16"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010422EC" w14:textId="77777777" w:rsidR="00E76325" w:rsidRDefault="00EE3B44">
      <w:pPr>
        <w:pBdr>
          <w:top w:val="nil"/>
          <w:left w:val="nil"/>
          <w:bottom w:val="nil"/>
          <w:right w:val="nil"/>
          <w:between w:val="nil"/>
        </w:pBdr>
        <w:ind w:left="-1134" w:firstLine="1418"/>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b/>
          <w:bCs/>
          <w:color w:val="000000"/>
          <w:sz w:val="22"/>
          <w:szCs w:val="22"/>
        </w:rPr>
        <w:t>EDVALDO SOBRINHO DA FONSECA,</w:t>
      </w:r>
      <w:r>
        <w:rPr>
          <w:rFonts w:ascii="Palatino Linotype" w:eastAsia="Palatino Linotype" w:hAnsi="Palatino Linotype" w:cs="Palatino Linotype"/>
          <w:color w:val="000000"/>
          <w:sz w:val="22"/>
          <w:szCs w:val="22"/>
        </w:rPr>
        <w:t xml:space="preserve"> já qualificado nos autos, representada pela DEFENSORIA PÚBLICA DA UNIÃO, com fundamento no artigo 14, §§ 1º e 2º, da Lei nº 10.259/2001, vem, respeitosamente, perante Vossa Excelência, interpor o presente</w:t>
      </w:r>
    </w:p>
    <w:p w14:paraId="16BC667E"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54B4B070"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PEDIDO DE UNIFORMIZAÇÃO DE INTERPRETAÇÃO DE LEI FEDERAL (PEDILEF)</w:t>
      </w:r>
    </w:p>
    <w:p w14:paraId="32E194AA"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131102FF" w14:textId="77777777" w:rsidR="00E76325" w:rsidRDefault="00EE3B44">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em face do acórdão proferido pela 1ª Turma Recursal da Seção Judiciária do Tocantins, nos termos das razões de fato e de direito a seguir expostas.</w:t>
      </w:r>
    </w:p>
    <w:p w14:paraId="0EAC9DD2"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10"/>
          <w:szCs w:val="10"/>
        </w:rPr>
      </w:pPr>
    </w:p>
    <w:p w14:paraId="0F2F4913" w14:textId="77777777" w:rsidR="00E76325" w:rsidRDefault="00EE3B44">
      <w:pPr>
        <w:pBdr>
          <w:top w:val="nil"/>
          <w:left w:val="nil"/>
          <w:bottom w:val="nil"/>
          <w:right w:val="nil"/>
          <w:between w:val="nil"/>
        </w:pBdr>
        <w:ind w:left="-1134" w:firstLine="1418"/>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Esclarece que não será efetuado preparo, em razão da sua dispensa, nos termos do art. 43 da Resolução n.º 273 do E. Conselho de Justiça Federal, sendo a Recorrente, ainda, beneficiária da gratuidade de justiça.</w:t>
      </w:r>
    </w:p>
    <w:p w14:paraId="241311D4" w14:textId="77777777" w:rsidR="00E76325" w:rsidRDefault="00E76325">
      <w:pPr>
        <w:pBdr>
          <w:top w:val="nil"/>
          <w:left w:val="nil"/>
          <w:bottom w:val="nil"/>
          <w:right w:val="nil"/>
          <w:between w:val="nil"/>
        </w:pBdr>
        <w:ind w:left="-1134" w:firstLine="1418"/>
        <w:jc w:val="both"/>
        <w:rPr>
          <w:rFonts w:ascii="Palatino Linotype" w:eastAsia="Palatino Linotype" w:hAnsi="Palatino Linotype" w:cs="Palatino Linotype"/>
          <w:color w:val="000000"/>
          <w:sz w:val="10"/>
          <w:szCs w:val="10"/>
        </w:rPr>
      </w:pPr>
    </w:p>
    <w:p w14:paraId="0A9FC723" w14:textId="77777777" w:rsidR="00E76325" w:rsidRDefault="00EE3B44">
      <w:pPr>
        <w:pBdr>
          <w:top w:val="nil"/>
          <w:left w:val="nil"/>
          <w:bottom w:val="nil"/>
          <w:right w:val="nil"/>
          <w:between w:val="nil"/>
        </w:pBdr>
        <w:ind w:left="-1134" w:firstLine="1418"/>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Pleiteia-se, outrossim, a admissão do presente recurso e a remessa dos autos ao Coordenador-Geral da Justiça Federal, para distribuição entre os integrantes da Turma de Uniformização Nacional.</w:t>
      </w:r>
    </w:p>
    <w:p w14:paraId="2EA74A61" w14:textId="77777777" w:rsidR="00E76325" w:rsidRDefault="00E76325">
      <w:pPr>
        <w:pBdr>
          <w:top w:val="nil"/>
          <w:left w:val="nil"/>
          <w:bottom w:val="nil"/>
          <w:right w:val="nil"/>
          <w:between w:val="nil"/>
        </w:pBdr>
        <w:ind w:left="-1134"/>
        <w:jc w:val="center"/>
        <w:rPr>
          <w:rFonts w:ascii="Palatino Linotype" w:eastAsia="Palatino Linotype" w:hAnsi="Palatino Linotype" w:cs="Palatino Linotype"/>
          <w:color w:val="000000"/>
          <w:sz w:val="22"/>
          <w:szCs w:val="22"/>
        </w:rPr>
      </w:pPr>
    </w:p>
    <w:p w14:paraId="62DD3BB6"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Termos em que pede e espera deferimento.</w:t>
      </w:r>
    </w:p>
    <w:p w14:paraId="5C48921A" w14:textId="77777777" w:rsidR="00E76325" w:rsidRDefault="00E76325">
      <w:pPr>
        <w:pBdr>
          <w:top w:val="nil"/>
          <w:left w:val="nil"/>
          <w:bottom w:val="nil"/>
          <w:right w:val="nil"/>
          <w:between w:val="nil"/>
        </w:pBdr>
        <w:ind w:left="-1134"/>
        <w:jc w:val="center"/>
        <w:rPr>
          <w:rFonts w:ascii="Palatino Linotype" w:eastAsia="Palatino Linotype" w:hAnsi="Palatino Linotype" w:cs="Palatino Linotype"/>
          <w:color w:val="000000"/>
          <w:sz w:val="22"/>
          <w:szCs w:val="22"/>
        </w:rPr>
      </w:pPr>
    </w:p>
    <w:p w14:paraId="6719D93E"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Palmas/TO, [data do protocolo eletrônico].</w:t>
      </w:r>
    </w:p>
    <w:p w14:paraId="65B00BA5" w14:textId="77777777" w:rsidR="00E76325" w:rsidRDefault="00E76325">
      <w:pPr>
        <w:pBdr>
          <w:top w:val="nil"/>
          <w:left w:val="nil"/>
          <w:bottom w:val="nil"/>
          <w:right w:val="nil"/>
          <w:between w:val="nil"/>
        </w:pBdr>
        <w:ind w:left="-1134"/>
        <w:jc w:val="center"/>
        <w:rPr>
          <w:rFonts w:ascii="Palatino Linotype" w:eastAsia="Palatino Linotype" w:hAnsi="Palatino Linotype" w:cs="Palatino Linotype"/>
          <w:color w:val="000000"/>
          <w:sz w:val="22"/>
          <w:szCs w:val="22"/>
        </w:rPr>
      </w:pPr>
    </w:p>
    <w:p w14:paraId="2DBB96E7" w14:textId="77777777" w:rsidR="00E76325" w:rsidRDefault="00E76325">
      <w:pPr>
        <w:pBdr>
          <w:top w:val="nil"/>
          <w:left w:val="nil"/>
          <w:bottom w:val="nil"/>
          <w:right w:val="nil"/>
          <w:between w:val="nil"/>
        </w:pBdr>
        <w:ind w:left="-1134"/>
        <w:jc w:val="center"/>
        <w:rPr>
          <w:rFonts w:ascii="Palatino Linotype" w:eastAsia="Palatino Linotype" w:hAnsi="Palatino Linotype" w:cs="Palatino Linotype"/>
          <w:color w:val="000000"/>
          <w:sz w:val="22"/>
          <w:szCs w:val="22"/>
        </w:rPr>
      </w:pPr>
    </w:p>
    <w:p w14:paraId="1098ED38"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Igor de Andrade Barbosa</w:t>
      </w:r>
    </w:p>
    <w:p w14:paraId="55D133E4"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Defensor Público Federal</w:t>
      </w:r>
    </w:p>
    <w:p w14:paraId="55C094A8"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5813E146"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lastRenderedPageBreak/>
        <w:t>EXCELENTISSIMOS DOUTORES MINISTROS DA TURMA NACIONAL DE UNIFORMIZAÇÃO DOS JUIZADOS ESPECIAIS FEDERAIS.</w:t>
      </w:r>
    </w:p>
    <w:p w14:paraId="0DB61805"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b/>
          <w:bCs/>
          <w:color w:val="000000"/>
          <w:sz w:val="22"/>
          <w:szCs w:val="22"/>
        </w:rPr>
      </w:pPr>
    </w:p>
    <w:p w14:paraId="1DC42646"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b/>
          <w:bCs/>
          <w:color w:val="000000"/>
          <w:sz w:val="22"/>
          <w:szCs w:val="22"/>
        </w:rPr>
      </w:pPr>
    </w:p>
    <w:p w14:paraId="08FD1696"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RAZÕES DO PEDIDO DE UNIFORMIZAÇÃO DE JURISPRUDÊNCIA</w:t>
      </w:r>
    </w:p>
    <w:p w14:paraId="70583315"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02ACAE7C"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35AE7648" w14:textId="77777777" w:rsidR="00E76325" w:rsidRDefault="00EE3B44">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PELA DEFENSORIA PÚBLICA DA UNIÃO,</w:t>
      </w:r>
    </w:p>
    <w:p w14:paraId="00FC7A95"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70F7691D"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5E886636" w14:textId="77777777" w:rsidR="00E76325" w:rsidRDefault="00EE3B44">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INSIGNE PRESIDENTE</w:t>
      </w:r>
    </w:p>
    <w:p w14:paraId="31C6018E" w14:textId="77777777" w:rsidR="00E76325" w:rsidRDefault="00EE3B44">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EXCELENTÍSSIMOS JULGADORES,</w:t>
      </w:r>
    </w:p>
    <w:p w14:paraId="1436798F" w14:textId="77777777" w:rsidR="00E76325" w:rsidRDefault="00EE3B44">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EMINENTE JUIZ FEDERAL-RELATOR,</w:t>
      </w:r>
    </w:p>
    <w:p w14:paraId="08E215AE" w14:textId="77777777" w:rsidR="00E76325" w:rsidRDefault="00E76325">
      <w:pPr>
        <w:pBdr>
          <w:top w:val="nil"/>
          <w:left w:val="nil"/>
          <w:bottom w:val="nil"/>
          <w:right w:val="nil"/>
          <w:between w:val="nil"/>
        </w:pBdr>
        <w:jc w:val="both"/>
        <w:rPr>
          <w:rFonts w:ascii="Palatino Linotype" w:eastAsia="Palatino Linotype" w:hAnsi="Palatino Linotype" w:cs="Palatino Linotype"/>
          <w:color w:val="000000"/>
          <w:sz w:val="22"/>
          <w:szCs w:val="22"/>
        </w:rPr>
      </w:pPr>
    </w:p>
    <w:p w14:paraId="64666690" w14:textId="77777777" w:rsidR="00E76325" w:rsidRDefault="00E76325">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p>
    <w:p w14:paraId="47797E8D"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I. DO CABIMENTO DO INCIDENTE</w:t>
      </w:r>
    </w:p>
    <w:p w14:paraId="1AF8B1B4"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51C60EFF"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O presente incidente de uniformização encontra-se fundamentado no disposto no artigo 14, §2º, da Lei nº 10.259/2001, que assim estabelece: </w:t>
      </w:r>
    </w:p>
    <w:p w14:paraId="363A26DA"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6FF14758" w14:textId="77777777" w:rsidR="00E76325" w:rsidRDefault="00EE3B44">
      <w:pPr>
        <w:pBdr>
          <w:top w:val="nil"/>
          <w:left w:val="nil"/>
          <w:bottom w:val="nil"/>
          <w:right w:val="nil"/>
          <w:between w:val="nil"/>
        </w:pBdr>
        <w:ind w:left="709"/>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i/>
          <w:iCs/>
          <w:color w:val="000000"/>
          <w:sz w:val="22"/>
          <w:szCs w:val="22"/>
        </w:rPr>
        <w:t>"No caso de a sentença houver sido proferida em contrariedade a súmula ou jurisprudência dominante no Superior Tribunal de Justiça ou nos tribunais regionais federais, a parte interessada poderá requerer ao presidente da Turma Recursal a remessa do processo ao tribunal regional federal respectivo."</w:t>
      </w:r>
    </w:p>
    <w:p w14:paraId="164AE61E"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526ADD25"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Conforme se demonstrará, o acórdão recorrido foi prolatado em manifesta divergência com precedente específico da 14ª Turma Recursal de São Paulo, vinculada ao e. Tribunal Regional Federal da 3ª Região, conforme será exposto.</w:t>
      </w:r>
    </w:p>
    <w:p w14:paraId="68B2C2E2"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2CEB4E44"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No caso concreto, o acórdão proferido pela 1ª Turma Recursal da Seção Judiciária do Tocantins – vinculada ao TRF da 1ª Região –, ao negar provimento ao recurso inominado interposto pelo Recorrente EDVALDO SOBRINHO DA FONSECA, adotou tese jurídica que contraria frontalmente o entendimento firmado pela 14ª Turma Recursal da Seção Judiciária de São Paulo – vinculada ao TRF da 3ª Região –, nos autos do Recurso Inominado Cível nº 5031508-26.2024.4.03.6301, julgado em 06/06/2025.</w:t>
      </w:r>
    </w:p>
    <w:p w14:paraId="5A264B56"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0A250AC5"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A divergência é atual, qualificada e não superada. </w:t>
      </w:r>
    </w:p>
    <w:p w14:paraId="4A1AE9F4"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058E0CF0"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Os acórdãos divergentes versam sobre a mesma norma federal, aplicam-se a molduras fáticas equivalentes e alcançam soluções jurídicas diametralmente opostas, preenchendo integralmente o requisito do cotejo analítico exigido para o conhecimento do incidente.</w:t>
      </w:r>
    </w:p>
    <w:p w14:paraId="3592F7C1" w14:textId="77777777" w:rsidR="00E76325" w:rsidRDefault="00E76325">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p>
    <w:p w14:paraId="6237732A"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II – SÍNTESE DO CASO E DO ACÓRDÃO RECORRIDO</w:t>
      </w:r>
    </w:p>
    <w:p w14:paraId="0449FA1D"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250CD492"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EDVALDO SOBRINHO DA FONSECA é beneficiário do Programa Bolsa Família, cuja percepção foi bloqueada a partir de abril de 2023 e definitivamente cancelada em </w:t>
      </w:r>
      <w:r>
        <w:rPr>
          <w:rFonts w:ascii="Palatino Linotype" w:eastAsia="Palatino Linotype" w:hAnsi="Palatino Linotype" w:cs="Palatino Linotype"/>
          <w:color w:val="000000"/>
          <w:sz w:val="22"/>
          <w:szCs w:val="22"/>
        </w:rPr>
        <w:lastRenderedPageBreak/>
        <w:t xml:space="preserve">julho de 2023. O cancelamento decorreu de procedimento de qualificação cadastral denominado "Averiguação Cadastral Unipessoal 2023", instaurado para verificar a fidedignidade dos registros de famílias compostas por uma única pessoa. </w:t>
      </w:r>
    </w:p>
    <w:p w14:paraId="7843BB0E"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596BF601"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Em que pese o Recorrente preencher todos os requisitos materiais de elegibilidade ao benefício – vulnerabilidade socioeconômica e renda familiar nula –, o bloqueio foi mantido sob o fundamento de que ele não procedeu, tempestivamente, à atualização de seus dados no Cadastro Único para Programas Sociais do Governo Federal (</w:t>
      </w:r>
      <w:proofErr w:type="spellStart"/>
      <w:r>
        <w:rPr>
          <w:rFonts w:ascii="Palatino Linotype" w:eastAsia="Palatino Linotype" w:hAnsi="Palatino Linotype" w:cs="Palatino Linotype"/>
          <w:color w:val="000000"/>
          <w:sz w:val="22"/>
          <w:szCs w:val="22"/>
        </w:rPr>
        <w:t>CadÚnico</w:t>
      </w:r>
      <w:proofErr w:type="spellEnd"/>
      <w:r>
        <w:rPr>
          <w:rFonts w:ascii="Palatino Linotype" w:eastAsia="Palatino Linotype" w:hAnsi="Palatino Linotype" w:cs="Palatino Linotype"/>
          <w:color w:val="000000"/>
          <w:sz w:val="22"/>
          <w:szCs w:val="22"/>
        </w:rPr>
        <w:t>).</w:t>
      </w:r>
    </w:p>
    <w:p w14:paraId="1DC97030"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53E1A386"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A ação foi ajuizada perante o Juizado Especial Federal com o pedido de condenação da União ao pagamento das parcelas retroativas referentes ao período de abril a novembro de 2023. </w:t>
      </w:r>
    </w:p>
    <w:p w14:paraId="124B2D77"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691BE347"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A sentença de primeiro grau julgou o pedido improcedente, ao fundamento de que a suspensão do benefício decorreu de omissão do próprio beneficiário em promover a atualização cadastral. </w:t>
      </w:r>
    </w:p>
    <w:p w14:paraId="6DEB0BB5"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6D2D14B0"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A 1ª Turma Recursal da SJTO, por unanimidade, manteve integralmente a sentença, fixando a seguinte tese:</w:t>
      </w:r>
    </w:p>
    <w:p w14:paraId="757FA08A"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3C3ED108" w14:textId="77777777" w:rsidR="00E76325" w:rsidRDefault="00EE3B44">
      <w:pPr>
        <w:pBdr>
          <w:top w:val="nil"/>
          <w:left w:val="nil"/>
          <w:bottom w:val="nil"/>
          <w:right w:val="nil"/>
          <w:between w:val="nil"/>
        </w:pBdr>
        <w:ind w:left="567"/>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i/>
          <w:iCs/>
          <w:color w:val="000000"/>
          <w:sz w:val="22"/>
          <w:szCs w:val="22"/>
        </w:rPr>
        <w:t>"1. A manutenção do registro atualizado no Cadastro Único para Programas Sociais do Governo Federal (</w:t>
      </w:r>
      <w:proofErr w:type="spellStart"/>
      <w:r>
        <w:rPr>
          <w:rFonts w:ascii="Palatino Linotype" w:eastAsia="Palatino Linotype" w:hAnsi="Palatino Linotype" w:cs="Palatino Linotype"/>
          <w:i/>
          <w:iCs/>
          <w:color w:val="000000"/>
          <w:sz w:val="22"/>
          <w:szCs w:val="22"/>
        </w:rPr>
        <w:t>CadÚnico</w:t>
      </w:r>
      <w:proofErr w:type="spellEnd"/>
      <w:r>
        <w:rPr>
          <w:rFonts w:ascii="Palatino Linotype" w:eastAsia="Palatino Linotype" w:hAnsi="Palatino Linotype" w:cs="Palatino Linotype"/>
          <w:i/>
          <w:iCs/>
          <w:color w:val="000000"/>
          <w:sz w:val="22"/>
          <w:szCs w:val="22"/>
        </w:rPr>
        <w:t>) constitui um dever legal do beneficiário do Programa Bolsa Família, cuja inobservância, após regular notificação pela Administração Pública, justifica a suspensão e o eventual cancelamento do benefício. 2. A comprovada inércia do beneficiário em proceder à atualização cadastral necessária à regularização de sua situação perante o programa configura culpa exclusiva, circunstância que afasta o nexo de causalidade e, consequentemente, a obrigação do Estado de efetuar o pagamento de parcelas retroativ</w:t>
      </w:r>
      <w:r>
        <w:rPr>
          <w:rFonts w:ascii="Palatino Linotype" w:eastAsia="Palatino Linotype" w:hAnsi="Palatino Linotype" w:cs="Palatino Linotype"/>
          <w:i/>
          <w:iCs/>
          <w:color w:val="000000"/>
          <w:sz w:val="22"/>
          <w:szCs w:val="22"/>
        </w:rPr>
        <w:t>as." (Acórdão recorrido – Súmula de Julgamento, item IV)</w:t>
      </w:r>
    </w:p>
    <w:p w14:paraId="50E60655"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238DD055"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Apesar de reconhecer expressamente a vulnerabilidade social e a delicada condição de saúde do Recorrente, o acórdão recorrido afastou qualquer responsabilidade da Administração Pública, concluindo que o argumento de "busca ativa" não configuraria dever absoluto capaz de superar a responsabilidade primária do beneficiário. </w:t>
      </w:r>
    </w:p>
    <w:p w14:paraId="127E2479"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0C49F666"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0C7E62A0"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III – DOS PRESSUPOSTOS DE ADMISSIBILIDADE</w:t>
      </w:r>
    </w:p>
    <w:p w14:paraId="679A571C"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270CB5D9"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3.1. Decisão impugnável e julgamento colegiado</w:t>
      </w:r>
    </w:p>
    <w:p w14:paraId="2DA91628"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4AC3CB95"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O acórdão recorrido foi proferido pela 1ª Turma Recursal dos Juizados Especiais Federais da Seção Judiciária do Tocantins, com julgamento colegiado definitivo de mérito, por unanimidade, em sede de recurso inominado. </w:t>
      </w:r>
    </w:p>
    <w:p w14:paraId="5465DECE"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63217035"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Não se trata de decisão monocrática, sentença de primeiro grau ou decisão interlocutória, preenchendo o requisito do art. 14, § 1º, da Lei nº 10.259/2001 e do art. 16 do Regimento Interno da TNU.</w:t>
      </w:r>
    </w:p>
    <w:p w14:paraId="14DA8643"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1E5D6620"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3.2. Tempestividade</w:t>
      </w:r>
    </w:p>
    <w:p w14:paraId="00238C6E"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6ECF1147"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O acórdão recorrido foi publicado em 03/03/2026. O prazo legal para interposição do incidente de uniformização é de quinze dias úteis. </w:t>
      </w:r>
    </w:p>
    <w:p w14:paraId="18D6CF47"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03DA89AC"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O presente incidente é tempestivo.</w:t>
      </w:r>
    </w:p>
    <w:p w14:paraId="71E04BC5"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44C7BEED"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3.3. Matéria de direito federal infraconstitucional e prequestionamento</w:t>
      </w:r>
    </w:p>
    <w:p w14:paraId="3DF45567"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617D18F2"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A controvérsia versa exclusivamente sobre a interpretação da Lei nº 14.601/2023 (</w:t>
      </w:r>
      <w:proofErr w:type="spellStart"/>
      <w:r>
        <w:rPr>
          <w:rFonts w:ascii="Palatino Linotype" w:eastAsia="Palatino Linotype" w:hAnsi="Palatino Linotype" w:cs="Palatino Linotype"/>
          <w:color w:val="000000"/>
          <w:sz w:val="22"/>
          <w:szCs w:val="22"/>
        </w:rPr>
        <w:t>arts</w:t>
      </w:r>
      <w:proofErr w:type="spellEnd"/>
      <w:r>
        <w:rPr>
          <w:rFonts w:ascii="Palatino Linotype" w:eastAsia="Palatino Linotype" w:hAnsi="Palatino Linotype" w:cs="Palatino Linotype"/>
          <w:color w:val="000000"/>
          <w:sz w:val="22"/>
          <w:szCs w:val="22"/>
        </w:rPr>
        <w:t>. 4º e 5º), do Decreto nº 11.016/2022 (art. 12) e da Portaria MDC nº 746/2022 (art. 27), que regulam os requisitos de manutenção e de cancelamento dos benefícios do Programa Bolsa Família, bem como a possibilidade de reversão do cancelamento e o consequente pagamento das parcelas do período de interrupção.</w:t>
      </w:r>
    </w:p>
    <w:p w14:paraId="1732F587"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1901E7F4"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A questão é de puro direito: </w:t>
      </w:r>
      <w:r>
        <w:rPr>
          <w:rFonts w:ascii="Palatino Linotype" w:eastAsia="Palatino Linotype" w:hAnsi="Palatino Linotype" w:cs="Palatino Linotype"/>
          <w:i/>
          <w:iCs/>
          <w:color w:val="000000"/>
          <w:sz w:val="22"/>
          <w:szCs w:val="22"/>
        </w:rPr>
        <w:t xml:space="preserve">a regularização cadastral posterior ao cancelamento do benefício, quando confirmada a elegibilidade material do beneficiário, autoriza o pagamento das parcelas retroativas pelo mecanismo da reversão do cancelamento previsto no art. 27 da Portaria MDC nº 746/2022? </w:t>
      </w:r>
    </w:p>
    <w:p w14:paraId="792C400C"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31A20658"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O prequestionamento está devidamente demonstrado. </w:t>
      </w:r>
    </w:p>
    <w:p w14:paraId="2FDA2CB8"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5FF26502"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A tese jurídica foi o eixo central do acórdão recorrido, que a enfrentou e decidiu expressamente.</w:t>
      </w:r>
    </w:p>
    <w:p w14:paraId="7119F995"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0C88ACA3"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3.4. Divergência jurisprudencial qualificada entre Turmas Recursais de regiões distintas</w:t>
      </w:r>
    </w:p>
    <w:p w14:paraId="7253A514"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0DF0F57E"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O incidente tem por objeto a divergência entre a 1ª Turma Recursal da SJTO/TRF-1 </w:t>
      </w:r>
      <w:r>
        <w:rPr>
          <w:rFonts w:ascii="Palatino Linotype" w:eastAsia="Palatino Linotype" w:hAnsi="Palatino Linotype" w:cs="Palatino Linotype"/>
          <w:b/>
          <w:bCs/>
          <w:color w:val="000000"/>
          <w:sz w:val="22"/>
          <w:szCs w:val="22"/>
        </w:rPr>
        <w:t>e a 14ª Turma Recursal da Seção Judiciária de São Paulo/TRF-3</w:t>
      </w:r>
      <w:r>
        <w:rPr>
          <w:rFonts w:ascii="Palatino Linotype" w:eastAsia="Palatino Linotype" w:hAnsi="Palatino Linotype" w:cs="Palatino Linotype"/>
          <w:color w:val="000000"/>
          <w:sz w:val="22"/>
          <w:szCs w:val="22"/>
        </w:rPr>
        <w:t xml:space="preserve">, conforme se demonstrará no cotejo analítico a seguir. </w:t>
      </w:r>
    </w:p>
    <w:p w14:paraId="700694BF"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47856982"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A divergência é atual, não superada, e os acórdãos paradigmas são válidos e contemporâneos, atendendo integralmente ao art. 14, § 2º, da Lei nº 10.259/2001.</w:t>
      </w:r>
    </w:p>
    <w:p w14:paraId="642D7F75"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407FA689"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IV – INAPLICABILIDADE DA SÚMULA 42 DA TNU: A CONTROVÉRSIA É EXCLUSIVAMENTE DE DIREITO</w:t>
      </w:r>
    </w:p>
    <w:p w14:paraId="7C24B959"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27E77488"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A Súmula 42 desta Turma Nacional de Uniformização veda o conhecimento de incidente que implique reexame de matéria de fato. Essa vedação não alcança o presente caso, pelas razões que se expõem a seguir. </w:t>
      </w:r>
    </w:p>
    <w:p w14:paraId="756E6024"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p>
    <w:p w14:paraId="266B4402"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A moldura fática está completamente fixada no acórdão recorrido e dela não se discorda: </w:t>
      </w:r>
      <w:r>
        <w:rPr>
          <w:rFonts w:ascii="Palatino Linotype" w:eastAsia="Palatino Linotype" w:hAnsi="Palatino Linotype" w:cs="Palatino Linotype"/>
          <w:i/>
          <w:iCs/>
          <w:color w:val="000000"/>
          <w:sz w:val="22"/>
          <w:szCs w:val="22"/>
        </w:rPr>
        <w:t>o Recorrente é beneficiário do Programa Bolsa Família; o benefício foi bloqueado em abril de 2023 e cancelado definitivamente em julho de 2023; o Recorrente somente procedeu à atualização cadastral em janeiro de 2025; as tentativas de comunicação da Administração foram frustradas em razão da desatualização dos dados de contato</w:t>
      </w:r>
      <w:r>
        <w:rPr>
          <w:rFonts w:ascii="Palatino Linotype" w:eastAsia="Palatino Linotype" w:hAnsi="Palatino Linotype" w:cs="Palatino Linotype"/>
          <w:color w:val="000000"/>
          <w:sz w:val="22"/>
          <w:szCs w:val="22"/>
        </w:rPr>
        <w:t>. Esses são os fatos. Não se pede que a TNU os reexamine.</w:t>
      </w:r>
    </w:p>
    <w:p w14:paraId="7C1CCF2C"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7844D201"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color w:val="000000"/>
          <w:sz w:val="22"/>
          <w:szCs w:val="22"/>
        </w:rPr>
        <w:t xml:space="preserve">O que se controverte, com exclusividade, é a qualificação jurídica da regularização cadastral posterior: </w:t>
      </w:r>
      <w:r>
        <w:rPr>
          <w:rFonts w:ascii="Palatino Linotype" w:eastAsia="Palatino Linotype" w:hAnsi="Palatino Linotype" w:cs="Palatino Linotype"/>
          <w:b/>
          <w:bCs/>
          <w:color w:val="000000"/>
          <w:sz w:val="22"/>
          <w:szCs w:val="22"/>
        </w:rPr>
        <w:t xml:space="preserve">uma vez promovida a atualização do </w:t>
      </w:r>
      <w:proofErr w:type="spellStart"/>
      <w:r>
        <w:rPr>
          <w:rFonts w:ascii="Palatino Linotype" w:eastAsia="Palatino Linotype" w:hAnsi="Palatino Linotype" w:cs="Palatino Linotype"/>
          <w:b/>
          <w:bCs/>
          <w:color w:val="000000"/>
          <w:sz w:val="22"/>
          <w:szCs w:val="22"/>
        </w:rPr>
        <w:t>CadÚnico</w:t>
      </w:r>
      <w:proofErr w:type="spellEnd"/>
      <w:r>
        <w:rPr>
          <w:rFonts w:ascii="Palatino Linotype" w:eastAsia="Palatino Linotype" w:hAnsi="Palatino Linotype" w:cs="Palatino Linotype"/>
          <w:b/>
          <w:bCs/>
          <w:color w:val="000000"/>
          <w:sz w:val="22"/>
          <w:szCs w:val="22"/>
        </w:rPr>
        <w:t xml:space="preserve"> pelo beneficiário, com consequente reinclusão no programa, configura-se a hipótese de "reversão </w:t>
      </w:r>
      <w:r>
        <w:rPr>
          <w:rFonts w:ascii="Palatino Linotype" w:eastAsia="Palatino Linotype" w:hAnsi="Palatino Linotype" w:cs="Palatino Linotype"/>
          <w:b/>
          <w:bCs/>
          <w:color w:val="000000"/>
          <w:sz w:val="22"/>
          <w:szCs w:val="22"/>
        </w:rPr>
        <w:lastRenderedPageBreak/>
        <w:t>do cancelamento" prevista no art. 27 da Portaria MDC nº 746/2022, que autoriza o pagamento das parcelas do período de interrupção? Ou, ao contrário, a inércia anterior do beneficiário importa em culpa exclusiva que afasta qualquer direito ao recebimento retroativo?</w:t>
      </w:r>
    </w:p>
    <w:p w14:paraId="0339567F"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49B7E96D"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Essa é uma questão exclusivamente de direito, indissociável da interpretação das normas que regem o programa. Em nenhum momento a recorrente pretende que a TNU reveja os fatos para alcançar conclusão diversa da moldura assentada. </w:t>
      </w:r>
    </w:p>
    <w:p w14:paraId="2F82E9A5"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4C4A30C3"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color w:val="000000"/>
          <w:sz w:val="22"/>
          <w:szCs w:val="22"/>
        </w:rPr>
        <w:t>A controvérsia é normativa, não probatória, o que afasta, de forma inequívoca, a incidência da Súmula 42 desta Corte.</w:t>
      </w:r>
    </w:p>
    <w:p w14:paraId="553D902A"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35D0879B"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 xml:space="preserve">V – COTEJO ANALÍTICO: DEMONSTRAÇÃO </w:t>
      </w:r>
    </w:p>
    <w:p w14:paraId="1BEF11D0"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DA DIVERGÊNCIA JURISPRUDENCIAL QUALIFICADA</w:t>
      </w:r>
    </w:p>
    <w:p w14:paraId="3D8B1D7F"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1CF76F2D"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5.1. A tese nuclear do acórdão recorrido</w:t>
      </w:r>
    </w:p>
    <w:p w14:paraId="5B70C340"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0FFF470B"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A 1ª Turma Recursal da SJTO, ao negar provimento ao recurso inominado nº 1005746-85.2025.4.01.4300, assentou que a omissão do beneficiário em promover a atualização cadastral configura culpa exclusiva, rompendo o nexo de causalidade e afastando a responsabilidade da Administração Pública pelo pagamento das parcelas retroativas. </w:t>
      </w:r>
    </w:p>
    <w:p w14:paraId="4F552DD6"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11CC5777"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O acórdão descartou expressamente a tese da "busca ativa" como dever absoluto e concluiu que a gestão do programa "exige uma cooperação mútua, na qual ao Estado compete gerir e fiscalizar, e ao cidadão, fornecer as informações necessárias para a fruição do seu direito". </w:t>
      </w:r>
    </w:p>
    <w:p w14:paraId="67443935"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3F53A34F"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Em síntese:</w:t>
      </w:r>
    </w:p>
    <w:p w14:paraId="06ACED9C"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33244055" w14:textId="77777777" w:rsidR="00E76325" w:rsidRDefault="00EE3B44">
      <w:pPr>
        <w:pBdr>
          <w:top w:val="nil"/>
          <w:left w:val="nil"/>
          <w:bottom w:val="nil"/>
          <w:right w:val="nil"/>
          <w:between w:val="nil"/>
        </w:pBdr>
        <w:ind w:left="567"/>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i/>
          <w:iCs/>
          <w:color w:val="000000"/>
          <w:sz w:val="22"/>
          <w:szCs w:val="22"/>
        </w:rPr>
        <w:t>"Diante desse quadro, conclui-se que o prejuízo alegado pelo Recorrente não decorreu de um ato ilícito da União, mas de sua própria inércia em atender a uma exigência procedimental legítima e essencial para a manutenção do benefício. A omissão do beneficiário configurou culpa exclusiva, rompendo o nexo de causalidade que poderia ensejar a responsabilidade civil do Estado." (Acórdão recorrido, item III.5)</w:t>
      </w:r>
    </w:p>
    <w:p w14:paraId="10C4BB5F"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6654F1B8"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A norma federal interpretada é a Lei nº 14.601/2023 e a Portaria MDC nº 746/2022, que regem as hipóteses de bloqueio, cancelamento e reversão de benefícios. </w:t>
      </w:r>
    </w:p>
    <w:p w14:paraId="63CA0140"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579ED32F"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color w:val="000000"/>
          <w:sz w:val="22"/>
          <w:szCs w:val="22"/>
        </w:rPr>
        <w:t>A moldura fática é a seguinte</w:t>
      </w:r>
      <w:r>
        <w:rPr>
          <w:rFonts w:ascii="Palatino Linotype" w:eastAsia="Palatino Linotype" w:hAnsi="Palatino Linotype" w:cs="Palatino Linotype"/>
          <w:b/>
          <w:bCs/>
          <w:color w:val="000000"/>
          <w:sz w:val="22"/>
          <w:szCs w:val="22"/>
        </w:rPr>
        <w:t xml:space="preserve">: beneficiário que não atualizou o </w:t>
      </w:r>
      <w:proofErr w:type="spellStart"/>
      <w:r>
        <w:rPr>
          <w:rFonts w:ascii="Palatino Linotype" w:eastAsia="Palatino Linotype" w:hAnsi="Palatino Linotype" w:cs="Palatino Linotype"/>
          <w:b/>
          <w:bCs/>
          <w:color w:val="000000"/>
          <w:sz w:val="22"/>
          <w:szCs w:val="22"/>
        </w:rPr>
        <w:t>CadÚnico</w:t>
      </w:r>
      <w:proofErr w:type="spellEnd"/>
      <w:r>
        <w:rPr>
          <w:rFonts w:ascii="Palatino Linotype" w:eastAsia="Palatino Linotype" w:hAnsi="Palatino Linotype" w:cs="Palatino Linotype"/>
          <w:b/>
          <w:bCs/>
          <w:color w:val="000000"/>
          <w:sz w:val="22"/>
          <w:szCs w:val="22"/>
        </w:rPr>
        <w:t xml:space="preserve"> no prazo; bloqueio e posterior cancelamento do benefício; regularização posterior do cadastro; preenchimento ininterrupto dos requisitos materiais de elegibilidade. </w:t>
      </w:r>
    </w:p>
    <w:p w14:paraId="0318913D"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b/>
          <w:bCs/>
          <w:color w:val="000000"/>
          <w:sz w:val="10"/>
          <w:szCs w:val="10"/>
        </w:rPr>
      </w:pPr>
    </w:p>
    <w:p w14:paraId="6088787F"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O resultado: improcedência do pedido de parcelas retroativas.</w:t>
      </w:r>
    </w:p>
    <w:p w14:paraId="6E8387D6"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46FF1C92"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5.2. O acórdão paradigma – 14ª Turma Recursal de São Paulo / TRF-3: Recurso Inominado Cível nº 5031508-26.2024.4.03.6301</w:t>
      </w:r>
    </w:p>
    <w:p w14:paraId="43F7E262"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17B49F2C"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A 14ª Turma Recursal da Seção Judiciária de São Paulo, ao julgar o Recurso Inominado Cível nº 5031508-26.2024.4.03.6301, em 06/06/2025, de relatoria da Juíza Federal Fernanda Souza Hutzler, por unanimidade, deu provimento ao recurso do beneficiário e </w:t>
      </w:r>
      <w:r>
        <w:rPr>
          <w:rFonts w:ascii="Palatino Linotype" w:eastAsia="Palatino Linotype" w:hAnsi="Palatino Linotype" w:cs="Palatino Linotype"/>
          <w:color w:val="000000"/>
          <w:sz w:val="22"/>
          <w:szCs w:val="22"/>
        </w:rPr>
        <w:lastRenderedPageBreak/>
        <w:t>reconheceu o direito às parcelas do período de interrupção do benefício, em caso em que o autor igualmente havia deixado de proceder à atualização cadastral. A ementa é a seguinte:</w:t>
      </w:r>
    </w:p>
    <w:p w14:paraId="074B1F19"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67F4B9D4" w14:textId="77777777" w:rsidR="00E76325" w:rsidRDefault="00EE3B44">
      <w:pPr>
        <w:pBdr>
          <w:top w:val="nil"/>
          <w:left w:val="nil"/>
          <w:bottom w:val="nil"/>
          <w:right w:val="nil"/>
          <w:between w:val="nil"/>
        </w:pBdr>
        <w:ind w:left="709"/>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i/>
          <w:iCs/>
          <w:color w:val="000000"/>
          <w:sz w:val="22"/>
          <w:szCs w:val="22"/>
        </w:rPr>
        <w:t>"ADMINISTRATIVO. PROGRAMA BOLSA FAMÍLIA (LEI N. 14.601/2023). AUTOR CONSTITUI GRUPO FAMILIAR UNIPESSOAL. ATUALIZAÇÃO INSCRIÇÃO CADÚNICO. REINCLUSÃO NO PROGRAMA FEDERAL DE TRANSFERÊNCIA DE RENDA EFETIVADA NA VIA ADMINISTRATIVA. DEFERIMENTO DAS PARCELAS DO BENEFÍCIO ANTERIORMENTE CANCELADAS. 1. Recurso em face de sentença que julgou improcedente pedido para pagamento de parcelas do Programa Bolsa Família</w:t>
      </w:r>
      <w:r>
        <w:rPr>
          <w:rFonts w:ascii="Palatino Linotype" w:eastAsia="Palatino Linotype" w:hAnsi="Palatino Linotype" w:cs="Palatino Linotype"/>
          <w:b/>
          <w:bCs/>
          <w:i/>
          <w:iCs/>
          <w:color w:val="000000"/>
          <w:sz w:val="22"/>
          <w:szCs w:val="22"/>
        </w:rPr>
        <w:t xml:space="preserve">. 2. No caso dos autos, o autor deixou de proceder a atualização cadastral por mais de quarenta e oito meses, resultando no cancelamento do benefício pela exclusão do </w:t>
      </w:r>
      <w:proofErr w:type="spellStart"/>
      <w:r>
        <w:rPr>
          <w:rFonts w:ascii="Palatino Linotype" w:eastAsia="Palatino Linotype" w:hAnsi="Palatino Linotype" w:cs="Palatino Linotype"/>
          <w:b/>
          <w:bCs/>
          <w:i/>
          <w:iCs/>
          <w:color w:val="000000"/>
          <w:sz w:val="22"/>
          <w:szCs w:val="22"/>
        </w:rPr>
        <w:t>CadÚnico</w:t>
      </w:r>
      <w:proofErr w:type="spellEnd"/>
      <w:r>
        <w:rPr>
          <w:rFonts w:ascii="Palatino Linotype" w:eastAsia="Palatino Linotype" w:hAnsi="Palatino Linotype" w:cs="Palatino Linotype"/>
          <w:b/>
          <w:bCs/>
          <w:i/>
          <w:iCs/>
          <w:color w:val="000000"/>
          <w:sz w:val="22"/>
          <w:szCs w:val="22"/>
        </w:rPr>
        <w:t>. Considerando que após o cancelamento procedeu a regularização, com reavaliação das condições de elegibilidade na via administrativa, seguindo-se da reinclusão no programa e retomada pagamento, restou caracterizada a reversão do cancelamento (art. 27 da Portaria MDC n. 746/2022), possibilitando o recebimento das parcelas do período de</w:t>
      </w:r>
      <w:r>
        <w:rPr>
          <w:rFonts w:ascii="Palatino Linotype" w:eastAsia="Palatino Linotype" w:hAnsi="Palatino Linotype" w:cs="Palatino Linotype"/>
          <w:b/>
          <w:bCs/>
          <w:i/>
          <w:iCs/>
          <w:color w:val="000000"/>
          <w:sz w:val="22"/>
          <w:szCs w:val="22"/>
        </w:rPr>
        <w:t xml:space="preserve"> interrupção, limitada em seis meses.</w:t>
      </w:r>
      <w:r>
        <w:rPr>
          <w:rFonts w:ascii="Palatino Linotype" w:eastAsia="Palatino Linotype" w:hAnsi="Palatino Linotype" w:cs="Palatino Linotype"/>
          <w:i/>
          <w:iCs/>
          <w:color w:val="000000"/>
          <w:sz w:val="22"/>
          <w:szCs w:val="22"/>
        </w:rPr>
        <w:t xml:space="preserve"> 3. Recurso da parte autora provido." (TRF-3 – </w:t>
      </w:r>
      <w:proofErr w:type="spellStart"/>
      <w:r>
        <w:rPr>
          <w:rFonts w:ascii="Palatino Linotype" w:eastAsia="Palatino Linotype" w:hAnsi="Palatino Linotype" w:cs="Palatino Linotype"/>
          <w:i/>
          <w:iCs/>
          <w:color w:val="000000"/>
          <w:sz w:val="22"/>
          <w:szCs w:val="22"/>
        </w:rPr>
        <w:t>RecInoCiv</w:t>
      </w:r>
      <w:proofErr w:type="spellEnd"/>
      <w:r>
        <w:rPr>
          <w:rFonts w:ascii="Palatino Linotype" w:eastAsia="Palatino Linotype" w:hAnsi="Palatino Linotype" w:cs="Palatino Linotype"/>
          <w:i/>
          <w:iCs/>
          <w:color w:val="000000"/>
          <w:sz w:val="22"/>
          <w:szCs w:val="22"/>
        </w:rPr>
        <w:t>: 5031508-26.2024.4.03.6301, Relator: Juíza Federal Fernanda Souza Hutzler, 14ª Turma Recursal da Seção Judiciária de São Paulo, julgado em 06/06/2025, publicado em 22/06/2025)</w:t>
      </w:r>
    </w:p>
    <w:p w14:paraId="3289D940"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6D6040EB"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No voto condutor, a relatora examinou o art. 27 da Portaria MDC nº 746/2022 e concluiu que a reavaliação das condições de elegibilidade na via administrativa, seguida da reinclusão do beneficiário no programa, caracteriza a hipótese de reversão do cancelamento, com a consequente geração das parcelas anteriormente canceladas, limitadas a seis meses. </w:t>
      </w:r>
    </w:p>
    <w:p w14:paraId="20A75AF4"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Norma interpretada: Lei nº 14.601/2023 e Portaria MDC nº 746/2022, art. 27. </w:t>
      </w:r>
    </w:p>
    <w:p w14:paraId="4F59058D"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2536D3EE"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Moldura fática: beneficiário que não atualizou o </w:t>
      </w:r>
      <w:proofErr w:type="spellStart"/>
      <w:r>
        <w:rPr>
          <w:rFonts w:ascii="Palatino Linotype" w:eastAsia="Palatino Linotype" w:hAnsi="Palatino Linotype" w:cs="Palatino Linotype"/>
          <w:color w:val="000000"/>
          <w:sz w:val="22"/>
          <w:szCs w:val="22"/>
        </w:rPr>
        <w:t>CadÚnico</w:t>
      </w:r>
      <w:proofErr w:type="spellEnd"/>
      <w:r>
        <w:rPr>
          <w:rFonts w:ascii="Palatino Linotype" w:eastAsia="Palatino Linotype" w:hAnsi="Palatino Linotype" w:cs="Palatino Linotype"/>
          <w:color w:val="000000"/>
          <w:sz w:val="22"/>
          <w:szCs w:val="22"/>
        </w:rPr>
        <w:t xml:space="preserve"> por mais de quarenta e oito meses; cancelamento do benefício; regularização posterior com reinclusão administrativa. </w:t>
      </w:r>
    </w:p>
    <w:p w14:paraId="436D25E8"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10"/>
          <w:szCs w:val="10"/>
        </w:rPr>
      </w:pPr>
    </w:p>
    <w:p w14:paraId="4D5403F5"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Resultado: procedência do pedido – pagamento das parcelas do período de interrupção.</w:t>
      </w:r>
    </w:p>
    <w:p w14:paraId="2B289D34"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5023AD81"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5.3. Quadro comparativo</w:t>
      </w:r>
    </w:p>
    <w:p w14:paraId="03C410FF"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13CCC607"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A divergência está demonstrada em suas três dimensões essenciais – identidade normativa, equivalência fática e oposição de resultados –, conforme o quadro a seguir:</w:t>
      </w:r>
    </w:p>
    <w:p w14:paraId="31D5C7A5"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7158DB42" w14:textId="77777777" w:rsidR="00E76325" w:rsidRDefault="00EE3B44">
      <w:pPr>
        <w:pBdr>
          <w:top w:val="nil"/>
          <w:left w:val="nil"/>
          <w:bottom w:val="nil"/>
          <w:right w:val="nil"/>
          <w:between w:val="nil"/>
        </w:pBdr>
        <w:ind w:left="567"/>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CRITÉRIO | ACÓRDÃO RECORRIDO (1ª TR SJTO/TRF-1) | ACÓRDÃO PARADIGMA (14ª TR SP/TRF-3)</w:t>
      </w:r>
    </w:p>
    <w:p w14:paraId="78E05667" w14:textId="77777777" w:rsidR="00E76325" w:rsidRDefault="00EE3B44">
      <w:pPr>
        <w:pBdr>
          <w:top w:val="nil"/>
          <w:left w:val="nil"/>
          <w:bottom w:val="nil"/>
          <w:right w:val="nil"/>
          <w:between w:val="nil"/>
        </w:pBdr>
        <w:ind w:left="567"/>
        <w:jc w:val="both"/>
        <w:rPr>
          <w:rFonts w:ascii="Palatino Linotype" w:eastAsia="Palatino Linotype" w:hAnsi="Palatino Linotype" w:cs="Palatino Linotype"/>
          <w:color w:val="000000"/>
          <w:sz w:val="22"/>
          <w:szCs w:val="22"/>
        </w:rPr>
      </w:pPr>
      <w:r>
        <w:rPr>
          <w:color w:val="000000"/>
          <w:sz w:val="22"/>
          <w:szCs w:val="22"/>
        </w:rPr>
        <w:t>─────────────────────────────────────────────────────────────────────</w:t>
      </w:r>
    </w:p>
    <w:p w14:paraId="515FAF1E" w14:textId="77777777" w:rsidR="00E76325" w:rsidRDefault="00EE3B44">
      <w:pPr>
        <w:pBdr>
          <w:top w:val="nil"/>
          <w:left w:val="nil"/>
          <w:bottom w:val="nil"/>
          <w:right w:val="nil"/>
          <w:between w:val="nil"/>
        </w:pBdr>
        <w:ind w:left="567"/>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Norma aplicada Lei nº 14.601/2023 + Port. MDC 746/2022 | Lei nº 14.601/2023 + Port. MDC 746/2022</w:t>
      </w:r>
    </w:p>
    <w:p w14:paraId="5ECDFBEC" w14:textId="77777777" w:rsidR="00E76325" w:rsidRDefault="00E76325">
      <w:pPr>
        <w:pBdr>
          <w:top w:val="nil"/>
          <w:left w:val="nil"/>
          <w:bottom w:val="nil"/>
          <w:right w:val="nil"/>
          <w:between w:val="nil"/>
        </w:pBdr>
        <w:ind w:left="567"/>
        <w:jc w:val="both"/>
        <w:rPr>
          <w:rFonts w:ascii="Palatino Linotype" w:eastAsia="Palatino Linotype" w:hAnsi="Palatino Linotype" w:cs="Palatino Linotype"/>
          <w:color w:val="000000"/>
          <w:sz w:val="10"/>
          <w:szCs w:val="10"/>
        </w:rPr>
      </w:pPr>
    </w:p>
    <w:p w14:paraId="1F466766" w14:textId="77777777" w:rsidR="00E76325" w:rsidRDefault="00EE3B44">
      <w:pPr>
        <w:pBdr>
          <w:top w:val="nil"/>
          <w:left w:val="nil"/>
          <w:bottom w:val="nil"/>
          <w:right w:val="nil"/>
          <w:between w:val="nil"/>
        </w:pBdr>
        <w:ind w:left="567"/>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Fato central: Beneficiário sem atualização cadastral; regularização posterior | Beneficiário sem atualização cadastral por +48 meses; regularização posterior</w:t>
      </w:r>
    </w:p>
    <w:p w14:paraId="6AF985A6" w14:textId="77777777" w:rsidR="00E76325" w:rsidRDefault="00E76325">
      <w:pPr>
        <w:pBdr>
          <w:top w:val="nil"/>
          <w:left w:val="nil"/>
          <w:bottom w:val="nil"/>
          <w:right w:val="nil"/>
          <w:between w:val="nil"/>
        </w:pBdr>
        <w:ind w:left="567"/>
        <w:jc w:val="both"/>
        <w:rPr>
          <w:rFonts w:ascii="Palatino Linotype" w:eastAsia="Palatino Linotype" w:hAnsi="Palatino Linotype" w:cs="Palatino Linotype"/>
          <w:color w:val="000000"/>
          <w:sz w:val="22"/>
          <w:szCs w:val="22"/>
        </w:rPr>
      </w:pPr>
    </w:p>
    <w:p w14:paraId="01892A18" w14:textId="77777777" w:rsidR="00E76325" w:rsidRDefault="00EE3B44">
      <w:pPr>
        <w:pBdr>
          <w:top w:val="nil"/>
          <w:left w:val="nil"/>
          <w:bottom w:val="nil"/>
          <w:right w:val="nil"/>
          <w:between w:val="nil"/>
        </w:pBdr>
        <w:ind w:left="567"/>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Reinclusão adm. | Sim (janeiro/2025) | Sim (setembro/2023)</w:t>
      </w:r>
    </w:p>
    <w:p w14:paraId="062086B5" w14:textId="77777777" w:rsidR="00E76325" w:rsidRDefault="00E76325">
      <w:pPr>
        <w:pBdr>
          <w:top w:val="nil"/>
          <w:left w:val="nil"/>
          <w:bottom w:val="nil"/>
          <w:right w:val="nil"/>
          <w:between w:val="nil"/>
        </w:pBdr>
        <w:ind w:left="567"/>
        <w:jc w:val="both"/>
        <w:rPr>
          <w:rFonts w:ascii="Palatino Linotype" w:eastAsia="Palatino Linotype" w:hAnsi="Palatino Linotype" w:cs="Palatino Linotype"/>
          <w:color w:val="000000"/>
          <w:sz w:val="22"/>
          <w:szCs w:val="22"/>
        </w:rPr>
      </w:pPr>
    </w:p>
    <w:p w14:paraId="28DC72C5" w14:textId="77777777" w:rsidR="00E76325" w:rsidRDefault="00EE3B44">
      <w:pPr>
        <w:pBdr>
          <w:top w:val="nil"/>
          <w:left w:val="nil"/>
          <w:bottom w:val="nil"/>
          <w:right w:val="nil"/>
          <w:between w:val="nil"/>
        </w:pBdr>
        <w:ind w:left="567"/>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Fundamento central | Culpa exclusiva; nexo causal afastado | Reversão do cancelamento (art. 27 Port. 746/2022)</w:t>
      </w:r>
    </w:p>
    <w:p w14:paraId="2C2BCA90" w14:textId="77777777" w:rsidR="00E76325" w:rsidRDefault="00E76325">
      <w:pPr>
        <w:pBdr>
          <w:top w:val="nil"/>
          <w:left w:val="nil"/>
          <w:bottom w:val="nil"/>
          <w:right w:val="nil"/>
          <w:between w:val="nil"/>
        </w:pBdr>
        <w:ind w:left="567"/>
        <w:jc w:val="both"/>
        <w:rPr>
          <w:rFonts w:ascii="Palatino Linotype" w:eastAsia="Palatino Linotype" w:hAnsi="Palatino Linotype" w:cs="Palatino Linotype"/>
          <w:color w:val="000000"/>
          <w:sz w:val="22"/>
          <w:szCs w:val="22"/>
        </w:rPr>
      </w:pPr>
    </w:p>
    <w:p w14:paraId="2706CC72" w14:textId="77777777" w:rsidR="00E76325" w:rsidRDefault="00EE3B44">
      <w:pPr>
        <w:pBdr>
          <w:top w:val="nil"/>
          <w:left w:val="nil"/>
          <w:bottom w:val="nil"/>
          <w:right w:val="nil"/>
          <w:between w:val="nil"/>
        </w:pBdr>
        <w:ind w:left="567"/>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Resultado | IMPROCEDÊNCIA | PROCEDÊNCIA – parcelas pagas</w:t>
      </w:r>
    </w:p>
    <w:p w14:paraId="4ADDF03E"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3F564CE8" w14:textId="77777777" w:rsidR="00E76325" w:rsidRDefault="00EE3B44">
      <w:pPr>
        <w:pBdr>
          <w:top w:val="nil"/>
          <w:left w:val="nil"/>
          <w:bottom w:val="nil"/>
          <w:right w:val="nil"/>
          <w:between w:val="nil"/>
        </w:pBdr>
        <w:ind w:left="-1134" w:firstLine="1560"/>
        <w:jc w:val="both"/>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O quadro demonstra, de forma inequívoca, que a norma federal interpretada é a mesma nos dois casos; a moldura fática é equivalente em todos os elementos essenciais; e as soluções jurídicas são diametralmente opostas. A divergência é real, qualificada e atual.</w:t>
      </w:r>
    </w:p>
    <w:p w14:paraId="6CD14249"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32E8DAD7"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VI – RAZÕES DE MÉRITO</w:t>
      </w:r>
    </w:p>
    <w:p w14:paraId="2A20285F"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2EB99C2E"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6.1. A reversão do cancelamento como categoria jurídica autônoma: a leitura do art. 27 da Portaria MDC nº 746/2022</w:t>
      </w:r>
    </w:p>
    <w:p w14:paraId="21A9581F"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78A654B5" w14:textId="77777777" w:rsidR="00E76325" w:rsidRDefault="00EE3B44">
      <w:pPr>
        <w:pBdr>
          <w:top w:val="nil"/>
          <w:left w:val="nil"/>
          <w:bottom w:val="nil"/>
          <w:right w:val="nil"/>
          <w:between w:val="nil"/>
        </w:pBdr>
        <w:ind w:left="-1134" w:firstLine="1560"/>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O ponto de ruptura entre o acórdão recorrido e o acórdão paradigma não é factual, mas normativo. O acórdão recorrido partiu da premissa de que a inércia cadastral do beneficiário configura, por si só, culpa exclusiva que afasta qualquer consequência jurídica favorável ao segurado, inclusive após sua regularização. </w:t>
      </w:r>
    </w:p>
    <w:p w14:paraId="200C8D7B" w14:textId="77777777" w:rsidR="00E76325" w:rsidRDefault="00E76325">
      <w:pPr>
        <w:pBdr>
          <w:top w:val="nil"/>
          <w:left w:val="nil"/>
          <w:bottom w:val="nil"/>
          <w:right w:val="nil"/>
          <w:between w:val="nil"/>
        </w:pBdr>
        <w:ind w:left="-1134" w:firstLine="1560"/>
        <w:jc w:val="both"/>
        <w:rPr>
          <w:rFonts w:ascii="Palatino Linotype" w:eastAsia="Palatino Linotype" w:hAnsi="Palatino Linotype" w:cs="Palatino Linotype"/>
          <w:color w:val="000000"/>
          <w:sz w:val="10"/>
          <w:szCs w:val="10"/>
        </w:rPr>
      </w:pPr>
    </w:p>
    <w:p w14:paraId="1C9C668D" w14:textId="77777777" w:rsidR="00E76325" w:rsidRDefault="00EE3B44">
      <w:pPr>
        <w:pBdr>
          <w:top w:val="nil"/>
          <w:left w:val="nil"/>
          <w:bottom w:val="nil"/>
          <w:right w:val="nil"/>
          <w:between w:val="nil"/>
        </w:pBdr>
        <w:ind w:left="-1134" w:firstLine="1560"/>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O acórdão paradigma, ao contrário, reconheceu que a regularização cadastral posterior, seguida de reinclusão administrativa, aciona o mecanismo da "reversão do cancelamento" previsto no art. 27 da Portaria MDC nº 746/2022, que tem eficácia retroativa limitada a seis meses.</w:t>
      </w:r>
    </w:p>
    <w:p w14:paraId="3716F1E9" w14:textId="77777777" w:rsidR="00E76325" w:rsidRDefault="00E76325">
      <w:pPr>
        <w:pBdr>
          <w:top w:val="nil"/>
          <w:left w:val="nil"/>
          <w:bottom w:val="nil"/>
          <w:right w:val="nil"/>
          <w:between w:val="nil"/>
        </w:pBdr>
        <w:ind w:left="-1134" w:firstLine="1560"/>
        <w:jc w:val="both"/>
        <w:rPr>
          <w:rFonts w:ascii="Palatino Linotype" w:eastAsia="Palatino Linotype" w:hAnsi="Palatino Linotype" w:cs="Palatino Linotype"/>
          <w:color w:val="000000"/>
          <w:sz w:val="10"/>
          <w:szCs w:val="10"/>
        </w:rPr>
      </w:pPr>
    </w:p>
    <w:p w14:paraId="064B4473" w14:textId="77777777" w:rsidR="00E76325" w:rsidRDefault="00EE3B44">
      <w:pPr>
        <w:pBdr>
          <w:top w:val="nil"/>
          <w:left w:val="nil"/>
          <w:bottom w:val="nil"/>
          <w:right w:val="nil"/>
          <w:between w:val="nil"/>
        </w:pBdr>
        <w:ind w:left="-1134" w:firstLine="1560"/>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Essa distinção é decisiva. O art. 27 da Portaria MDC nº 746/2022 prevê que a reversão do cancelamento tem como efeito a "disponibilização das parcelas de benefício anteriormente canceladas, caso a reavaliação resulte em liberação de benefícios". </w:t>
      </w:r>
    </w:p>
    <w:p w14:paraId="108DAA3A" w14:textId="77777777" w:rsidR="00E76325" w:rsidRDefault="00E76325">
      <w:pPr>
        <w:pBdr>
          <w:top w:val="nil"/>
          <w:left w:val="nil"/>
          <w:bottom w:val="nil"/>
          <w:right w:val="nil"/>
          <w:between w:val="nil"/>
        </w:pBdr>
        <w:ind w:left="-1134" w:firstLine="1560"/>
        <w:jc w:val="both"/>
        <w:rPr>
          <w:rFonts w:ascii="Palatino Linotype" w:eastAsia="Palatino Linotype" w:hAnsi="Palatino Linotype" w:cs="Palatino Linotype"/>
          <w:color w:val="000000"/>
          <w:sz w:val="10"/>
          <w:szCs w:val="10"/>
        </w:rPr>
      </w:pPr>
    </w:p>
    <w:p w14:paraId="25C81A42" w14:textId="77777777" w:rsidR="00E76325" w:rsidRDefault="00EE3B44">
      <w:pPr>
        <w:pBdr>
          <w:top w:val="nil"/>
          <w:left w:val="nil"/>
          <w:bottom w:val="nil"/>
          <w:right w:val="nil"/>
          <w:between w:val="nil"/>
        </w:pBdr>
        <w:ind w:left="-1134" w:firstLine="1560"/>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b/>
          <w:bCs/>
          <w:color w:val="000000"/>
          <w:sz w:val="22"/>
          <w:szCs w:val="22"/>
        </w:rPr>
        <w:t>A norma não exige que o cancelamento tenha decorrido de erro exclusivo da Administração. Ela opera objetivamente: havendo reavaliação com resultado favorável ao beneficiário e reinclusão no programa, as parcelas do período de interrupção são devidas, até o limite temporal previsto. A omissão cadastral anterior não extingue esse direito; é o resultado da reavaliação que o determina. O acórdão recorrido não aplicou essa categoria jurídica autônoma. Ao analisar o caso exclusivamente sob a perspectiva da respon</w:t>
      </w:r>
      <w:r>
        <w:rPr>
          <w:rFonts w:ascii="Palatino Linotype" w:eastAsia="Palatino Linotype" w:hAnsi="Palatino Linotype" w:cs="Palatino Linotype"/>
          <w:b/>
          <w:bCs/>
          <w:color w:val="000000"/>
          <w:sz w:val="22"/>
          <w:szCs w:val="22"/>
        </w:rPr>
        <w:t>sabilidade civil e da culpa exclusiva, deixou de examinar a questão sob o prisma regulatório do próprio programa assistencial, que criou, de forma clara, uma válvula de regularização retroativa.</w:t>
      </w:r>
      <w:r>
        <w:rPr>
          <w:rFonts w:ascii="Palatino Linotype" w:eastAsia="Palatino Linotype" w:hAnsi="Palatino Linotype" w:cs="Palatino Linotype"/>
          <w:color w:val="000000"/>
          <w:sz w:val="22"/>
          <w:szCs w:val="22"/>
        </w:rPr>
        <w:t xml:space="preserve"> </w:t>
      </w:r>
    </w:p>
    <w:p w14:paraId="08A42FBF" w14:textId="77777777" w:rsidR="00E76325" w:rsidRDefault="00E76325">
      <w:pPr>
        <w:pBdr>
          <w:top w:val="nil"/>
          <w:left w:val="nil"/>
          <w:bottom w:val="nil"/>
          <w:right w:val="nil"/>
          <w:between w:val="nil"/>
        </w:pBdr>
        <w:ind w:left="-1134" w:firstLine="1560"/>
        <w:jc w:val="both"/>
        <w:rPr>
          <w:rFonts w:ascii="Palatino Linotype" w:eastAsia="Palatino Linotype" w:hAnsi="Palatino Linotype" w:cs="Palatino Linotype"/>
          <w:color w:val="000000"/>
          <w:sz w:val="10"/>
          <w:szCs w:val="10"/>
        </w:rPr>
      </w:pPr>
    </w:p>
    <w:p w14:paraId="1DC856BB" w14:textId="77777777" w:rsidR="00E76325" w:rsidRDefault="00EE3B44">
      <w:pPr>
        <w:pBdr>
          <w:top w:val="nil"/>
          <w:left w:val="nil"/>
          <w:bottom w:val="nil"/>
          <w:right w:val="nil"/>
          <w:between w:val="nil"/>
        </w:pBdr>
        <w:ind w:left="-1134" w:firstLine="1560"/>
        <w:jc w:val="both"/>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color w:val="000000"/>
          <w:sz w:val="22"/>
          <w:szCs w:val="22"/>
        </w:rPr>
        <w:t>A omissão analítica compromete a completude da decisão e conduz a resultado que contraria a norma específica de regência.</w:t>
      </w:r>
    </w:p>
    <w:p w14:paraId="29B3FB15"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78B4227A"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6.2. O fato gerador do direito ao benefício é o preenchimento dos requisitos materiais de vulnerabilidade, e não a atualização cadastral</w:t>
      </w:r>
    </w:p>
    <w:p w14:paraId="319B97F5"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392172BD" w14:textId="77777777" w:rsidR="00E76325" w:rsidRDefault="00EE3B44">
      <w:pPr>
        <w:pBdr>
          <w:top w:val="nil"/>
          <w:left w:val="nil"/>
          <w:bottom w:val="nil"/>
          <w:right w:val="nil"/>
          <w:between w:val="nil"/>
        </w:pBdr>
        <w:ind w:left="-1134" w:firstLine="1560"/>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O acórdão recorrido, ao tratar a atualização cadastral como condição absoluta e intransponível, confundiu o requisito procedimental com o fato gerador do direito. </w:t>
      </w:r>
    </w:p>
    <w:p w14:paraId="533B833E" w14:textId="77777777" w:rsidR="00E76325" w:rsidRDefault="00E76325">
      <w:pPr>
        <w:pBdr>
          <w:top w:val="nil"/>
          <w:left w:val="nil"/>
          <w:bottom w:val="nil"/>
          <w:right w:val="nil"/>
          <w:between w:val="nil"/>
        </w:pBdr>
        <w:ind w:left="-1134" w:firstLine="1560"/>
        <w:jc w:val="both"/>
        <w:rPr>
          <w:rFonts w:ascii="Palatino Linotype" w:eastAsia="Palatino Linotype" w:hAnsi="Palatino Linotype" w:cs="Palatino Linotype"/>
          <w:color w:val="000000"/>
          <w:sz w:val="10"/>
          <w:szCs w:val="10"/>
        </w:rPr>
      </w:pPr>
    </w:p>
    <w:p w14:paraId="2D26BF69" w14:textId="77777777" w:rsidR="00E76325" w:rsidRDefault="00EE3B44">
      <w:pPr>
        <w:pBdr>
          <w:top w:val="nil"/>
          <w:left w:val="nil"/>
          <w:bottom w:val="nil"/>
          <w:right w:val="nil"/>
          <w:between w:val="nil"/>
        </w:pBdr>
        <w:ind w:left="-1134" w:firstLine="1560"/>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A Lei nº 14.601/2023 estabelece, em seus </w:t>
      </w:r>
      <w:proofErr w:type="spellStart"/>
      <w:r>
        <w:rPr>
          <w:rFonts w:ascii="Palatino Linotype" w:eastAsia="Palatino Linotype" w:hAnsi="Palatino Linotype" w:cs="Palatino Linotype"/>
          <w:color w:val="000000"/>
          <w:sz w:val="22"/>
          <w:szCs w:val="22"/>
        </w:rPr>
        <w:t>arts</w:t>
      </w:r>
      <w:proofErr w:type="spellEnd"/>
      <w:r>
        <w:rPr>
          <w:rFonts w:ascii="Palatino Linotype" w:eastAsia="Palatino Linotype" w:hAnsi="Palatino Linotype" w:cs="Palatino Linotype"/>
          <w:color w:val="000000"/>
          <w:sz w:val="22"/>
          <w:szCs w:val="22"/>
        </w:rPr>
        <w:t xml:space="preserve">. 4º e 5º, que os critérios de elegibilidade ao Programa Bolsa Família são a baixa renda e a composição familiar. </w:t>
      </w:r>
    </w:p>
    <w:p w14:paraId="4289E979" w14:textId="77777777" w:rsidR="00E76325" w:rsidRDefault="00E76325">
      <w:pPr>
        <w:pBdr>
          <w:top w:val="nil"/>
          <w:left w:val="nil"/>
          <w:bottom w:val="nil"/>
          <w:right w:val="nil"/>
          <w:between w:val="nil"/>
        </w:pBdr>
        <w:ind w:left="-1134" w:firstLine="1560"/>
        <w:jc w:val="both"/>
        <w:rPr>
          <w:rFonts w:ascii="Palatino Linotype" w:eastAsia="Palatino Linotype" w:hAnsi="Palatino Linotype" w:cs="Palatino Linotype"/>
          <w:color w:val="000000"/>
          <w:sz w:val="10"/>
          <w:szCs w:val="10"/>
        </w:rPr>
      </w:pPr>
    </w:p>
    <w:p w14:paraId="3FCEA7FD" w14:textId="77777777" w:rsidR="00E76325" w:rsidRDefault="00EE3B44">
      <w:pPr>
        <w:pBdr>
          <w:top w:val="nil"/>
          <w:left w:val="nil"/>
          <w:bottom w:val="nil"/>
          <w:right w:val="nil"/>
          <w:between w:val="nil"/>
        </w:pBdr>
        <w:ind w:left="-1134" w:firstLine="1560"/>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O </w:t>
      </w:r>
      <w:proofErr w:type="spellStart"/>
      <w:r>
        <w:rPr>
          <w:rFonts w:ascii="Palatino Linotype" w:eastAsia="Palatino Linotype" w:hAnsi="Palatino Linotype" w:cs="Palatino Linotype"/>
          <w:color w:val="000000"/>
          <w:sz w:val="22"/>
          <w:szCs w:val="22"/>
        </w:rPr>
        <w:t>CadÚnico</w:t>
      </w:r>
      <w:proofErr w:type="spellEnd"/>
      <w:r>
        <w:rPr>
          <w:rFonts w:ascii="Palatino Linotype" w:eastAsia="Palatino Linotype" w:hAnsi="Palatino Linotype" w:cs="Palatino Linotype"/>
          <w:color w:val="000000"/>
          <w:sz w:val="22"/>
          <w:szCs w:val="22"/>
        </w:rPr>
        <w:t xml:space="preserve"> é o instrumento de identificação e verificação dessas condições, não a fonte do direito em si. </w:t>
      </w:r>
    </w:p>
    <w:p w14:paraId="760F775D" w14:textId="77777777" w:rsidR="00E76325" w:rsidRDefault="00E76325">
      <w:pPr>
        <w:pBdr>
          <w:top w:val="nil"/>
          <w:left w:val="nil"/>
          <w:bottom w:val="nil"/>
          <w:right w:val="nil"/>
          <w:between w:val="nil"/>
        </w:pBdr>
        <w:ind w:left="-1134" w:firstLine="1560"/>
        <w:jc w:val="both"/>
        <w:rPr>
          <w:rFonts w:ascii="Palatino Linotype" w:eastAsia="Palatino Linotype" w:hAnsi="Palatino Linotype" w:cs="Palatino Linotype"/>
          <w:color w:val="000000"/>
          <w:sz w:val="10"/>
          <w:szCs w:val="10"/>
        </w:rPr>
      </w:pPr>
    </w:p>
    <w:p w14:paraId="4A631E8D" w14:textId="77777777" w:rsidR="00E76325" w:rsidRDefault="00EE3B44">
      <w:pPr>
        <w:pBdr>
          <w:top w:val="nil"/>
          <w:left w:val="nil"/>
          <w:bottom w:val="nil"/>
          <w:right w:val="nil"/>
          <w:between w:val="nil"/>
        </w:pBdr>
        <w:ind w:left="-1134" w:firstLine="1560"/>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O próprio acórdão recorrido reconheceu, expressamente, que o Recorrente preenchia todos os requisitos materiais de elegibilidade no período controvertido – vulnerabilidade socioeconômica e renda familiar nula. </w:t>
      </w:r>
    </w:p>
    <w:p w14:paraId="5797D320" w14:textId="77777777" w:rsidR="00E76325" w:rsidRDefault="00E76325">
      <w:pPr>
        <w:pBdr>
          <w:top w:val="nil"/>
          <w:left w:val="nil"/>
          <w:bottom w:val="nil"/>
          <w:right w:val="nil"/>
          <w:between w:val="nil"/>
        </w:pBdr>
        <w:ind w:left="-1134" w:firstLine="1560"/>
        <w:jc w:val="both"/>
        <w:rPr>
          <w:rFonts w:ascii="Palatino Linotype" w:eastAsia="Palatino Linotype" w:hAnsi="Palatino Linotype" w:cs="Palatino Linotype"/>
          <w:color w:val="000000"/>
          <w:sz w:val="10"/>
          <w:szCs w:val="10"/>
        </w:rPr>
      </w:pPr>
    </w:p>
    <w:p w14:paraId="768B4C89" w14:textId="77777777" w:rsidR="00E76325" w:rsidRDefault="00EE3B44">
      <w:pPr>
        <w:pBdr>
          <w:top w:val="nil"/>
          <w:left w:val="nil"/>
          <w:bottom w:val="nil"/>
          <w:right w:val="nil"/>
          <w:between w:val="nil"/>
        </w:pBdr>
        <w:ind w:left="-1134" w:firstLine="1560"/>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Essa constatação é suficiente para demonstrar que o direito ao benefício existia. O bloqueio e o cancelamento foram consequências de um requisito procedimental – a atualização cadastral – cujo descumprimento, uma vez sanado com a posterior reinclusão no programa, deveria ter acionado o mecanismo legal de reversão do cancelamento.</w:t>
      </w:r>
    </w:p>
    <w:p w14:paraId="590422C6" w14:textId="77777777" w:rsidR="00E76325" w:rsidRDefault="00E76325">
      <w:pPr>
        <w:pBdr>
          <w:top w:val="nil"/>
          <w:left w:val="nil"/>
          <w:bottom w:val="nil"/>
          <w:right w:val="nil"/>
          <w:between w:val="nil"/>
        </w:pBdr>
        <w:ind w:left="-1134" w:firstLine="1560"/>
        <w:jc w:val="both"/>
        <w:rPr>
          <w:rFonts w:ascii="Palatino Linotype" w:eastAsia="Palatino Linotype" w:hAnsi="Palatino Linotype" w:cs="Palatino Linotype"/>
          <w:color w:val="000000"/>
          <w:sz w:val="10"/>
          <w:szCs w:val="10"/>
        </w:rPr>
      </w:pPr>
    </w:p>
    <w:p w14:paraId="0EB6DB47" w14:textId="77777777" w:rsidR="00E76325" w:rsidRDefault="00EE3B44">
      <w:pPr>
        <w:pBdr>
          <w:top w:val="nil"/>
          <w:left w:val="nil"/>
          <w:bottom w:val="nil"/>
          <w:right w:val="nil"/>
          <w:between w:val="nil"/>
        </w:pBdr>
        <w:ind w:left="-1134" w:firstLine="1560"/>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Tratar o procedimento como se fosse o direito substancial, e negar o benefício a quem comprovadamente necessitava dele no período, contraria a finalidade do programa. Como afirmou o acórdão paradigma, a reinclusão administrativa confirma a elegibilidade e aciona a consequência jurídica prevista na norma regulamentadora. A abordagem do acórdão recorrido, ao contrário, produz resultado incompatível com o objetivo constitucional e legal do Bolsa Família, que é o combate à pobreza e a garantia do direito social</w:t>
      </w:r>
      <w:r>
        <w:rPr>
          <w:rFonts w:ascii="Palatino Linotype" w:eastAsia="Palatino Linotype" w:hAnsi="Palatino Linotype" w:cs="Palatino Linotype"/>
          <w:color w:val="000000"/>
          <w:sz w:val="22"/>
          <w:szCs w:val="22"/>
        </w:rPr>
        <w:t xml:space="preserve"> à alimentação.</w:t>
      </w:r>
    </w:p>
    <w:p w14:paraId="1806E200"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b/>
          <w:bCs/>
          <w:color w:val="000000"/>
          <w:sz w:val="22"/>
          <w:szCs w:val="22"/>
        </w:rPr>
      </w:pPr>
    </w:p>
    <w:p w14:paraId="5B18DE1C"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6.3. Os princípios da dignidade da pessoa humana e da máxima efetividade dos direitos sociais como vetores interpretativos</w:t>
      </w:r>
    </w:p>
    <w:p w14:paraId="640DB648"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7D16C763" w14:textId="77777777" w:rsidR="00E76325" w:rsidRDefault="00EE3B44">
      <w:pPr>
        <w:pBdr>
          <w:top w:val="nil"/>
          <w:left w:val="nil"/>
          <w:bottom w:val="nil"/>
          <w:right w:val="nil"/>
          <w:between w:val="nil"/>
        </w:pBdr>
        <w:ind w:left="-1134" w:firstLine="1560"/>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 xml:space="preserve">O Programa Bolsa Família é expressão direta do direito social à alimentação, previsto no art. 6º da Constituição Federal, e do princípio da dignidade da pessoa humana, fundamento da República. </w:t>
      </w:r>
    </w:p>
    <w:p w14:paraId="6DEC1BFF" w14:textId="77777777" w:rsidR="00E76325" w:rsidRDefault="00E76325">
      <w:pPr>
        <w:pBdr>
          <w:top w:val="nil"/>
          <w:left w:val="nil"/>
          <w:bottom w:val="nil"/>
          <w:right w:val="nil"/>
          <w:between w:val="nil"/>
        </w:pBdr>
        <w:ind w:left="-1134" w:firstLine="1560"/>
        <w:jc w:val="both"/>
        <w:rPr>
          <w:rFonts w:ascii="Palatino Linotype" w:eastAsia="Palatino Linotype" w:hAnsi="Palatino Linotype" w:cs="Palatino Linotype"/>
          <w:b/>
          <w:bCs/>
          <w:color w:val="000000"/>
          <w:sz w:val="10"/>
          <w:szCs w:val="10"/>
        </w:rPr>
      </w:pPr>
    </w:p>
    <w:p w14:paraId="15FAE95F" w14:textId="77777777" w:rsidR="00E76325" w:rsidRDefault="00EE3B44">
      <w:pPr>
        <w:pBdr>
          <w:top w:val="nil"/>
          <w:left w:val="nil"/>
          <w:bottom w:val="nil"/>
          <w:right w:val="nil"/>
          <w:between w:val="nil"/>
        </w:pBdr>
        <w:ind w:left="-1134" w:firstLine="1560"/>
        <w:jc w:val="both"/>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A interpretação das normas que o regem não pode abstrair essa dimensão constitucional. Negar o pagamento de parcelas a um beneficiário que comprovadamente preenchia os requisitos materiais durante o período de interrupção, e cuja reinclusão administrativa confirmou essa elegibilidade, produz resultado incompatível com os objetivos do programa e com o princípio da máxima efetividade dos direitos sociais.</w:t>
      </w:r>
    </w:p>
    <w:p w14:paraId="55D78BFF" w14:textId="77777777" w:rsidR="00E76325" w:rsidRDefault="00E76325">
      <w:pPr>
        <w:pBdr>
          <w:top w:val="nil"/>
          <w:left w:val="nil"/>
          <w:bottom w:val="nil"/>
          <w:right w:val="nil"/>
          <w:between w:val="nil"/>
        </w:pBdr>
        <w:ind w:left="-1134" w:firstLine="1560"/>
        <w:jc w:val="both"/>
        <w:rPr>
          <w:rFonts w:ascii="Palatino Linotype" w:eastAsia="Palatino Linotype" w:hAnsi="Palatino Linotype" w:cs="Palatino Linotype"/>
          <w:color w:val="000000"/>
          <w:sz w:val="10"/>
          <w:szCs w:val="10"/>
        </w:rPr>
      </w:pPr>
    </w:p>
    <w:p w14:paraId="49228F1A" w14:textId="77777777" w:rsidR="00E76325" w:rsidRDefault="00EE3B44">
      <w:pPr>
        <w:pBdr>
          <w:top w:val="nil"/>
          <w:left w:val="nil"/>
          <w:bottom w:val="nil"/>
          <w:right w:val="nil"/>
          <w:between w:val="nil"/>
        </w:pBdr>
        <w:ind w:left="-1134" w:firstLine="1560"/>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O art. 27 da Portaria MDC nº 746/2022 deve ser interpretado à luz desses princípios, como instrumento de proteção retroativa para hipóteses em que a interrupção do benefício não refletiu a inexistência do direito, mas apenas a pendência de uma exigência procedimental. A interpretação adotada pelo acórdão paradigma alinha-se a essa compreensão e merece ser consolidada como o entendimento uniforme aplicável a toda a jurisdição dos Juizados Especiais Federais.</w:t>
      </w:r>
    </w:p>
    <w:p w14:paraId="4DD8ADA3"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0C8A3437"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VII – TESE JURÍDICA A SER FIXADA E PEDIDO</w:t>
      </w:r>
    </w:p>
    <w:p w14:paraId="2D01C7F8"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38615275" w14:textId="77777777" w:rsidR="00E76325" w:rsidRDefault="00EE3B44">
      <w:pPr>
        <w:pBdr>
          <w:top w:val="nil"/>
          <w:left w:val="nil"/>
          <w:bottom w:val="nil"/>
          <w:right w:val="nil"/>
          <w:between w:val="nil"/>
        </w:pBdr>
        <w:ind w:left="-1134" w:firstLine="1560"/>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lastRenderedPageBreak/>
        <w:t>Com fundamento em tudo o que foi exposto, requer-se que esta Colenda Turma Nacional de Uniformização fixe a seguinte tese jurídica:</w:t>
      </w:r>
    </w:p>
    <w:p w14:paraId="08A5126C"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3FC06A63" w14:textId="77777777" w:rsidR="00E76325" w:rsidRDefault="00EE3B44">
      <w:pPr>
        <w:pBdr>
          <w:top w:val="nil"/>
          <w:left w:val="nil"/>
          <w:bottom w:val="nil"/>
          <w:right w:val="nil"/>
          <w:between w:val="nil"/>
        </w:pBdr>
        <w:ind w:left="426"/>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i/>
          <w:iCs/>
          <w:color w:val="000000"/>
          <w:sz w:val="22"/>
          <w:szCs w:val="22"/>
        </w:rPr>
        <w:t>"A regularização cadastral no Cadastro Único para Programas Sociais do Governo Federal (</w:t>
      </w:r>
      <w:proofErr w:type="spellStart"/>
      <w:r>
        <w:rPr>
          <w:rFonts w:ascii="Palatino Linotype" w:eastAsia="Palatino Linotype" w:hAnsi="Palatino Linotype" w:cs="Palatino Linotype"/>
          <w:i/>
          <w:iCs/>
          <w:color w:val="000000"/>
          <w:sz w:val="22"/>
          <w:szCs w:val="22"/>
        </w:rPr>
        <w:t>CadÚnico</w:t>
      </w:r>
      <w:proofErr w:type="spellEnd"/>
      <w:r>
        <w:rPr>
          <w:rFonts w:ascii="Palatino Linotype" w:eastAsia="Palatino Linotype" w:hAnsi="Palatino Linotype" w:cs="Palatino Linotype"/>
          <w:i/>
          <w:iCs/>
          <w:color w:val="000000"/>
          <w:sz w:val="22"/>
          <w:szCs w:val="22"/>
        </w:rPr>
        <w:t>), quando seguida de reavaliação das condições de elegibilidade com resultado favorável e de reinclusão administrativa no Programa Bolsa Família, caracteriza a hipótese de reversão do cancelamento prevista no art. 27 da Portaria MDC nº 746/2022, gerando o direito ao recebimento das parcelas do período de interrupção, limitadas a seis meses, independentemente de o cancelamento anterior ter decorrido de omissão do próprio beneficiário, desde que este preenchia, durante o período controvertido, os requ</w:t>
      </w:r>
      <w:r>
        <w:rPr>
          <w:rFonts w:ascii="Palatino Linotype" w:eastAsia="Palatino Linotype" w:hAnsi="Palatino Linotype" w:cs="Palatino Linotype"/>
          <w:i/>
          <w:iCs/>
          <w:color w:val="000000"/>
          <w:sz w:val="22"/>
          <w:szCs w:val="22"/>
        </w:rPr>
        <w:t>isitos materiais de elegibilidade ao programa."</w:t>
      </w:r>
    </w:p>
    <w:p w14:paraId="53BE37CC"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436F7329" w14:textId="77777777" w:rsidR="00E76325" w:rsidRDefault="00EE3B44">
      <w:pPr>
        <w:pBdr>
          <w:top w:val="nil"/>
          <w:left w:val="nil"/>
          <w:bottom w:val="nil"/>
          <w:right w:val="nil"/>
          <w:between w:val="nil"/>
        </w:pBdr>
        <w:ind w:left="-1134" w:firstLine="1560"/>
        <w:jc w:val="both"/>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Com base na tese acima, requer a Recorrente:</w:t>
      </w:r>
    </w:p>
    <w:p w14:paraId="25A1D4DF" w14:textId="77777777" w:rsidR="00E76325" w:rsidRDefault="00E76325">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p>
    <w:p w14:paraId="4C7034D8" w14:textId="77777777" w:rsidR="00E76325" w:rsidRDefault="00EE3B44">
      <w:pPr>
        <w:pBdr>
          <w:top w:val="nil"/>
          <w:left w:val="nil"/>
          <w:bottom w:val="nil"/>
          <w:right w:val="nil"/>
          <w:between w:val="nil"/>
        </w:pBdr>
        <w:ind w:left="426"/>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a) O conhecimento do presente Incidente de Uniformização de Interpretação de Lei Federal, ante a demonstração do dissídio jurisprudencial qualificado entre a 1ª Turma Recursal da SJTO/TRF-1 e a 14ª Turma Recursal de São Paulo/TRF-3, com identidade da norma federal interpretada, equivalência da moldura fática e soluções jurídicas diametralmente opostas, na forma do art. 14, § 2º, da Lei nº 10.259/2001;</w:t>
      </w:r>
    </w:p>
    <w:p w14:paraId="07A82767" w14:textId="77777777" w:rsidR="00E76325" w:rsidRDefault="00E76325">
      <w:pPr>
        <w:pBdr>
          <w:top w:val="nil"/>
          <w:left w:val="nil"/>
          <w:bottom w:val="nil"/>
          <w:right w:val="nil"/>
          <w:between w:val="nil"/>
        </w:pBdr>
        <w:ind w:left="426"/>
        <w:jc w:val="both"/>
        <w:rPr>
          <w:rFonts w:ascii="Palatino Linotype" w:eastAsia="Palatino Linotype" w:hAnsi="Palatino Linotype" w:cs="Palatino Linotype"/>
          <w:color w:val="000000"/>
          <w:sz w:val="10"/>
          <w:szCs w:val="10"/>
        </w:rPr>
      </w:pPr>
    </w:p>
    <w:p w14:paraId="58FC413B" w14:textId="77777777" w:rsidR="00E76325" w:rsidRDefault="00EE3B44">
      <w:pPr>
        <w:pBdr>
          <w:top w:val="nil"/>
          <w:left w:val="nil"/>
          <w:bottom w:val="nil"/>
          <w:right w:val="nil"/>
          <w:between w:val="nil"/>
        </w:pBdr>
        <w:ind w:left="426"/>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b) O provimento do incidente, com determinação de adequação do julgado recorrido à tese a ser uniformizada, para que seja reconhecido o direito do Recorrente ao recebimento das parcelas do Programa Bolsa Família referentes ao período de abril a novembro de 2023, ou ao período que se mostrar cabível à luz da limitação temporal prevista no art. 27, §§ 3º e 4º, da Portaria MDC nº 746/2022, com a consequente condenação da União Federal ao pagamento das referidas parcelas;</w:t>
      </w:r>
    </w:p>
    <w:p w14:paraId="605F51B8" w14:textId="77777777" w:rsidR="00E76325" w:rsidRDefault="00E76325">
      <w:pPr>
        <w:pBdr>
          <w:top w:val="nil"/>
          <w:left w:val="nil"/>
          <w:bottom w:val="nil"/>
          <w:right w:val="nil"/>
          <w:between w:val="nil"/>
        </w:pBdr>
        <w:ind w:left="426"/>
        <w:jc w:val="both"/>
        <w:rPr>
          <w:rFonts w:ascii="Palatino Linotype" w:eastAsia="Palatino Linotype" w:hAnsi="Palatino Linotype" w:cs="Palatino Linotype"/>
          <w:color w:val="000000"/>
          <w:sz w:val="10"/>
          <w:szCs w:val="10"/>
        </w:rPr>
      </w:pPr>
    </w:p>
    <w:p w14:paraId="43CEDF27" w14:textId="77777777" w:rsidR="00E76325" w:rsidRDefault="00EE3B44">
      <w:pPr>
        <w:pBdr>
          <w:top w:val="nil"/>
          <w:left w:val="nil"/>
          <w:bottom w:val="nil"/>
          <w:right w:val="nil"/>
          <w:between w:val="nil"/>
        </w:pBdr>
        <w:ind w:left="426"/>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c) Subsidiariamente, caso Vossa Excelência entenda necessária a produção de prova complementar, seja determinada a conversão do julgamento em diligência para que a União Federal informe os dados cadastrais e administrativos do Recorrente, especificando os termos e a eficácia das notificações realizadas antes do cancelamento definitivo do benefício;</w:t>
      </w:r>
    </w:p>
    <w:p w14:paraId="7253B6CD" w14:textId="77777777" w:rsidR="00E76325" w:rsidRDefault="00E76325">
      <w:pPr>
        <w:pBdr>
          <w:top w:val="nil"/>
          <w:left w:val="nil"/>
          <w:bottom w:val="nil"/>
          <w:right w:val="nil"/>
          <w:between w:val="nil"/>
        </w:pBdr>
        <w:ind w:left="426"/>
        <w:jc w:val="both"/>
        <w:rPr>
          <w:rFonts w:ascii="Palatino Linotype" w:eastAsia="Palatino Linotype" w:hAnsi="Palatino Linotype" w:cs="Palatino Linotype"/>
          <w:color w:val="000000"/>
          <w:sz w:val="22"/>
          <w:szCs w:val="22"/>
        </w:rPr>
      </w:pPr>
    </w:p>
    <w:p w14:paraId="1098DC4C" w14:textId="77777777" w:rsidR="00E76325" w:rsidRDefault="00E76325">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p>
    <w:p w14:paraId="534812F8" w14:textId="77777777" w:rsidR="00E76325" w:rsidRDefault="00EE3B44">
      <w:pPr>
        <w:pBdr>
          <w:top w:val="nil"/>
          <w:left w:val="nil"/>
          <w:bottom w:val="nil"/>
          <w:right w:val="nil"/>
          <w:between w:val="nil"/>
        </w:pBdr>
        <w:ind w:left="1134"/>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Termos em que pede e espera deferimento.</w:t>
      </w:r>
    </w:p>
    <w:p w14:paraId="0F0C9940"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b/>
          <w:bCs/>
          <w:color w:val="000000"/>
          <w:sz w:val="22"/>
          <w:szCs w:val="22"/>
        </w:rPr>
      </w:pPr>
    </w:p>
    <w:p w14:paraId="715FE7F7" w14:textId="77777777" w:rsidR="00E76325" w:rsidRDefault="00E76325">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p>
    <w:p w14:paraId="0752E605" w14:textId="77777777" w:rsidR="00E76325" w:rsidRDefault="00EE3B44">
      <w:pPr>
        <w:pBdr>
          <w:top w:val="nil"/>
          <w:left w:val="nil"/>
          <w:bottom w:val="nil"/>
          <w:right w:val="nil"/>
          <w:between w:val="nil"/>
        </w:pBdr>
        <w:ind w:left="-1134" w:firstLine="1843"/>
        <w:jc w:val="both"/>
        <w:rPr>
          <w:rFonts w:ascii="Palatino Linotype" w:eastAsia="Palatino Linotype" w:hAnsi="Palatino Linotype" w:cs="Palatino Linotype"/>
          <w:color w:val="000000"/>
          <w:sz w:val="22"/>
          <w:szCs w:val="22"/>
        </w:rPr>
      </w:pPr>
      <w:r>
        <w:rPr>
          <w:rFonts w:ascii="Palatino Linotype" w:eastAsia="Palatino Linotype" w:hAnsi="Palatino Linotype" w:cs="Palatino Linotype"/>
          <w:color w:val="000000"/>
          <w:sz w:val="22"/>
          <w:szCs w:val="22"/>
        </w:rPr>
        <w:t>Palmas/TO, [data do protocolo eletrônico].</w:t>
      </w:r>
    </w:p>
    <w:p w14:paraId="124F07E4" w14:textId="77777777" w:rsidR="00E76325" w:rsidRDefault="00E76325">
      <w:pPr>
        <w:pBdr>
          <w:top w:val="nil"/>
          <w:left w:val="nil"/>
          <w:bottom w:val="nil"/>
          <w:right w:val="nil"/>
          <w:between w:val="nil"/>
        </w:pBdr>
        <w:ind w:left="-1134"/>
        <w:jc w:val="center"/>
        <w:rPr>
          <w:rFonts w:ascii="Palatino Linotype" w:eastAsia="Palatino Linotype" w:hAnsi="Palatino Linotype" w:cs="Palatino Linotype"/>
          <w:color w:val="000000"/>
          <w:sz w:val="22"/>
          <w:szCs w:val="22"/>
        </w:rPr>
      </w:pPr>
    </w:p>
    <w:p w14:paraId="7CEE6089" w14:textId="77777777" w:rsidR="00E76325" w:rsidRDefault="00E76325">
      <w:pPr>
        <w:pBdr>
          <w:top w:val="nil"/>
          <w:left w:val="nil"/>
          <w:bottom w:val="nil"/>
          <w:right w:val="nil"/>
          <w:between w:val="nil"/>
        </w:pBdr>
        <w:ind w:left="-1134"/>
        <w:jc w:val="center"/>
        <w:rPr>
          <w:rFonts w:ascii="Palatino Linotype" w:eastAsia="Palatino Linotype" w:hAnsi="Palatino Linotype" w:cs="Palatino Linotype"/>
          <w:color w:val="000000"/>
          <w:sz w:val="22"/>
          <w:szCs w:val="22"/>
        </w:rPr>
      </w:pPr>
    </w:p>
    <w:p w14:paraId="5FFA5623" w14:textId="77777777" w:rsidR="00E76325" w:rsidRDefault="00E76325">
      <w:pPr>
        <w:pBdr>
          <w:top w:val="nil"/>
          <w:left w:val="nil"/>
          <w:bottom w:val="nil"/>
          <w:right w:val="nil"/>
          <w:between w:val="nil"/>
        </w:pBdr>
        <w:ind w:left="-1134"/>
        <w:jc w:val="center"/>
        <w:rPr>
          <w:rFonts w:ascii="Palatino Linotype" w:eastAsia="Palatino Linotype" w:hAnsi="Palatino Linotype" w:cs="Palatino Linotype"/>
          <w:color w:val="000000"/>
          <w:sz w:val="22"/>
          <w:szCs w:val="22"/>
        </w:rPr>
      </w:pPr>
    </w:p>
    <w:p w14:paraId="21C76BFC"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Igor de Andrade Barbosa</w:t>
      </w:r>
    </w:p>
    <w:p w14:paraId="7A867244" w14:textId="77777777" w:rsidR="00E76325" w:rsidRDefault="00EE3B44">
      <w:pPr>
        <w:pBdr>
          <w:top w:val="nil"/>
          <w:left w:val="nil"/>
          <w:bottom w:val="nil"/>
          <w:right w:val="nil"/>
          <w:between w:val="nil"/>
        </w:pBdr>
        <w:ind w:left="-1134"/>
        <w:jc w:val="center"/>
        <w:rPr>
          <w:rFonts w:ascii="Palatino Linotype" w:eastAsia="Palatino Linotype" w:hAnsi="Palatino Linotype" w:cs="Palatino Linotype"/>
          <w:b/>
          <w:bCs/>
          <w:color w:val="000000"/>
          <w:sz w:val="22"/>
          <w:szCs w:val="22"/>
        </w:rPr>
      </w:pPr>
      <w:r>
        <w:rPr>
          <w:rFonts w:ascii="Palatino Linotype" w:eastAsia="Palatino Linotype" w:hAnsi="Palatino Linotype" w:cs="Palatino Linotype"/>
          <w:b/>
          <w:bCs/>
          <w:color w:val="000000"/>
          <w:sz w:val="22"/>
          <w:szCs w:val="22"/>
        </w:rPr>
        <w:t>Defensor Público Federal</w:t>
      </w:r>
    </w:p>
    <w:sectPr w:rsidR="00E76325">
      <w:headerReference w:type="default" r:id="rId6"/>
      <w:pgSz w:w="11905" w:h="16837"/>
      <w:pgMar w:top="1701" w:right="1247" w:bottom="1418" w:left="2552" w:header="181"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2CD8A" w14:textId="77777777" w:rsidR="00EE3B44" w:rsidRDefault="00EE3B44">
      <w:r>
        <w:separator/>
      </w:r>
    </w:p>
  </w:endnote>
  <w:endnote w:type="continuationSeparator" w:id="0">
    <w:p w14:paraId="5AA834C0" w14:textId="77777777" w:rsidR="00EE3B44" w:rsidRDefault="00EE3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8D7340D-131A-43A4-80C9-B1DD08ACEB91}"/>
  </w:font>
  <w:font w:name="Palatino Linotype">
    <w:panose1 w:val="02040502050505030304"/>
    <w:charset w:val="00"/>
    <w:family w:val="roman"/>
    <w:pitch w:val="variable"/>
    <w:sig w:usb0="E0000287" w:usb1="40000013" w:usb2="00000000" w:usb3="00000000" w:csb0="0000019F" w:csb1="00000000"/>
    <w:embedRegular r:id="rId2" w:fontKey="{1E49A594-D007-46CE-ACF5-BC4EB6241A03}"/>
    <w:embedBold r:id="rId3" w:fontKey="{9A21C7C6-3C13-4E2D-9059-5128FF766CD5}"/>
    <w:embedItalic r:id="rId4" w:fontKey="{AB849FF9-8C2E-44F9-BCA1-8327BE6AB203}"/>
    <w:embedBoldItalic r:id="rId5" w:fontKey="{306C8AD7-680C-4684-97E7-AB7175F08BEB}"/>
  </w:font>
  <w:font w:name="Book Antiqua">
    <w:panose1 w:val="02040602050305030304"/>
    <w:charset w:val="00"/>
    <w:family w:val="roman"/>
    <w:pitch w:val="variable"/>
    <w:sig w:usb0="00000287" w:usb1="00000000" w:usb2="00000000" w:usb3="00000000" w:csb0="0000009F" w:csb1="00000000"/>
    <w:embedRegular r:id="rId6" w:fontKey="{C6AE1569-B7D0-47E1-A0F3-7526ECD4E10D}"/>
  </w:font>
  <w:font w:name="Calibri">
    <w:panose1 w:val="020F0502020204030204"/>
    <w:charset w:val="00"/>
    <w:family w:val="swiss"/>
    <w:pitch w:val="variable"/>
    <w:sig w:usb0="E4002EFF" w:usb1="C000247B" w:usb2="00000009" w:usb3="00000000" w:csb0="000001FF" w:csb1="00000000"/>
    <w:embedRegular r:id="rId7" w:fontKey="{5DD990FB-D55C-4294-83E0-95452EC2A565}"/>
  </w:font>
  <w:font w:name="Cambria">
    <w:panose1 w:val="02040503050406030204"/>
    <w:charset w:val="00"/>
    <w:family w:val="roman"/>
    <w:pitch w:val="variable"/>
    <w:sig w:usb0="E00006FF" w:usb1="420024FF" w:usb2="02000000" w:usb3="00000000" w:csb0="0000019F" w:csb1="00000000"/>
    <w:embedRegular r:id="rId8" w:fontKey="{518AF569-C415-4DF1-8ECC-62F385728E7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10ED6" w14:textId="77777777" w:rsidR="00EE3B44" w:rsidRDefault="00EE3B44">
      <w:r>
        <w:separator/>
      </w:r>
    </w:p>
  </w:footnote>
  <w:footnote w:type="continuationSeparator" w:id="0">
    <w:p w14:paraId="5A8D4182" w14:textId="77777777" w:rsidR="00EE3B44" w:rsidRDefault="00EE3B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F3E69" w14:textId="77777777" w:rsidR="00E76325" w:rsidRDefault="00EE3B44">
    <w:pPr>
      <w:pBdr>
        <w:top w:val="nil"/>
        <w:left w:val="nil"/>
        <w:bottom w:val="single" w:sz="4" w:space="1" w:color="000000"/>
        <w:right w:val="nil"/>
        <w:between w:val="nil"/>
      </w:pBdr>
      <w:tabs>
        <w:tab w:val="center" w:pos="4419"/>
        <w:tab w:val="right" w:pos="8838"/>
      </w:tabs>
      <w:spacing w:line="360" w:lineRule="auto"/>
      <w:ind w:left="-1134"/>
      <w:jc w:val="center"/>
      <w:rPr>
        <w:rFonts w:ascii="Book Antiqua" w:eastAsia="Book Antiqua" w:hAnsi="Book Antiqua" w:cs="Book Antiqua"/>
        <w:color w:val="000000"/>
      </w:rPr>
    </w:pPr>
    <w:r>
      <w:rPr>
        <w:noProof/>
        <w:color w:val="000000"/>
      </w:rPr>
      <w:drawing>
        <wp:inline distT="0" distB="0" distL="114300" distR="114300" wp14:anchorId="2CEF59DD" wp14:editId="75573631">
          <wp:extent cx="2219325" cy="914400"/>
          <wp:effectExtent l="0" t="0" r="0" b="0"/>
          <wp:docPr id="1" name="image1.png" descr="C:\Users\ana.gomes\Desktop\Identidade Visual\logo_dpu_horizontal_degrade.png"/>
          <wp:cNvGraphicFramePr/>
          <a:graphic xmlns:a="http://schemas.openxmlformats.org/drawingml/2006/main">
            <a:graphicData uri="http://schemas.openxmlformats.org/drawingml/2006/picture">
              <pic:pic xmlns:pic="http://schemas.openxmlformats.org/drawingml/2006/picture">
                <pic:nvPicPr>
                  <pic:cNvPr id="0" name="image1.png" descr="C:\Users\ana.gomes\Desktop\Identidade Visual\logo_dpu_horizontal_degrade.png"/>
                  <pic:cNvPicPr preferRelativeResize="0"/>
                </pic:nvPicPr>
                <pic:blipFill>
                  <a:blip r:embed="rId1"/>
                  <a:srcRect/>
                  <a:stretch>
                    <a:fillRect/>
                  </a:stretch>
                </pic:blipFill>
                <pic:spPr>
                  <a:xfrm>
                    <a:off x="0" y="0"/>
                    <a:ext cx="2219325" cy="914400"/>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325"/>
    <w:rsid w:val="006B0577"/>
    <w:rsid w:val="00B14CBB"/>
    <w:rsid w:val="00E76325"/>
    <w:rsid w:val="00EE3B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62875"/>
  <w15:docId w15:val="{045CC797-5DE8-4170-8A0C-3C88B8454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1919D6DE3BD244B65FBCCEDF4AE0CF" ma:contentTypeVersion="3" ma:contentTypeDescription="Crie um novo documento." ma:contentTypeScope="" ma:versionID="1fbcde975e055f6d26faa2a6cc3e37de">
  <xsd:schema xmlns:xsd="http://www.w3.org/2001/XMLSchema" xmlns:xs="http://www.w3.org/2001/XMLSchema" xmlns:p="http://schemas.microsoft.com/office/2006/metadata/properties" xmlns:ns2="b6b2f871-3e57-4b2e-a4f8-609b3b4c6839" targetNamespace="http://schemas.microsoft.com/office/2006/metadata/properties" ma:root="true" ma:fieldsID="167b0296ba29e47a9aef7f37ebd219bf" ns2:_="">
    <xsd:import namespace="b6b2f871-3e57-4b2e-a4f8-609b3b4c68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b2f871-3e57-4b2e-a4f8-609b3b4c68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E8E811-33F8-4F92-B57F-E85038B333C3}"/>
</file>

<file path=customXml/itemProps2.xml><?xml version="1.0" encoding="utf-8"?>
<ds:datastoreItem xmlns:ds="http://schemas.openxmlformats.org/officeDocument/2006/customXml" ds:itemID="{91016DF3-8F0E-4A43-86D0-761C961B3CC8}"/>
</file>

<file path=customXml/itemProps3.xml><?xml version="1.0" encoding="utf-8"?>
<ds:datastoreItem xmlns:ds="http://schemas.openxmlformats.org/officeDocument/2006/customXml" ds:itemID="{7C5E9410-ED29-4AE0-A49A-CB368B73E13B}"/>
</file>

<file path=docProps/app.xml><?xml version="1.0" encoding="utf-8"?>
<Properties xmlns="http://schemas.openxmlformats.org/officeDocument/2006/extended-properties" xmlns:vt="http://schemas.openxmlformats.org/officeDocument/2006/docPropsVTypes">
  <Template>Normal</Template>
  <TotalTime>1</TotalTime>
  <Pages>9</Pages>
  <Words>3272</Words>
  <Characters>17675</Characters>
  <Application>Microsoft Office Word</Application>
  <DocSecurity>0</DocSecurity>
  <Lines>147</Lines>
  <Paragraphs>41</Paragraphs>
  <ScaleCrop>false</ScaleCrop>
  <Company/>
  <LinksUpToDate>false</LinksUpToDate>
  <CharactersWithSpaces>20906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Maira de Carvalho Pereira Mesquita</dc:creator>
  <cp:lastModifiedBy>Maira de Carvalho Pereira Mesquita</cp:lastModifiedBy>
  <cp:revision>2</cp:revision>
  <dcterms:created xsi:type="dcterms:W3CDTF">2026-07-06T15:11:00Z</dcterms:created>
  <dcterms:modified xsi:type="dcterms:W3CDTF">2026-07-06T15:11:00Z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0x010100DF1919D6DE3BD244B65FBCCEDF4AE0CF</vt:lpwstr>
  </property>
</Properties>
</file>