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99D5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475148FC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1469C5C3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38D497FE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51BA12E5" w14:textId="77777777" w:rsidR="00B70509" w:rsidRPr="005C73D0" w:rsidRDefault="00B70509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4ED7B00F" w14:textId="64349EB9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PETIÇÃO PADRÃO –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  <w:t>RECURSO INOMINADO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– PROGRAMA BOLSA FAMÍLIA: LIMITAÇÃO DE 16% PARA FAMÍLIAS UNIPESSOAIS – CASOS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  <w:t>ANTERIORES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À LEI Nº 15.077, DE 27 DE DEZEMBRO DE 2024 – TEMA 379 TNU</w:t>
      </w:r>
    </w:p>
    <w:p w14:paraId="4389FF8C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201D7E5F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AO JUÍZO DA __ª VARA DO JUIZADO ESPECIAL FEDERAL CÍVEL DA SEÇÃO JUDICIÁRIA DE ________________</w:t>
      </w:r>
    </w:p>
    <w:p w14:paraId="2685B431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725E7FAF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Processo nº </w:t>
      </w:r>
    </w:p>
    <w:p w14:paraId="2E554C25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1956ECC1" w14:textId="04812F8A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  <w:t>NOME DO/A ASSISTIDO/A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, já qualificado/a nos autos, por intermédio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da DEFENSORIA PÚBLICA DA UNIÃO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, vem, respeitosamente, à presença de Vossa Excelência, com fundamento no art. 41 da Lei</w:t>
      </w:r>
      <w:r w:rsidR="00FC29DF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nº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9.099/95, interpor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  <w:t>RECURSO INOMINADO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, contra a sentença proferida, requerendo seja ele remetido à Turma Recursal.</w:t>
      </w:r>
    </w:p>
    <w:p w14:paraId="36C55C44" w14:textId="6F607BE3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Esclarece</w:t>
      </w:r>
      <w:r w:rsidR="00953887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que não será efetuado o preparo a que se refere o </w:t>
      </w:r>
      <w:r w:rsidR="00953887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§ 1º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do artigo 42 da Lei n° 9.099/95, por </w:t>
      </w:r>
      <w:r w:rsidR="00953887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ter sido deferida 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justiça gratuita</w:t>
      </w:r>
      <w:r w:rsidR="00953887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(artigo 98 e seguintes CPC)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, e por estar </w:t>
      </w:r>
      <w:r w:rsidR="00953887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a parte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assistida pela Defensoria Pública da União, nos termos do artigo 134 da Constituição Federal.</w:t>
      </w:r>
    </w:p>
    <w:p w14:paraId="4C71605D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348AAA73" w14:textId="77777777" w:rsidR="00F91906" w:rsidRPr="005C73D0" w:rsidRDefault="00F91906" w:rsidP="005C73D0">
      <w:pPr>
        <w:spacing w:beforeLines="80" w:before="192" w:afterLines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Nestes termos, pede deferimento.</w:t>
      </w:r>
    </w:p>
    <w:p w14:paraId="6155684B" w14:textId="77777777" w:rsidR="00F91906" w:rsidRPr="005C73D0" w:rsidRDefault="00F91906" w:rsidP="005C73D0">
      <w:pPr>
        <w:spacing w:beforeLines="80" w:before="192" w:afterLines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LOCAL, DATA.</w:t>
      </w:r>
    </w:p>
    <w:p w14:paraId="77E07B75" w14:textId="77777777" w:rsidR="00F91906" w:rsidRPr="005C73D0" w:rsidRDefault="00F91906" w:rsidP="005C73D0">
      <w:pPr>
        <w:spacing w:before="80" w:afterLines="80" w:after="192"/>
        <w:jc w:val="center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0ADADEEC" w14:textId="01461000" w:rsidR="00F91906" w:rsidRPr="005C73D0" w:rsidRDefault="00F91906" w:rsidP="005C73D0">
      <w:pPr>
        <w:spacing w:before="80" w:afterLines="80" w:after="192"/>
        <w:jc w:val="center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Defensor/a Público/a Federal</w:t>
      </w:r>
    </w:p>
    <w:p w14:paraId="5D715E19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6133DA91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1D54E5B0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5CFC51D3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56DBF107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4EBA9087" w14:textId="77777777" w:rsidR="00F91906" w:rsidRPr="005C73D0" w:rsidRDefault="00F91906" w:rsidP="005C73D0">
      <w:pPr>
        <w:spacing w:beforeLines="80" w:before="192" w:afterLines="80" w:after="192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664775F7" w14:textId="0AF747C3" w:rsidR="00F91906" w:rsidRPr="005C73D0" w:rsidRDefault="00953887" w:rsidP="005C73D0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lastRenderedPageBreak/>
        <w:t>À</w:t>
      </w:r>
      <w:r w:rsidR="00F91906"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TURMA RECURSAL DO JUIZADO ESPECIAL DA SEÇÃO JUDICIÁRIA DE ________________ </w:t>
      </w:r>
    </w:p>
    <w:p w14:paraId="3EB1EB64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4AA0323F" w14:textId="77777777" w:rsidR="00F91906" w:rsidRPr="005C73D0" w:rsidRDefault="00F91906" w:rsidP="005C73D0">
      <w:pPr>
        <w:spacing w:beforeLines="80" w:before="192" w:afterLines="80" w:after="192"/>
        <w:jc w:val="center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  <w:t>RAZÕES DE RECURSO INOMINADO</w:t>
      </w:r>
    </w:p>
    <w:p w14:paraId="7EB46955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  <w:u w:val="single"/>
        </w:rPr>
      </w:pPr>
    </w:p>
    <w:p w14:paraId="6A39E8E6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1</w:t>
      </w:r>
      <w:r w:rsidRPr="005C73D0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. SÍNTESE DO PROCESSO</w:t>
      </w:r>
    </w:p>
    <w:p w14:paraId="4AA8A5AE" w14:textId="39692ABB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Cuida-se de ação proposta pel</w:t>
      </w:r>
      <w:r w:rsidR="00953887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o/a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ora recorrente, integrante de </w:t>
      </w:r>
      <w:r w:rsidRPr="000C21F4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família unipessoal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, com o objetivo de assegurar sua (</w:t>
      </w:r>
      <w:proofErr w:type="spellStart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re</w:t>
      </w:r>
      <w:proofErr w:type="spellEnd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)inclusão no Programa Bolsa Família, regulamentado pela Lei nº 14.601/2023, bem como o recebimento do benefício desde a data em que preenchidos os requisitos legais.</w:t>
      </w:r>
    </w:p>
    <w:p w14:paraId="42E8F427" w14:textId="3E6C2562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A parte autora demonstrou o atendimento aos critérios de elegibilidade previstos no art. 5º da Lei nº 14.601/2023, através dos seguintes documentos comprobatórios, todos constantes dos autos:</w:t>
      </w:r>
    </w:p>
    <w:p w14:paraId="7DEB643D" w14:textId="0130CDD5" w:rsidR="00F91906" w:rsidRPr="005C73D0" w:rsidRDefault="00F91906" w:rsidP="005C73D0">
      <w:pPr>
        <w:numPr>
          <w:ilvl w:val="0"/>
          <w:numId w:val="2"/>
        </w:numPr>
        <w:spacing w:beforeLines="80" w:before="192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Cadastro no </w:t>
      </w:r>
      <w:proofErr w:type="spellStart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Cad</w:t>
      </w:r>
      <w:r w:rsidR="00056659">
        <w:rPr>
          <w:rFonts w:ascii="Quattrocento Sans" w:hAnsi="Quattrocento Sans" w:cs="Calibri"/>
          <w:color w:val="215E99" w:themeColor="text2" w:themeTint="BF"/>
          <w:sz w:val="22"/>
          <w:szCs w:val="22"/>
        </w:rPr>
        <w:t>Ú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nico</w:t>
      </w:r>
      <w:proofErr w:type="spellEnd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como grupo familiar unipessoal atualizado em _____; </w:t>
      </w:r>
    </w:p>
    <w:p w14:paraId="4A7183D4" w14:textId="77777777" w:rsidR="00F91906" w:rsidRPr="005C73D0" w:rsidRDefault="00F91906" w:rsidP="005C73D0">
      <w:pPr>
        <w:numPr>
          <w:ilvl w:val="0"/>
          <w:numId w:val="2"/>
        </w:numPr>
        <w:spacing w:beforeLines="80" w:before="192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Comprovação de renda mensal de R$ ___;</w:t>
      </w:r>
    </w:p>
    <w:p w14:paraId="7FDB25AB" w14:textId="77777777" w:rsidR="00F91906" w:rsidRPr="005C73D0" w:rsidRDefault="00F91906" w:rsidP="005C73D0">
      <w:pPr>
        <w:numPr>
          <w:ilvl w:val="0"/>
          <w:numId w:val="2"/>
        </w:numPr>
        <w:spacing w:beforeLines="80" w:before="192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Procedimentos de Atualização junto à Prefeitura; </w:t>
      </w:r>
    </w:p>
    <w:p w14:paraId="1541002B" w14:textId="77777777" w:rsidR="00F91906" w:rsidRPr="005C73D0" w:rsidRDefault="00F91906" w:rsidP="005C73D0">
      <w:pPr>
        <w:numPr>
          <w:ilvl w:val="0"/>
          <w:numId w:val="2"/>
        </w:numPr>
        <w:spacing w:beforeLines="80" w:before="192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Declaração de Renda e Composição Familiar.</w:t>
      </w:r>
    </w:p>
    <w:p w14:paraId="75FAD4FD" w14:textId="77777777" w:rsidR="00953887" w:rsidRPr="005C73D0" w:rsidRDefault="00953887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0DD61F09" w14:textId="0CE27CC4" w:rsidR="00953887" w:rsidRPr="005C73D0" w:rsidRDefault="00953887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Não obstante a comprovação do direito postulado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, foi proferida </w:t>
      </w:r>
      <w:r w:rsidR="00F91906"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sentença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de improcedência d</w:t>
      </w:r>
      <w:r w:rsidR="00F91906"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o pedido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, em razão da limitação</w:t>
      </w:r>
      <w:r w:rsidR="00DC3D7B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de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DC3D7B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16% de famílias unipessoais por município no Programa Bolsa Família 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imposta pelo artigo 6º, inciso V, §§ 2º e 3º, da Portaria MDS nº 897/2023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Entretanto, tal restrição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não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é aplicável ao caso concreto</w:t>
      </w:r>
      <w:r w:rsidR="008F319B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, conforme adiante se demonstrará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</w:t>
      </w:r>
    </w:p>
    <w:p w14:paraId="0B8288DB" w14:textId="5A3489F8" w:rsidR="00953887" w:rsidRPr="005C73D0" w:rsidRDefault="00953887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Em apertada síntese, a sentença deve ser reformada pelos seguintes fundamentos: (i) </w:t>
      </w:r>
      <w:r w:rsidR="00E02A24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ilegalidade e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exorbitância do poder regulamentar da Portaria MDS nº 897/2023</w:t>
      </w:r>
      <w:r w:rsidR="004A513A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,</w:t>
      </w:r>
      <w:r w:rsidR="00EA07C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com redação dada pela Portaria MDS nº 911/2023</w:t>
      </w:r>
      <w:r w:rsidR="00044382">
        <w:rPr>
          <w:rFonts w:ascii="Quattrocento Sans" w:hAnsi="Quattrocento Sans" w:cs="Calibri"/>
          <w:color w:val="215E99" w:themeColor="text2" w:themeTint="BF"/>
          <w:sz w:val="22"/>
          <w:szCs w:val="22"/>
        </w:rPr>
        <w:t>,</w:t>
      </w:r>
      <w:r w:rsidR="004A513A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ante a irretroatividade do artigo 12-A da Lei nº 14.601/2023, acrescido pela Lei nº 15.077/2024; (</w:t>
      </w:r>
      <w:proofErr w:type="spellStart"/>
      <w:r w:rsidR="004A513A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ii</w:t>
      </w:r>
      <w:proofErr w:type="spellEnd"/>
      <w:r w:rsidR="004A513A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) </w:t>
      </w:r>
      <w:r w:rsidR="00044382">
        <w:rPr>
          <w:rFonts w:ascii="Quattrocento Sans" w:hAnsi="Quattrocento Sans" w:cs="Calibri"/>
          <w:color w:val="215E99" w:themeColor="text2" w:themeTint="BF"/>
          <w:sz w:val="22"/>
          <w:szCs w:val="22"/>
        </w:rPr>
        <w:t>t</w:t>
      </w:r>
      <w:r w:rsidR="004A513A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ese vinculante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fixad</w:t>
      </w:r>
      <w:r w:rsidR="004A513A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no Tema 379 da TNU;</w:t>
      </w:r>
      <w:r w:rsidR="001A29BB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(</w:t>
      </w:r>
      <w:proofErr w:type="spellStart"/>
      <w:r w:rsidR="001A29BB">
        <w:rPr>
          <w:rFonts w:ascii="Quattrocento Sans" w:hAnsi="Quattrocento Sans" w:cs="Calibri"/>
          <w:color w:val="215E99" w:themeColor="text2" w:themeTint="BF"/>
          <w:sz w:val="22"/>
          <w:szCs w:val="22"/>
        </w:rPr>
        <w:t>i</w:t>
      </w:r>
      <w:r w:rsidR="00A15183">
        <w:rPr>
          <w:rFonts w:ascii="Quattrocento Sans" w:hAnsi="Quattrocento Sans" w:cs="Calibri"/>
          <w:color w:val="215E99" w:themeColor="text2" w:themeTint="BF"/>
          <w:sz w:val="22"/>
          <w:szCs w:val="22"/>
        </w:rPr>
        <w:t>ii</w:t>
      </w:r>
      <w:proofErr w:type="spellEnd"/>
      <w:r w:rsidR="001A29BB">
        <w:rPr>
          <w:rFonts w:ascii="Quattrocento Sans" w:hAnsi="Quattrocento Sans" w:cs="Calibri"/>
          <w:color w:val="215E99" w:themeColor="text2" w:themeTint="BF"/>
          <w:sz w:val="22"/>
          <w:szCs w:val="22"/>
        </w:rPr>
        <w:t>)</w:t>
      </w:r>
      <w:r w:rsidR="00A15183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hipótese de exceção aos 16% de famílias unipessoais prevista no </w:t>
      </w:r>
      <w:r w:rsidR="00A15183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artigo 6º, 3º, da Portaria MDS nº 897/2023</w:t>
      </w:r>
      <w:r w:rsidR="00A15183">
        <w:rPr>
          <w:rFonts w:ascii="Quattrocento Sans" w:hAnsi="Quattrocento Sans" w:cs="Calibri"/>
          <w:color w:val="215E99" w:themeColor="text2" w:themeTint="BF"/>
          <w:sz w:val="22"/>
          <w:szCs w:val="22"/>
        </w:rPr>
        <w:t>;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(</w:t>
      </w:r>
      <w:proofErr w:type="spellStart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i</w:t>
      </w:r>
      <w:r w:rsidR="00A15183">
        <w:rPr>
          <w:rFonts w:ascii="Quattrocento Sans" w:hAnsi="Quattrocento Sans" w:cs="Calibri"/>
          <w:color w:val="215E99" w:themeColor="text2" w:themeTint="BF"/>
          <w:sz w:val="22"/>
          <w:szCs w:val="22"/>
        </w:rPr>
        <w:t>v</w:t>
      </w:r>
      <w:proofErr w:type="spellEnd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) inconstitucionalidade do artigo 12-A da Lei nº 14.601/2023, acrescido pela Lei nº 15.077/2024.</w:t>
      </w:r>
    </w:p>
    <w:p w14:paraId="2AAD7FB8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5D09912E" w14:textId="3DC5430A" w:rsidR="00F91906" w:rsidRPr="006C344B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2.</w:t>
      </w:r>
      <w:r w:rsidR="00953887" w:rsidRPr="006C344B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DOS FUNDAMENTOS PARA REFORMA DA SENTENÇA</w:t>
      </w:r>
      <w:r w:rsidRPr="006C344B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</w:t>
      </w:r>
    </w:p>
    <w:p w14:paraId="4C3F1099" w14:textId="77777777" w:rsidR="009B5F73" w:rsidRPr="00916AAA" w:rsidRDefault="00F91906" w:rsidP="009B5F73">
      <w:pPr>
        <w:spacing w:before="80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2.1. </w:t>
      </w:r>
      <w:r w:rsidR="009B5F73"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MARCO TEMPORAL FIXADO PELO TEMA 379 DA TNU (ILEGALIDADE DA LIMITAÇÃO DE FAMÍLIAS UNIPESSOAIS NO PROGRAMA BOLSA FAMILIA </w:t>
      </w:r>
      <w:r w:rsidR="009B5F73" w:rsidRPr="00843D2C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  <w:u w:val="single"/>
        </w:rPr>
        <w:t>ANTES</w:t>
      </w:r>
      <w:r w:rsidR="009B5F73"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DA LEI</w:t>
      </w:r>
      <w:r w:rsidR="009B5F73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</w:t>
      </w:r>
      <w:r w:rsidR="009B5F73" w:rsidRPr="00DB5B06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  <w:sz w:val="22"/>
          <w:szCs w:val="22"/>
        </w:rPr>
        <w:t>Nº</w:t>
      </w:r>
      <w:r w:rsidR="009B5F73"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15.077/2024)</w:t>
      </w:r>
    </w:p>
    <w:p w14:paraId="042F53C2" w14:textId="36630595" w:rsidR="006836A7" w:rsidRDefault="00B64B2C" w:rsidP="005C73D0">
      <w:pPr>
        <w:spacing w:before="80" w:after="80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A</w:t>
      </w:r>
      <w:r w:rsidR="00A420A6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parte recorrente (família unipessoal)</w:t>
      </w:r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preenche todos os requisitos de elegibilidade previstos no artigo 5º da Lei nº 14.601/2023, </w:t>
      </w:r>
      <w:r w:rsidR="00EE6186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porém </w:t>
      </w:r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o</w:t>
      </w:r>
      <w:r w:rsidR="00A420A6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seu</w:t>
      </w:r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(</w:t>
      </w:r>
      <w:proofErr w:type="spellStart"/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re</w:t>
      </w:r>
      <w:proofErr w:type="spellEnd"/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)ingresso no Programa foi obstado porque o Município em que reside alcançou o percentual de</w:t>
      </w:r>
      <w:r w:rsidR="006836A7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16% de </w:t>
      </w:r>
      <w:r w:rsidR="006836A7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lastRenderedPageBreak/>
        <w:t>famílias unipessoais</w:t>
      </w:r>
      <w:r w:rsidR="00C15628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>, nos termos do art. 6º, V, § 2º, da Portaria MDS nº 897/2023, com redação dada pela Portaria MDS nº 911/2023</w:t>
      </w:r>
      <w:r w:rsidR="006836A7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>.</w:t>
      </w:r>
      <w:r w:rsidR="006D78A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</w:p>
    <w:p w14:paraId="5E12C555" w14:textId="014E2E2D" w:rsidR="00E21664" w:rsidRPr="006C344B" w:rsidRDefault="00BC5EA8" w:rsidP="00E21664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>Ocorre que</w:t>
      </w:r>
      <w:r w:rsidRPr="00E21664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, à época da inclusão/atualização do </w:t>
      </w:r>
      <w:proofErr w:type="spellStart"/>
      <w:r w:rsidRPr="00E21664">
        <w:rPr>
          <w:rFonts w:ascii="Quattrocento Sans" w:hAnsi="Quattrocento Sans" w:cs="Calibri"/>
          <w:color w:val="215E99" w:themeColor="text2" w:themeTint="BF"/>
          <w:sz w:val="22"/>
          <w:szCs w:val="22"/>
        </w:rPr>
        <w:t>CadÚnico</w:t>
      </w:r>
      <w:proofErr w:type="spellEnd"/>
      <w:r w:rsidRPr="00E21664">
        <w:rPr>
          <w:rFonts w:ascii="Quattrocento Sans" w:hAnsi="Quattrocento Sans" w:cs="Calibri"/>
          <w:color w:val="215E99" w:themeColor="text2" w:themeTint="BF"/>
          <w:sz w:val="22"/>
          <w:szCs w:val="22"/>
        </w:rPr>
        <w:t>/exclusão do Programa Bolsa Família, tal limitação carecia de qualquer amparo na Lei nº 14.601/2023</w:t>
      </w:r>
      <w:r w:rsidR="00B64B2C" w:rsidRPr="00E21664">
        <w:rPr>
          <w:rFonts w:ascii="Quattrocento Sans" w:hAnsi="Quattrocento Sans" w:cs="Calibri"/>
          <w:color w:val="215E99" w:themeColor="text2" w:themeTint="BF"/>
          <w:sz w:val="22"/>
          <w:szCs w:val="22"/>
        </w:rPr>
        <w:t>.</w:t>
      </w:r>
      <w:r w:rsidR="00B64B2C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</w:t>
      </w:r>
      <w:r w:rsidR="00E21664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>A Portaria MDS nº 911/2023, ao instituir um teto percentual por Município, violou o</w:t>
      </w:r>
      <w:r w:rsidR="00AD0AC4">
        <w:rPr>
          <w:rFonts w:ascii="Quattrocento Sans" w:hAnsi="Quattrocento Sans" w:cs="Calibri"/>
          <w:color w:val="215E99" w:themeColor="text2" w:themeTint="BF"/>
          <w:sz w:val="22"/>
          <w:szCs w:val="22"/>
        </w:rPr>
        <w:t>s</w:t>
      </w:r>
      <w:r w:rsidR="00E21664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E21664" w:rsidRPr="006C344B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princípio</w:t>
      </w:r>
      <w:r w:rsidR="00AD0AC4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s</w:t>
      </w:r>
      <w:r w:rsidR="00E21664" w:rsidRPr="006C344B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da legalidade</w:t>
      </w:r>
      <w:r w:rsidR="00AD0AC4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, segurança jurídica</w:t>
      </w:r>
      <w:r w:rsidR="00E21664" w:rsidRPr="006C344B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e</w:t>
      </w:r>
      <w:r w:rsidR="00E21664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E21664" w:rsidRPr="006C344B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extrapolou </w:t>
      </w:r>
      <w:r w:rsidR="00AD0AC4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o</w:t>
      </w:r>
      <w:r w:rsidR="00E21664" w:rsidRPr="006C344B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poder regulamentar</w:t>
      </w:r>
      <w:r w:rsidR="00E21664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</w:t>
      </w:r>
    </w:p>
    <w:p w14:paraId="2D7BD617" w14:textId="3924DCDC" w:rsidR="00F91906" w:rsidRPr="006C344B" w:rsidRDefault="005C7981" w:rsidP="005C73D0">
      <w:pPr>
        <w:spacing w:before="80" w:after="80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Ajuizada ação, a</w:t>
      </w:r>
      <w:r w:rsidR="006836A7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>pós regular instrução, o</w:t>
      </w:r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pedido </w:t>
      </w:r>
      <w:r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de (</w:t>
      </w:r>
      <w:proofErr w:type="spellStart"/>
      <w:r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re</w:t>
      </w:r>
      <w:proofErr w:type="spellEnd"/>
      <w:r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)inclusão no Programa Bolsa Família</w:t>
      </w:r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foi julgado improcedente, por ter o juízo considerado </w:t>
      </w:r>
      <w:r w:rsidR="006B4965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legítima a</w:t>
      </w:r>
      <w:r w:rsidR="006836A7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limitação </w:t>
      </w:r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de famílias unipessoais prevista na Portaria </w:t>
      </w:r>
      <w:r w:rsidR="00C15628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>MDS nº 897/2023.</w:t>
      </w:r>
      <w:r w:rsidR="00F91906"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5C074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Entretanto, a </w:t>
      </w:r>
      <w:r w:rsidR="006B4965">
        <w:rPr>
          <w:rFonts w:ascii="Quattrocento Sans" w:hAnsi="Quattrocento Sans" w:cs="Calibri"/>
          <w:color w:val="215E99" w:themeColor="text2" w:themeTint="BF"/>
          <w:sz w:val="22"/>
          <w:szCs w:val="22"/>
        </w:rPr>
        <w:t>sentença</w:t>
      </w:r>
      <w:r w:rsidR="005C074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deve ser reformada, pois contraria o precedente vinculante fixado no Tema 379 da TNU.</w:t>
      </w:r>
    </w:p>
    <w:p w14:paraId="3E0A5A6E" w14:textId="5E23F6DE" w:rsidR="00F91906" w:rsidRPr="006C344B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 w:cs="Calibri"/>
          <w:color w:val="215E99" w:themeColor="text2" w:themeTint="BF"/>
          <w:sz w:val="22"/>
          <w:szCs w:val="22"/>
        </w:rPr>
        <w:t>No julgamento do PEDILEF 0044230-77.2023.4.05.8300, afetado como representativo da controvérsia, a TNU fixou a seguinte tese no julgamento do</w:t>
      </w:r>
      <w:r w:rsidRPr="006C344B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Tema nº 379:</w:t>
      </w:r>
    </w:p>
    <w:p w14:paraId="2E3BF286" w14:textId="77777777" w:rsidR="00F91906" w:rsidRPr="005C73D0" w:rsidRDefault="00F91906" w:rsidP="005C73D0">
      <w:pPr>
        <w:spacing w:beforeLines="80" w:before="192" w:afterLines="80" w:after="192"/>
        <w:ind w:left="1418"/>
        <w:jc w:val="both"/>
        <w:rPr>
          <w:rFonts w:ascii="Quattrocento Sans" w:hAnsi="Quattrocento Sans" w:cs="Calibri"/>
          <w:color w:val="215E99" w:themeColor="text2" w:themeTint="BF"/>
          <w:sz w:val="20"/>
          <w:szCs w:val="20"/>
        </w:rPr>
      </w:pPr>
      <w:r w:rsidRPr="005C73D0">
        <w:rPr>
          <w:rFonts w:ascii="Quattrocento Sans" w:hAnsi="Quattrocento Sans" w:cs="Calibri"/>
          <w:i/>
          <w:iCs/>
          <w:color w:val="215E99" w:themeColor="text2" w:themeTint="BF"/>
          <w:sz w:val="20"/>
          <w:szCs w:val="20"/>
          <w:u w:val="single"/>
        </w:rPr>
        <w:t>A partir da vigência do art. 12-A da Lei 14.601/2023 (incluído pela Lei 15.077/2024),</w:t>
      </w:r>
      <w:r w:rsidRPr="005C73D0">
        <w:rPr>
          <w:rFonts w:ascii="Quattrocento Sans" w:hAnsi="Quattrocento Sans" w:cs="Calibri"/>
          <w:i/>
          <w:iCs/>
          <w:color w:val="215E99" w:themeColor="text2" w:themeTint="BF"/>
          <w:sz w:val="20"/>
          <w:szCs w:val="20"/>
        </w:rPr>
        <w:t xml:space="preserve"> do art. 2º, §3º, da Lei 15.077/2024 e do art. 6º, §3º, IX, da Portaria MDS 897/2023 (com a redação dada pela Portaria MDS 1.003/2024), é legal a imposição de um índice máximo de famílias unipessoais por município como condicionante para o ingresso no Programa Bolsa Família, nos termos de ato do Poder Executivo federal (art. 6º, §2, da Portaria MDS 897/2023, incluído pela Portaria MDS 911/2023).</w:t>
      </w:r>
    </w:p>
    <w:p w14:paraId="220EAC79" w14:textId="77777777" w:rsidR="006F38C0" w:rsidRDefault="006F38C0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0E36C861" w14:textId="77777777" w:rsidR="00550BB8" w:rsidRPr="00916AAA" w:rsidRDefault="00550BB8" w:rsidP="00550BB8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A formulação da tese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do Tema 379 TNU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não deixa margem para dúvidas: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somente a partir da vigência da Lei </w:t>
      </w:r>
      <w:r w:rsidRPr="00DB5B06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nº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15.077/2024 passou a existir suporte legal para a limitação percentual de famílias unipessoais no Programa Bolsa Família por município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Em sentido contrário, </w:t>
      </w:r>
      <w:r w:rsidRPr="0073029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  <w:t>antes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da introdução do art. 12-A na Lei </w:t>
      </w:r>
      <w:r w:rsidRPr="00DB5B06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nº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14.601/2023 </w:t>
      </w:r>
      <w:r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– hipótese dos autos –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inexiste</w:t>
      </w:r>
      <w:r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fundamento legal para tal restrição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. Veja-se trecho da ementa de julgamento:</w:t>
      </w:r>
    </w:p>
    <w:p w14:paraId="66B1DF64" w14:textId="77777777" w:rsidR="00550BB8" w:rsidRPr="00916AAA" w:rsidRDefault="00550BB8" w:rsidP="00550BB8">
      <w:pPr>
        <w:spacing w:before="80" w:afterLines="80" w:after="192"/>
        <w:ind w:left="1418"/>
        <w:jc w:val="both"/>
        <w:rPr>
          <w:rFonts w:ascii="Quattrocento Sans" w:hAnsi="Quattrocento Sans" w:cs="Calibri"/>
          <w:color w:val="215E99" w:themeColor="text2" w:themeTint="BF"/>
          <w:sz w:val="20"/>
          <w:szCs w:val="20"/>
        </w:rPr>
      </w:pPr>
      <w:r w:rsidRPr="00916AAA">
        <w:rPr>
          <w:rFonts w:ascii="Quattrocento Sans" w:hAnsi="Quattrocento Sans" w:cs="Calibri"/>
          <w:color w:val="215E99" w:themeColor="text2" w:themeTint="BF"/>
          <w:sz w:val="20"/>
          <w:szCs w:val="20"/>
        </w:rPr>
        <w:t xml:space="preserve">8. 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0"/>
          <w:szCs w:val="20"/>
        </w:rPr>
        <w:t>A aplicação retroativa da Portaria MDS nº 911/2023 é vedada, especialmente quando o direito ao benefício se consolidou em momento anterior à edição da norma restritiva, em respeito ao princípio da segurança jurídica.</w:t>
      </w:r>
      <w:r>
        <w:rPr>
          <w:rFonts w:ascii="Quattrocento Sans" w:hAnsi="Quattrocento Sans" w:cs="Calibri"/>
          <w:b/>
          <w:bCs/>
          <w:color w:val="215E99" w:themeColor="text2" w:themeTint="BF"/>
          <w:sz w:val="20"/>
          <w:szCs w:val="20"/>
        </w:rPr>
        <w:t xml:space="preserve"> </w:t>
      </w:r>
      <w:r w:rsidRPr="007376F0">
        <w:rPr>
          <w:rFonts w:ascii="Quattrocento Sans" w:hAnsi="Quattrocento Sans" w:cs="Calibri"/>
          <w:color w:val="215E99" w:themeColor="text2" w:themeTint="BF"/>
          <w:sz w:val="20"/>
          <w:szCs w:val="20"/>
        </w:rPr>
        <w:t xml:space="preserve">(TNU, </w:t>
      </w:r>
      <w:r w:rsidRPr="00F91906">
        <w:rPr>
          <w:rFonts w:ascii="Quattrocento Sans" w:hAnsi="Quattrocento Sans" w:cs="Calibri"/>
          <w:color w:val="215E99" w:themeColor="text2" w:themeTint="BF"/>
          <w:sz w:val="22"/>
          <w:szCs w:val="22"/>
        </w:rPr>
        <w:t>PEDILEF 0044230-77.2023.4.05.8300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)</w:t>
      </w:r>
    </w:p>
    <w:p w14:paraId="50D3FB55" w14:textId="77777777" w:rsidR="00550BB8" w:rsidRDefault="00550BB8" w:rsidP="00550BB8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6F5DDD51" w14:textId="77777777" w:rsidR="00550BB8" w:rsidRPr="00916AAA" w:rsidRDefault="00550BB8" w:rsidP="00550BB8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Assim, d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e acordo com a tese fixada pela TNU, tem-se:</w:t>
      </w:r>
    </w:p>
    <w:p w14:paraId="3C7F339A" w14:textId="77777777" w:rsidR="002931CB" w:rsidRPr="005C73D0" w:rsidRDefault="002931CB" w:rsidP="005C73D0">
      <w:pPr>
        <w:spacing w:before="80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noProof/>
          <w:color w:val="215E99" w:themeColor="text2" w:themeTint="BF"/>
          <w:sz w:val="22"/>
          <w:szCs w:val="22"/>
        </w:rPr>
        <w:drawing>
          <wp:inline distT="0" distB="0" distL="0" distR="0" wp14:anchorId="76EB742F" wp14:editId="41D515BA">
            <wp:extent cx="5669915" cy="164592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645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B3B44" w14:textId="02C08104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0370311C" w14:textId="4B2F233E" w:rsidR="00C15628" w:rsidRPr="006C344B" w:rsidRDefault="002931CB" w:rsidP="005C73D0">
      <w:pPr>
        <w:spacing w:beforeLines="80" w:before="192" w:afterLines="80" w:after="192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No caso dos autos, a</w:t>
      </w:r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parte autora cadastrou/atualizou suas informações no </w:t>
      </w:r>
      <w:proofErr w:type="spellStart"/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CadÚnico</w:t>
      </w:r>
      <w:proofErr w:type="spellEnd"/>
      <w:r w:rsidR="00B619C8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/foi excluída do PBF</w:t>
      </w:r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em </w:t>
      </w:r>
      <w:r w:rsidR="00547F89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___ [</w:t>
      </w:r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DATA</w:t>
      </w:r>
      <w:r w:rsidR="00547F89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]</w:t>
      </w:r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, ou seja, </w:t>
      </w:r>
      <w:r w:rsidR="00C15628"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  <w:u w:val="single"/>
        </w:rPr>
        <w:t>antes</w:t>
      </w:r>
      <w:r w:rsidR="00C15628"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 xml:space="preserve"> da vigência do art. 12-A da Lei </w:t>
      </w:r>
      <w:r w:rsidR="00C15628"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lastRenderedPageBreak/>
        <w:t xml:space="preserve">nº 14.601/2023, incluído pela Lei nº 15.077, de 27 de dezembro de 2024. </w:t>
      </w:r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Sendo assim, de acordo com o Tema 379 da TNU, </w:t>
      </w:r>
      <w:r w:rsidR="00C15628"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 xml:space="preserve">não </w:t>
      </w:r>
      <w:r w:rsidR="00C15628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devem ser aplicadas ao presente caso as alterações trazidas pela Lei 15.077/2024, em especial o limite de 16% de famílias unipessoais por Município.</w:t>
      </w:r>
    </w:p>
    <w:p w14:paraId="05479C6B" w14:textId="77777777" w:rsidR="00EC0B77" w:rsidRPr="00916AAA" w:rsidRDefault="00EC0B77" w:rsidP="00EC0B77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No caso concreto, os fatos são incontroversos:</w:t>
      </w:r>
    </w:p>
    <w:p w14:paraId="274863B4" w14:textId="77777777" w:rsidR="00EC0B77" w:rsidRPr="002C10AE" w:rsidRDefault="00EC0B77" w:rsidP="00EC0B77">
      <w:pPr>
        <w:numPr>
          <w:ilvl w:val="0"/>
          <w:numId w:val="7"/>
        </w:numPr>
        <w:spacing w:before="80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A exclusão/impedimento de ingresso no </w:t>
      </w:r>
      <w:r w:rsidRPr="002C10A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Programa Bolsa Família ocorreu em 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[DATA da inclusão/atualização no </w:t>
      </w:r>
      <w:proofErr w:type="spellStart"/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CadÚnico</w:t>
      </w:r>
      <w:proofErr w:type="spellEnd"/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]</w:t>
      </w:r>
      <w:r w:rsidRPr="002C10A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; </w:t>
      </w:r>
    </w:p>
    <w:p w14:paraId="1F25B806" w14:textId="77777777" w:rsidR="00EC0B77" w:rsidRPr="00916AAA" w:rsidRDefault="00EC0B77" w:rsidP="00EC0B77">
      <w:pPr>
        <w:numPr>
          <w:ilvl w:val="0"/>
          <w:numId w:val="7"/>
        </w:numPr>
        <w:spacing w:before="80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A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negativa administrativa também ocorreu antes de 27/12/2024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[caso haja expedição de Ofício ou tela do SIBEC, indicar].</w:t>
      </w:r>
    </w:p>
    <w:p w14:paraId="05118A89" w14:textId="77777777" w:rsidR="00EC0B77" w:rsidRPr="00916AAA" w:rsidRDefault="00EC0B77" w:rsidP="00EC0B77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Ou seja,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todos os eventos juridicamente relevantes ocorreram antes da vigência da Lei </w:t>
      </w:r>
      <w:r w:rsidRPr="00DB5B06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nº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15.077/2024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.</w:t>
      </w:r>
    </w:p>
    <w:p w14:paraId="69F8BB07" w14:textId="77777777" w:rsidR="00FB6A52" w:rsidRDefault="00FB6A52" w:rsidP="005C73D0">
      <w:pPr>
        <w:spacing w:beforeLines="80" w:before="192" w:afterLines="80" w:after="192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</w:p>
    <w:p w14:paraId="2145ADE5" w14:textId="18AAC29D" w:rsidR="002931CB" w:rsidRPr="006C344B" w:rsidRDefault="002931CB" w:rsidP="005C73D0">
      <w:pPr>
        <w:spacing w:beforeLines="80" w:before="192" w:afterLines="80" w:after="192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Em caso semelhante ao presente, a 2ª Turma Recursal de Pernambuco exerceu juízo de adequação ao Tema 379 da TNU, para restabelecer a sentença de procedência, pois a data da consolidação do direito à inclusão no Programa Bolsa Família se deu </w:t>
      </w:r>
      <w:r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antes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</w:t>
      </w:r>
      <w:r w:rsidR="000C074F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de 27/12/2024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. Veja-se ementa:</w:t>
      </w:r>
    </w:p>
    <w:p w14:paraId="05707187" w14:textId="2FF6A8CF" w:rsidR="002931CB" w:rsidRPr="005C73D0" w:rsidRDefault="002931CB" w:rsidP="005C73D0">
      <w:pPr>
        <w:spacing w:beforeLines="80" w:before="192" w:afterLines="80" w:after="192"/>
        <w:ind w:left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</w:pP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DIREITO PROCESSUAL CIVIL E ADMINISTRATIVO. PROGRAMA ASSISTENCIAL. </w:t>
      </w:r>
      <w:r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0"/>
          <w:szCs w:val="20"/>
        </w:rPr>
        <w:t>READEQUAÇÃO DE JULGADO. TEMA 379/TNU.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 UNIVERSALIZAÇÃO DA RENDA BÁSICA. PROGRAMA BOLSA FAMÍLIA (PBF). FIXAÇÃO DE LIMITES EM PORTARIA. COMPATIBILIDADE COM A LEI 14601/2023. </w:t>
      </w:r>
      <w:r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0"/>
          <w:szCs w:val="20"/>
        </w:rPr>
        <w:t>MOMENTO DE CONSOLIDAÇÃO DO DITO "DIREITO AO BENEFÍCIO".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 QUESTÃO NÃO AVALIADA. CONTRADIÇÃO EXISTENTE. </w:t>
      </w:r>
      <w:r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0"/>
          <w:szCs w:val="20"/>
        </w:rPr>
        <w:t>ACÓRDÃO REVISTO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>. INFERÊNCIA DE ATENDIMENTO ANTERIOR DOS REQUISITOS PELA DECISÃO RECORRIDA. AUSÊNCIA DE CONTROVÉRSIA EM RECURSO. SENTENÇA MANTIDA. (2ª TRPE, Processo</w:t>
      </w:r>
      <w:r w:rsidR="00360072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 nº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 0012471-27.2025.4.05.8300, Relator Juiz Federal Almiro Lemos, data do julgamento: 13/05/2026)</w:t>
      </w:r>
    </w:p>
    <w:p w14:paraId="03DF3A56" w14:textId="67C59683" w:rsidR="002931CB" w:rsidRPr="006C344B" w:rsidRDefault="002931CB" w:rsidP="005C73D0">
      <w:pPr>
        <w:spacing w:beforeLines="80" w:before="192" w:afterLines="80" w:after="192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Destaca-se o seguinte trecho da fundamentação do acórdão quanto à interpretação do Tema 379 da TNU:</w:t>
      </w:r>
    </w:p>
    <w:p w14:paraId="5FD70B9C" w14:textId="1108B5C2" w:rsidR="002931CB" w:rsidRPr="00922430" w:rsidRDefault="002931CB" w:rsidP="00922430">
      <w:pPr>
        <w:spacing w:beforeLines="80" w:before="192" w:afterLines="80" w:after="192"/>
        <w:ind w:left="851"/>
        <w:jc w:val="both"/>
        <w:rPr>
          <w:rFonts w:ascii="Quattrocento Sans" w:eastAsia="Quattrocento Sans" w:hAnsi="Quattrocento Sans" w:cs="Quattrocento Sans"/>
          <w:i/>
          <w:iCs/>
          <w:color w:val="215E99" w:themeColor="text2" w:themeTint="BF"/>
          <w:sz w:val="20"/>
          <w:szCs w:val="20"/>
        </w:rPr>
      </w:pPr>
      <w:r w:rsidRPr="005C73D0">
        <w:rPr>
          <w:rFonts w:ascii="Quattrocento Sans" w:eastAsia="Quattrocento Sans" w:hAnsi="Quattrocento Sans" w:cs="Quattrocento Sans"/>
          <w:i/>
          <w:iCs/>
          <w:color w:val="215E99" w:themeColor="text2" w:themeTint="BF"/>
          <w:sz w:val="20"/>
          <w:szCs w:val="20"/>
        </w:rPr>
        <w:t xml:space="preserve">“Destaca-se que conquanto a tese formada não tenha consignado exceção à aplicação da portaria, </w:t>
      </w:r>
      <w:r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  <w:sz w:val="20"/>
          <w:szCs w:val="20"/>
          <w:u w:val="single"/>
        </w:rPr>
        <w:t>o acórdão do colegiado de uniformização considerou que "A aplicação retroativa da Portaria MDS nº 911/2023 é vedada, especialmente quando o direito ao benefício se consolidou em momento anterior à edição da norma restritiva, em respeito ao princípio da segurança jurídica", legitimando, portanto, a intervenção judicial para restabelecimento do benefício se dito "direito ao benefício se consolidou em momento anterior à edição da norma restritiva".</w:t>
      </w:r>
      <w:r w:rsidRPr="0092243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  <w:sz w:val="20"/>
          <w:szCs w:val="20"/>
        </w:rPr>
        <w:t> </w:t>
      </w:r>
      <w:r w:rsidRPr="005C73D0">
        <w:rPr>
          <w:rFonts w:ascii="Quattrocento Sans" w:eastAsia="Quattrocento Sans" w:hAnsi="Quattrocento Sans" w:cs="Quattrocento Sans"/>
          <w:i/>
          <w:iCs/>
          <w:color w:val="215E99" w:themeColor="text2" w:themeTint="BF"/>
          <w:sz w:val="20"/>
          <w:szCs w:val="20"/>
        </w:rPr>
        <w:t xml:space="preserve">[...]” 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>(2ª TRPE, Processo 0012471-27.2025.4.05.8300, Relator Juiz Federal Almiro Lemos, data do julgamento: 13/05/2026)</w:t>
      </w:r>
    </w:p>
    <w:p w14:paraId="0E4BA8C5" w14:textId="27AFAEC1" w:rsidR="002931CB" w:rsidRDefault="004A59E8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No mesmo sentido, </w:t>
      </w:r>
      <w:r w:rsid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foi o </w:t>
      </w:r>
      <w:r w:rsidR="00CA3EEE" w:rsidRP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>Acórdão</w:t>
      </w:r>
      <w:r w:rsid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proferido pel</w:t>
      </w:r>
      <w:r w:rsidR="00CA3EEE" w:rsidRP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>a 18ª Turma 4.0 - adjunta à Turma Recursal de Rondônia</w:t>
      </w:r>
      <w:r w:rsid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nos autos do</w:t>
      </w:r>
      <w:r w:rsidR="00CA3EEE" w:rsidRP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Processo </w:t>
      </w:r>
      <w:r w:rsidR="00360072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nº </w:t>
      </w:r>
      <w:r w:rsidR="00CA3EEE" w:rsidRP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>1063017-16.2023.4.01.3300 (SJBA)</w:t>
      </w:r>
      <w:r w:rsidR="00CA3EEE">
        <w:rPr>
          <w:rFonts w:ascii="Quattrocento Sans" w:hAnsi="Quattrocento Sans" w:cs="Calibri"/>
          <w:color w:val="215E99" w:themeColor="text2" w:themeTint="BF"/>
          <w:sz w:val="22"/>
          <w:szCs w:val="22"/>
        </w:rPr>
        <w:t>:</w:t>
      </w:r>
    </w:p>
    <w:p w14:paraId="419BBC93" w14:textId="77777777" w:rsidR="00996CC3" w:rsidRPr="00996CC3" w:rsidRDefault="00996CC3" w:rsidP="00996CC3">
      <w:pPr>
        <w:spacing w:beforeLines="80" w:before="192" w:afterLines="80" w:after="192"/>
        <w:ind w:left="851"/>
        <w:jc w:val="both"/>
        <w:rPr>
          <w:rFonts w:ascii="Quattrocento Sans" w:hAnsi="Quattrocento Sans" w:cs="Calibri"/>
          <w:color w:val="215E99" w:themeColor="text2" w:themeTint="BF"/>
          <w:sz w:val="20"/>
          <w:szCs w:val="20"/>
        </w:rPr>
      </w:pPr>
      <w:r w:rsidRPr="00996CC3">
        <w:rPr>
          <w:rFonts w:ascii="Quattrocento Sans" w:hAnsi="Quattrocento Sans" w:cs="Calibri"/>
          <w:color w:val="215E99" w:themeColor="text2" w:themeTint="BF"/>
          <w:sz w:val="20"/>
          <w:szCs w:val="20"/>
        </w:rPr>
        <w:t xml:space="preserve">DIREITO ADMINISTRATIVO E ASSISTENCIAL. </w:t>
      </w:r>
      <w:r w:rsidRPr="00996CC3">
        <w:rPr>
          <w:rFonts w:ascii="Quattrocento Sans" w:hAnsi="Quattrocento Sans" w:cs="Calibri"/>
          <w:b/>
          <w:bCs/>
          <w:color w:val="215E99" w:themeColor="text2" w:themeTint="BF"/>
          <w:sz w:val="20"/>
          <w:szCs w:val="20"/>
        </w:rPr>
        <w:t>PROGRAMA BOLSA FAMÍLIA (PBF). FAMÍLIA UNIPESSOAL. LIMITAÇÃO MUNICIPAL (TETO DE 16%). PORTARIA MDS 911/2023. TESE VINCULANTE DA TNU (TEMA 379) PELA LEGALIDADE DA RESTRIÇÃO, MAS COM A RESSALVA DA IRRETROATIVIDADE DA NORMA RESTRITIVA. CANCELAMENTO/SUSPENSÃO ANTERIOR À VIGÊNCIA DA PORTARIA. DIREITO AO RESTABELECIMENTO DO BENEFÍCIO.</w:t>
      </w:r>
      <w:r w:rsidRPr="00996CC3">
        <w:rPr>
          <w:rFonts w:ascii="Quattrocento Sans" w:hAnsi="Quattrocento Sans" w:cs="Calibri"/>
          <w:color w:val="215E99" w:themeColor="text2" w:themeTint="BF"/>
          <w:sz w:val="20"/>
          <w:szCs w:val="20"/>
        </w:rPr>
        <w:t xml:space="preserve"> DAR PROVIMENTO AO RECURSO. </w:t>
      </w:r>
    </w:p>
    <w:p w14:paraId="78DEA27F" w14:textId="600F6D84" w:rsidR="00C15628" w:rsidRPr="005C73D0" w:rsidRDefault="00C15628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lastRenderedPageBreak/>
        <w:t xml:space="preserve">Ante o exposto, nos termos do precedente vinculante da Turma Nacional de Uniformização dos Juizados Especiais Federais </w:t>
      </w:r>
      <w:r w:rsidR="00070408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e da irretroatividade do artigo 12-A da Lei </w:t>
      </w:r>
      <w:r w:rsidR="00360072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nº </w:t>
      </w:r>
      <w:r w:rsidR="00070408">
        <w:rPr>
          <w:rFonts w:ascii="Quattrocento Sans" w:hAnsi="Quattrocento Sans" w:cs="Calibri"/>
          <w:color w:val="215E99" w:themeColor="text2" w:themeTint="BF"/>
          <w:sz w:val="22"/>
          <w:szCs w:val="22"/>
        </w:rPr>
        <w:t>14.601/2023</w:t>
      </w:r>
      <w:r w:rsidR="002D4D45">
        <w:rPr>
          <w:rFonts w:ascii="Quattrocento Sans" w:hAnsi="Quattrocento Sans" w:cs="Calibri"/>
          <w:color w:val="215E99" w:themeColor="text2" w:themeTint="BF"/>
          <w:sz w:val="22"/>
          <w:szCs w:val="22"/>
        </w:rPr>
        <w:t>,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deve a sentença ser reformada, a fim de que seja julgado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procedente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o pedido de (</w:t>
      </w:r>
      <w:proofErr w:type="spellStart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re</w:t>
      </w:r>
      <w:proofErr w:type="spellEnd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)inclusão da parte recorrente</w:t>
      </w:r>
      <w:r w:rsidR="0007218C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no Programa Bolsa Família, desde a data da inclusão/atualização cadastral ou exclusão do PBF, ocorrida em ____</w:t>
      </w:r>
      <w:r w:rsidR="00B84757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[DATA]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.</w:t>
      </w:r>
    </w:p>
    <w:p w14:paraId="4692EF78" w14:textId="77777777" w:rsidR="00C15628" w:rsidRDefault="00C15628" w:rsidP="00562E13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63A8F50E" w14:textId="505D58AD" w:rsidR="00562E13" w:rsidRPr="00916AAA" w:rsidRDefault="00562E13" w:rsidP="00562E13">
      <w:pPr>
        <w:spacing w:before="80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562E13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2.2.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</w:t>
      </w:r>
      <w:r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DO</w:t>
      </w:r>
      <w:r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CARÁTER RESTITUTÓRIO DA PRETENSÃO </w:t>
      </w:r>
      <w:r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  <w:highlight w:val="yellow"/>
        </w:rPr>
        <w:t xml:space="preserve">[APENAS QUANDO </w:t>
      </w:r>
      <w:r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  <w:highlight w:val="yellow"/>
        </w:rPr>
        <w:t>O CASO NÃO ENVOLVE INGRESSO NO PROGRAMA, MAS RESTABELECIMENTO DE BENEFÍCIO INDEVIDAMENTE CANCELADO</w:t>
      </w:r>
      <w:r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]</w:t>
      </w:r>
    </w:p>
    <w:p w14:paraId="71D99CD3" w14:textId="0BC02127" w:rsidR="00562E13" w:rsidRPr="00916AAA" w:rsidRDefault="00562E13" w:rsidP="00562E13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A</w:t>
      </w:r>
      <w:r w:rsidR="007F724F">
        <w:rPr>
          <w:rFonts w:ascii="Quattrocento Sans" w:hAnsi="Quattrocento Sans" w:cs="Calibri"/>
          <w:color w:val="215E99" w:themeColor="text2" w:themeTint="BF"/>
          <w:sz w:val="22"/>
          <w:szCs w:val="22"/>
        </w:rPr>
        <w:t>lém do marco temporal fixado no tema 379 da TNU, é preciso ressaltar outro equívoco da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sentença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5B54FD">
        <w:rPr>
          <w:rFonts w:ascii="Quattrocento Sans" w:hAnsi="Quattrocento Sans" w:cs="Calibri"/>
          <w:color w:val="215E99" w:themeColor="text2" w:themeTint="BF"/>
          <w:sz w:val="22"/>
          <w:szCs w:val="22"/>
        </w:rPr>
        <w:t>recorrida</w:t>
      </w:r>
      <w:r w:rsidR="007F724F">
        <w:rPr>
          <w:rFonts w:ascii="Quattrocento Sans" w:hAnsi="Quattrocento Sans" w:cs="Calibri"/>
          <w:color w:val="215E99" w:themeColor="text2" w:themeTint="BF"/>
          <w:sz w:val="22"/>
          <w:szCs w:val="22"/>
        </w:rPr>
        <w:t>: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tratou a controvérsia como se a parte autora estivesse pleiteando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novo ingresso no Programa Bolsa Família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, afirmando que o cadastramento no </w:t>
      </w:r>
      <w:proofErr w:type="spellStart"/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CadÚnico</w:t>
      </w:r>
      <w:proofErr w:type="spellEnd"/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não gera direito subjetivo ao benefício e que a inclusão de novos beneficiários depende de disponibilidade orçamentária.</w:t>
      </w:r>
    </w:p>
    <w:p w14:paraId="446235F3" w14:textId="77777777" w:rsidR="00562E13" w:rsidRDefault="00562E13" w:rsidP="00562E13">
      <w:pPr>
        <w:spacing w:before="80" w:afterLines="80" w:after="192"/>
        <w:ind w:firstLine="851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Ocorre que </w:t>
      </w:r>
      <w:r w:rsidRPr="008C78C6">
        <w:rPr>
          <w:rFonts w:ascii="Quattrocento Sans" w:hAnsi="Quattrocento Sans" w:cs="Calibri"/>
          <w:color w:val="215E99" w:themeColor="text2" w:themeTint="BF"/>
          <w:sz w:val="22"/>
          <w:szCs w:val="22"/>
        </w:rPr>
        <w:t>essa premissa fática é manifestamente equivocada.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A parte autora já era beneficiária do Programa Bolsa Família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desde 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[DATA]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, tendo o benefício sido posteriormente </w:t>
      </w:r>
      <w:r w:rsidRPr="00817094">
        <w:rPr>
          <w:rFonts w:ascii="Quattrocento Sans" w:hAnsi="Quattrocento Sans" w:cs="Calibri"/>
          <w:color w:val="215E99" w:themeColor="text2" w:themeTint="BF"/>
          <w:sz w:val="22"/>
          <w:szCs w:val="22"/>
        </w:rPr>
        <w:t>cancelado em decorrência da chamada Averiguação Cadastral Unipessoal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Assim, a pretensão deduzida nos autos não consiste em criar situação jurídica nova, mas sim em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restabelecer situação jurídica preexistente indevidamente desconstituída pela Administração. </w:t>
      </w:r>
    </w:p>
    <w:p w14:paraId="06BC8951" w14:textId="77777777" w:rsidR="00562E13" w:rsidRPr="00916AAA" w:rsidRDefault="00562E13" w:rsidP="00562E13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Essa distinção é absolutamente fundamental.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Enquanto o ingresso inicial no </w:t>
      </w: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P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rograma envolve escolhas administrativas relacionadas à gestão de políticas públicas, o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restabelecimento de benefício cancelado por ato ilegal constitui típico exercício de controle jurisdicional da legalidade administrativa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.</w:t>
      </w:r>
    </w:p>
    <w:p w14:paraId="09EC9A55" w14:textId="77777777" w:rsidR="00562E13" w:rsidRPr="00916AAA" w:rsidRDefault="00562E13" w:rsidP="00562E13">
      <w:pPr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>Permitir que o Estado (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1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)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cancele um benefício com base em critério desprovido de amparo legal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e (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2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) posteriormente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negue o restabelecimento invocando limitações administrativas ou orçamentárias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equivale a legitimar comportamento incompatível com os princípios estruturantes da Administração Pública. </w:t>
      </w:r>
    </w:p>
    <w:p w14:paraId="54E9614E" w14:textId="77777777" w:rsidR="00562E13" w:rsidRPr="00916AAA" w:rsidRDefault="00562E13" w:rsidP="00562E13">
      <w:pPr>
        <w:spacing w:before="80" w:afterLines="80" w:after="192"/>
        <w:ind w:firstLine="851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Tal conduta viola frontalmente os </w:t>
      </w:r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princípios da legalidade, igualdade, segurança jurídica, da proteção da confiança legítima e da boa-fé objetiva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Mais do que isso, configura hipótese paradigmática de </w:t>
      </w:r>
      <w:proofErr w:type="spellStart"/>
      <w:r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venire</w:t>
      </w:r>
      <w:proofErr w:type="spellEnd"/>
      <w:r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contra </w:t>
      </w:r>
      <w:proofErr w:type="spellStart"/>
      <w:r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factum</w:t>
      </w:r>
      <w:proofErr w:type="spellEnd"/>
      <w:r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</w:t>
      </w:r>
      <w:proofErr w:type="spellStart"/>
      <w:r w:rsidRPr="00916AA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proprium</w:t>
      </w:r>
      <w:proofErr w:type="spellEnd"/>
      <w:r w:rsidRPr="00916AA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,</w:t>
      </w:r>
      <w:r w:rsidRPr="00916AAA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instituto amplamente reconhecido pela doutrina e jurisprudência como limite ao exercício do poder estatal. </w:t>
      </w:r>
    </w:p>
    <w:p w14:paraId="678E92F7" w14:textId="77777777" w:rsidR="00562E13" w:rsidRPr="005C73D0" w:rsidRDefault="00562E13" w:rsidP="00562E13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3C0A33A4" w14:textId="6A268131" w:rsidR="00C15628" w:rsidRPr="005C73D0" w:rsidRDefault="00C15628" w:rsidP="005C73D0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027877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2.</w:t>
      </w:r>
      <w:r w:rsidR="00851AB5" w:rsidRPr="00027877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3</w:t>
      </w:r>
      <w:r w:rsidRPr="00027877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.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6C344B" w:rsidRPr="006C344B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TESE SUBSIDIÁRIA: </w:t>
      </w:r>
      <w:r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>DA</w:t>
      </w:r>
      <w:r w:rsidR="00466F9D"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ENTREVISTA DOMICILIAR</w:t>
      </w:r>
      <w:r w:rsidR="0089023A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[E/</w:t>
      </w:r>
      <w:r w:rsidR="0089023A" w:rsidRPr="00B60FA3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OU DE OUTRO GRUPO EXCEPCIONAL</w:t>
      </w:r>
      <w:r w:rsidR="0089023A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]</w:t>
      </w:r>
      <w:r w:rsidR="00466F9D"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>.</w:t>
      </w:r>
      <w:r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HIPÓ</w:t>
      </w:r>
      <w:r w:rsidR="00F0102D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>T</w:t>
      </w:r>
      <w:r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>ESE EXCEPCIONA</w:t>
      </w:r>
      <w:r w:rsidR="00466F9D"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>L</w:t>
      </w:r>
      <w:r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AO LIMITE DE 16%. ARTIGO </w:t>
      </w:r>
      <w:r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</w:rPr>
        <w:t>6º, §3º</w:t>
      </w:r>
      <w:r w:rsidR="00B50C06"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</w:rPr>
        <w:t xml:space="preserve">, </w:t>
      </w:r>
      <w:r w:rsidR="0089023A">
        <w:rPr>
          <w:rFonts w:ascii="Quattrocento Sans" w:eastAsia="Quattrocento Sans" w:hAnsi="Quattrocento Sans" w:cs="Quattrocento Sans"/>
          <w:b/>
          <w:bCs/>
          <w:color w:val="215E99" w:themeColor="text2" w:themeTint="BF"/>
        </w:rPr>
        <w:t>____</w:t>
      </w:r>
      <w:r w:rsidR="00B50C06"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</w:rPr>
        <w:t>,</w:t>
      </w:r>
      <w:r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PORTARIA MDS</w:t>
      </w:r>
      <w:r w:rsidR="0089023A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Nº</w:t>
      </w:r>
      <w:r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897/2023.</w:t>
      </w:r>
      <w:r w:rsidR="000B223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 </w:t>
      </w:r>
      <w:r w:rsidR="002931CB" w:rsidRPr="005C73D0">
        <w:rPr>
          <w:rFonts w:ascii="Quattrocento Sans" w:eastAsia="Quattrocento Sans" w:hAnsi="Quattrocento Sans" w:cs="Quattrocento Sans"/>
          <w:b/>
          <w:bCs/>
          <w:i/>
          <w:iCs/>
          <w:color w:val="215E99" w:themeColor="text2" w:themeTint="BF"/>
        </w:rPr>
        <w:t xml:space="preserve">TEMA 379 TNU </w:t>
      </w:r>
    </w:p>
    <w:p w14:paraId="11324FE6" w14:textId="3EABD125" w:rsidR="00462E61" w:rsidRPr="006C344B" w:rsidRDefault="00B50C06" w:rsidP="005C73D0">
      <w:pPr>
        <w:tabs>
          <w:tab w:val="left" w:pos="988"/>
          <w:tab w:val="left" w:pos="990"/>
        </w:tabs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Na remota hipótese de esta Turma Recursal não </w:t>
      </w:r>
      <w:r w:rsidR="00985E87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acolher os argumentos acerca da aplicação do </w:t>
      </w:r>
      <w:r w:rsidR="00985E87" w:rsidRPr="006C344B">
        <w:rPr>
          <w:rFonts w:ascii="Quattrocento Sans" w:hAnsi="Quattrocento Sans"/>
          <w:b/>
          <w:bCs/>
          <w:color w:val="215E99" w:themeColor="text2" w:themeTint="BF"/>
          <w:sz w:val="22"/>
          <w:szCs w:val="22"/>
        </w:rPr>
        <w:t>marco temporal fixado pelo Tema 379 da TNU</w:t>
      </w:r>
      <w:r w:rsidR="00985E87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</w:t>
      </w:r>
      <w:r w:rsidR="0019792A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e admita a aplicação retroativa do artigo 12-A da Lei</w:t>
      </w:r>
      <w:r w:rsidR="00D6090C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nº</w:t>
      </w:r>
      <w:r w:rsidR="0019792A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14.601/2023</w:t>
      </w:r>
      <w:r w:rsidR="00BD55AA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ao caso concreto</w:t>
      </w:r>
      <w:r w:rsidR="0019792A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, passa-se a apresentar </w:t>
      </w:r>
      <w:r w:rsidR="001D5FAF" w:rsidRPr="006C344B">
        <w:rPr>
          <w:rFonts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 xml:space="preserve">tese </w:t>
      </w:r>
      <w:r w:rsidR="0019792A" w:rsidRPr="006C344B">
        <w:rPr>
          <w:rFonts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subsidi</w:t>
      </w:r>
      <w:r w:rsidR="001D5FAF" w:rsidRPr="006C344B">
        <w:rPr>
          <w:rFonts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ária</w:t>
      </w:r>
      <w:r w:rsidR="0019792A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</w:t>
      </w:r>
      <w:r w:rsidR="001D5FAF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ao</w:t>
      </w:r>
      <w:r w:rsidR="00BD55AA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</w:t>
      </w:r>
      <w:r w:rsidR="00C95BF6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direito </w:t>
      </w:r>
      <w:r w:rsidR="00BD55AA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de</w:t>
      </w:r>
      <w:r w:rsidR="00C95BF6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(</w:t>
      </w:r>
      <w:proofErr w:type="spellStart"/>
      <w:r w:rsidR="00C95BF6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re</w:t>
      </w:r>
      <w:proofErr w:type="spellEnd"/>
      <w:r w:rsidR="00C95BF6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)inclusão no Programa Bolsa Família</w:t>
      </w:r>
      <w:r w:rsidR="00B832BC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.</w:t>
      </w:r>
    </w:p>
    <w:p w14:paraId="1BDFB850" w14:textId="399C61D7" w:rsidR="00B50C06" w:rsidRPr="006C344B" w:rsidRDefault="00B50C06" w:rsidP="005C73D0">
      <w:pPr>
        <w:tabs>
          <w:tab w:val="left" w:pos="988"/>
          <w:tab w:val="left" w:pos="990"/>
        </w:tabs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lastRenderedPageBreak/>
        <w:t xml:space="preserve">O art. 6°, § 3º, da Portaria MDS n° 897/2023, prevê casos excepcionais que </w:t>
      </w:r>
      <w:r w:rsidRPr="006C344B">
        <w:rPr>
          <w:rFonts w:ascii="Quattrocento Sans" w:hAnsi="Quattrocento Sans"/>
          <w:b/>
          <w:bCs/>
          <w:color w:val="215E99" w:themeColor="text2" w:themeTint="BF"/>
          <w:sz w:val="22"/>
          <w:szCs w:val="22"/>
        </w:rPr>
        <w:t>garantem a inclusão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de famílias unipessoais no Programa Bolsa Família, 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  <w:u w:val="single"/>
        </w:rPr>
        <w:t>mesmo quando o município tiver atingido o contingente de 16% (dezesseis por cento).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São eles:</w:t>
      </w:r>
    </w:p>
    <w:p w14:paraId="500FEA6C" w14:textId="0DA11784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Integrantes em situação de trabalho infantil</w:t>
      </w:r>
    </w:p>
    <w:p w14:paraId="5B661DD3" w14:textId="7793126C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Integrantes libertos de situação análoga à de trabalho escravo</w:t>
      </w:r>
    </w:p>
    <w:p w14:paraId="7DB059F4" w14:textId="7177EF82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Famílias quilombolas</w:t>
      </w:r>
    </w:p>
    <w:p w14:paraId="374BD770" w14:textId="05CA6530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Famílias indígenas</w:t>
      </w:r>
    </w:p>
    <w:p w14:paraId="03DC5CC5" w14:textId="37DF9AED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Famílias com catadores de material reciclável</w:t>
      </w:r>
    </w:p>
    <w:p w14:paraId="695FE6DD" w14:textId="1F288BD2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Famílias com pessoas em situação de rua</w:t>
      </w:r>
    </w:p>
    <w:p w14:paraId="2A237EBD" w14:textId="2EC1E769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Famílias em risco de insegurança alimentar</w:t>
      </w:r>
    </w:p>
    <w:p w14:paraId="10404697" w14:textId="0CE0C75B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Famílias em situação de violação de direitos</w:t>
      </w:r>
    </w:p>
    <w:p w14:paraId="3B3B86D1" w14:textId="75AFCC6D" w:rsidR="00B16DFC" w:rsidRPr="005C73D0" w:rsidRDefault="00B16DFC" w:rsidP="005C73D0">
      <w:pPr>
        <w:pStyle w:val="PargrafodaLista"/>
        <w:numPr>
          <w:ilvl w:val="0"/>
          <w:numId w:val="6"/>
        </w:numPr>
        <w:tabs>
          <w:tab w:val="left" w:pos="988"/>
          <w:tab w:val="left" w:pos="990"/>
        </w:tabs>
        <w:spacing w:before="80" w:after="80"/>
        <w:ind w:right="2"/>
        <w:jc w:val="both"/>
        <w:rPr>
          <w:rFonts w:ascii="Quattrocento Sans" w:hAnsi="Quattrocento Sans"/>
          <w:color w:val="215E99" w:themeColor="text2" w:themeTint="BF"/>
        </w:rPr>
      </w:pPr>
      <w:r w:rsidRPr="005C73D0">
        <w:rPr>
          <w:rFonts w:ascii="Quattrocento Sans" w:hAnsi="Quattrocento Sans"/>
          <w:b/>
          <w:bCs/>
          <w:color w:val="215E99" w:themeColor="text2" w:themeTint="BF"/>
          <w:sz w:val="20"/>
          <w:szCs w:val="20"/>
        </w:rPr>
        <w:t>Famílias que realizaram ou venham a realizar a sua atualização ou inscrição cadastral mediante entrevista em domicílio</w:t>
      </w: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, a partir de 31 de julho de 2023</w:t>
      </w:r>
    </w:p>
    <w:p w14:paraId="77495A36" w14:textId="77777777" w:rsidR="006C344B" w:rsidRDefault="006C344B" w:rsidP="005C73D0">
      <w:pPr>
        <w:spacing w:before="80" w:after="80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</w:rPr>
      </w:pPr>
    </w:p>
    <w:p w14:paraId="3A952F9B" w14:textId="1814F6B6" w:rsidR="00B50C06" w:rsidRPr="006C344B" w:rsidRDefault="00B50C06" w:rsidP="005C73D0">
      <w:pPr>
        <w:spacing w:before="80" w:after="80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É importante ressaltar que a exceção do limite de 16% quando realizada a entrevista domiciliar foi fruto do acordo com efeitos nacionais firmado nos autos </w:t>
      </w:r>
      <w:r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Ação Civil Pública nº 5024187-38.2024.4.04.7100/RS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, ajuizada pela Defensoria Pública da União do Rio Grande do Sul. Por meio do acordo coletivo, a União comprometeu-se a determinar a permissão imediata de habilitação ao Programa Bolsa Família de todas as famílias unipessoais que realizaram, a partir de 31 de julho de 2023, atualização ou inscrição cadastral mediante entrevista em domicílio, com efeitos na habilitação do PBF de julho de 2024.</w:t>
      </w:r>
    </w:p>
    <w:p w14:paraId="085024FA" w14:textId="77777777" w:rsidR="00B50C06" w:rsidRPr="006C344B" w:rsidRDefault="00B50C06" w:rsidP="005C73D0">
      <w:pPr>
        <w:spacing w:before="80" w:after="80"/>
        <w:ind w:firstLine="720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Em seguida, </w:t>
      </w:r>
      <w:r w:rsidRPr="004D3A06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a Portaria MDS nº 1.003, de 16 de julho de 2024, publicada no DOU em 17/07/2024, acrescentou o inciso IX ao §3º do artigo 6º da Portaria 897/2023. Essa alteração permitiu a inclusão de novas famílias unipessoais no PBF, mesmo que ultrapassem o limite de 16% do município.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</w:t>
      </w:r>
    </w:p>
    <w:p w14:paraId="05A7523B" w14:textId="77777777" w:rsidR="00B50C06" w:rsidRPr="006C344B" w:rsidRDefault="00B50C06" w:rsidP="005C73D0">
      <w:pPr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Posteriormente, o art. 2º, § 3º, da Lei nº 15.077/2024, de 27/12/2024, estabeleceu que, para a concessão ou manutenção dos benefícios assistenciais a famílias unipessoais, a inscrição ou a atualização do </w:t>
      </w:r>
      <w:proofErr w:type="spellStart"/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CadÚnico</w:t>
      </w:r>
      <w:proofErr w:type="spellEnd"/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</w:t>
      </w:r>
      <w:r w:rsidRPr="006C344B">
        <w:rPr>
          <w:rFonts w:ascii="Quattrocento Sans" w:hAnsi="Quattrocento Sans"/>
          <w:b/>
          <w:bCs/>
          <w:color w:val="215E99" w:themeColor="text2" w:themeTint="BF"/>
          <w:sz w:val="22"/>
          <w:szCs w:val="22"/>
        </w:rPr>
        <w:t>deverá s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er feita no domicílio de residência da pessoa. Veja-se:</w:t>
      </w:r>
    </w:p>
    <w:p w14:paraId="4B009976" w14:textId="0AEE89D7" w:rsidR="00B50C06" w:rsidRPr="005C73D0" w:rsidRDefault="00B50C06" w:rsidP="005C73D0">
      <w:pPr>
        <w:spacing w:before="80" w:after="80"/>
        <w:ind w:left="851"/>
        <w:jc w:val="both"/>
        <w:rPr>
          <w:rFonts w:ascii="Quattrocento Sans" w:hAnsi="Quattrocento Sans"/>
          <w:color w:val="215E99" w:themeColor="text2" w:themeTint="BF"/>
          <w:sz w:val="20"/>
          <w:szCs w:val="20"/>
        </w:rPr>
      </w:pP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Art. 2º</w:t>
      </w:r>
      <w:r w:rsidRPr="005C73D0">
        <w:rPr>
          <w:rFonts w:ascii="Quattrocento Sans" w:hAnsi="Quattrocento Sans"/>
          <w:b/>
          <w:bCs/>
          <w:color w:val="215E99" w:themeColor="text2" w:themeTint="BF"/>
          <w:sz w:val="20"/>
          <w:szCs w:val="20"/>
        </w:rPr>
        <w:t> </w:t>
      </w:r>
      <w:bookmarkStart w:id="0" w:name="art2§3"/>
      <w:bookmarkStart w:id="1" w:name="art2§1"/>
      <w:bookmarkEnd w:id="0"/>
      <w:bookmarkEnd w:id="1"/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 xml:space="preserve">§ 3º </w:t>
      </w:r>
      <w:r w:rsidRPr="005C73D0">
        <w:rPr>
          <w:rFonts w:ascii="Quattrocento Sans" w:hAnsi="Quattrocento Sans"/>
          <w:b/>
          <w:bCs/>
          <w:color w:val="215E99" w:themeColor="text2" w:themeTint="BF"/>
          <w:sz w:val="20"/>
          <w:szCs w:val="20"/>
        </w:rPr>
        <w:t>Para fins de concessão ou manutenção dos benefícios de que trata o </w:t>
      </w:r>
      <w:r w:rsidRPr="005C73D0">
        <w:rPr>
          <w:rFonts w:ascii="Quattrocento Sans" w:hAnsi="Quattrocento Sans"/>
          <w:b/>
          <w:bCs/>
          <w:i/>
          <w:iCs/>
          <w:color w:val="215E99" w:themeColor="text2" w:themeTint="BF"/>
          <w:sz w:val="20"/>
          <w:szCs w:val="20"/>
        </w:rPr>
        <w:t>caput</w:t>
      </w:r>
      <w:r w:rsidRPr="005C73D0">
        <w:rPr>
          <w:rFonts w:ascii="Quattrocento Sans" w:hAnsi="Quattrocento Sans"/>
          <w:b/>
          <w:bCs/>
          <w:color w:val="215E99" w:themeColor="text2" w:themeTint="BF"/>
          <w:sz w:val="20"/>
          <w:szCs w:val="20"/>
        </w:rPr>
        <w:t xml:space="preserve"> deste artigo a famílias compostas de 1 (uma) só pessoa ou a indivíduos que residem sem parentes, a inscrição ou a atualização do </w:t>
      </w:r>
      <w:proofErr w:type="spellStart"/>
      <w:r w:rsidRPr="005C73D0">
        <w:rPr>
          <w:rFonts w:ascii="Quattrocento Sans" w:hAnsi="Quattrocento Sans"/>
          <w:b/>
          <w:bCs/>
          <w:color w:val="215E99" w:themeColor="text2" w:themeTint="BF"/>
          <w:sz w:val="20"/>
          <w:szCs w:val="20"/>
        </w:rPr>
        <w:t>CadÚnico</w:t>
      </w:r>
      <w:proofErr w:type="spellEnd"/>
      <w:r w:rsidRPr="005C73D0">
        <w:rPr>
          <w:rFonts w:ascii="Quattrocento Sans" w:hAnsi="Quattrocento Sans"/>
          <w:b/>
          <w:bCs/>
          <w:color w:val="215E99" w:themeColor="text2" w:themeTint="BF"/>
          <w:sz w:val="20"/>
          <w:szCs w:val="20"/>
        </w:rPr>
        <w:t xml:space="preserve"> deverá ser feita no domicílio de residência da pessoa, conforme prazos e exceções estabelecidos em ato do Poder Executivo federal</w:t>
      </w:r>
      <w:r w:rsidRPr="005C73D0">
        <w:rPr>
          <w:rFonts w:ascii="Quattrocento Sans" w:hAnsi="Quattrocento Sans"/>
          <w:color w:val="215E99" w:themeColor="text2" w:themeTint="BF"/>
          <w:sz w:val="20"/>
          <w:szCs w:val="20"/>
        </w:rPr>
        <w:t>.</w:t>
      </w:r>
    </w:p>
    <w:p w14:paraId="57AAF64D" w14:textId="77777777" w:rsidR="001253FA" w:rsidRPr="005C73D0" w:rsidRDefault="001253FA" w:rsidP="005C73D0">
      <w:pPr>
        <w:spacing w:before="80" w:after="80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</w:rPr>
      </w:pPr>
    </w:p>
    <w:p w14:paraId="7A9166C4" w14:textId="53CC1769" w:rsidR="00B50C06" w:rsidRPr="006C344B" w:rsidRDefault="00B50C06" w:rsidP="005C73D0">
      <w:pPr>
        <w:spacing w:before="80" w:after="80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Em suma, a exigência da entrevista domiciliar para famílias unipessoais no Programa Bolsa Família avançou com a Lei nº 15.077, de 27 de dezembro de 2024, que, além de alterar a Lei nº 14.601/2023 para incluir o artigo 12-A, delegando ao Poder Executivo a fixação de índices máximos e procedimentos de controle para esse público, determinou em seu artigo 2º, § 3º, que, em todos os programas federais de transferência de renda que utilizam o </w:t>
      </w:r>
      <w:proofErr w:type="spellStart"/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CadÚnico</w:t>
      </w:r>
      <w:proofErr w:type="spellEnd"/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, a inscrição ou a atualização no cadastro de famílias unipessoais deverá ser feita no domicílio de residência da pessoa.</w:t>
      </w:r>
    </w:p>
    <w:p w14:paraId="15BFA5E1" w14:textId="25D7D7F5" w:rsidR="00F473B5" w:rsidRPr="006C344B" w:rsidRDefault="00F473B5" w:rsidP="005C73D0">
      <w:pPr>
        <w:spacing w:before="80" w:after="80"/>
        <w:ind w:firstLine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No acórdão proferido no </w:t>
      </w:r>
      <w:r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 xml:space="preserve">Tema 379, 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a TNU também firmou o entendimento de que a restrição do número de beneficiários unipessoais </w:t>
      </w:r>
      <w:r w:rsidR="001253FA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a partir do artigo 12-A da Lei 14.601/2023 </w:t>
      </w:r>
      <w:r w:rsidRPr="00757EB6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não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traz prejuízos diretos aos beneficiários, uma vez que estes podem 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lastRenderedPageBreak/>
        <w:t xml:space="preserve">ingressar no Programa nas </w:t>
      </w:r>
      <w:r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hipóteses excepcionais do art. 6º, §3º, da Portaria MDS nº 897/2023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, inclusive mediante a realização de </w:t>
      </w:r>
      <w:r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 xml:space="preserve">entrevistas domiciliares 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para a atualização do </w:t>
      </w:r>
      <w:proofErr w:type="spellStart"/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CadÚnico</w:t>
      </w:r>
      <w:proofErr w:type="spellEnd"/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. </w:t>
      </w:r>
      <w:r w:rsidR="00F30544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Veja-se</w:t>
      </w:r>
      <w:r w:rsidR="00792350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trecho específico da ementa</w:t>
      </w:r>
      <w:r w:rsidR="00887FE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da TNU</w:t>
      </w:r>
      <w:r w:rsidR="00F30544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:</w:t>
      </w:r>
    </w:p>
    <w:p w14:paraId="3E8F1696" w14:textId="77777777" w:rsidR="006C344B" w:rsidRDefault="006C344B" w:rsidP="005C73D0">
      <w:pPr>
        <w:spacing w:before="80" w:afterLines="80" w:after="192"/>
        <w:ind w:left="1418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</w:pPr>
    </w:p>
    <w:p w14:paraId="1DF57577" w14:textId="3DAA0503" w:rsidR="00027800" w:rsidRPr="005C73D0" w:rsidRDefault="00792350" w:rsidP="005C73D0">
      <w:pPr>
        <w:spacing w:before="80" w:afterLines="80" w:after="192"/>
        <w:ind w:left="1418"/>
        <w:jc w:val="both"/>
        <w:rPr>
          <w:rFonts w:ascii="Quattrocento Sans" w:hAnsi="Quattrocento Sans" w:cs="Calibri"/>
          <w:color w:val="215E99" w:themeColor="text2" w:themeTint="BF"/>
          <w:sz w:val="20"/>
          <w:szCs w:val="20"/>
        </w:rPr>
      </w:pP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7. </w:t>
      </w:r>
      <w:r w:rsidR="00CA3CBA"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A adoção do limite de 16% não implica a exclusão automática das famílias unipessoais, uma vez que </w:t>
      </w:r>
      <w:r w:rsidR="00CA3CBA" w:rsidRPr="005C54E1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0"/>
          <w:szCs w:val="20"/>
          <w:u w:val="single"/>
        </w:rPr>
        <w:t>há exceções legais e regulamentares que asseguram o acesso de grupos em situação de vulnerabilidade acentuada</w:t>
      </w:r>
      <w:r w:rsidR="00CA3CBA"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>, como pessoas em situação de rua,</w:t>
      </w:r>
      <w:r w:rsidR="00CF40DB"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 famílias indígenas, quilombolas, entre outros. </w:t>
      </w:r>
      <w:r w:rsidR="00CF40DB"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0"/>
          <w:szCs w:val="20"/>
          <w:u w:val="single"/>
        </w:rPr>
        <w:t xml:space="preserve">Ademais, as famílias unipessoais que tenham realizado </w:t>
      </w:r>
      <w:r w:rsidR="00360C7F" w:rsidRPr="005C73D0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0"/>
          <w:szCs w:val="20"/>
          <w:u w:val="single"/>
        </w:rPr>
        <w:t>ou venham a realizar a atualização ou inscrição cadastral por meio de entrevista domiciliar estão excepcionadas dessa restrição.</w:t>
      </w:r>
      <w:r w:rsidR="00027800" w:rsidRPr="005C73D0"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  <w:t xml:space="preserve"> </w:t>
      </w:r>
      <w:r w:rsidR="00027800" w:rsidRPr="005C73D0">
        <w:rPr>
          <w:rFonts w:ascii="Quattrocento Sans" w:hAnsi="Quattrocento Sans" w:cs="Calibri"/>
          <w:color w:val="215E99" w:themeColor="text2" w:themeTint="BF"/>
          <w:sz w:val="20"/>
          <w:szCs w:val="20"/>
        </w:rPr>
        <w:t xml:space="preserve">(TNU, </w:t>
      </w:r>
      <w:r w:rsidR="00027800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PEDILEF 0044230-77.2023.4.05.8300)</w:t>
      </w:r>
    </w:p>
    <w:p w14:paraId="14595E42" w14:textId="77777777" w:rsidR="00360C7F" w:rsidRPr="005C73D0" w:rsidRDefault="00360C7F" w:rsidP="005C73D0">
      <w:pPr>
        <w:spacing w:before="80" w:after="80"/>
        <w:ind w:left="851"/>
        <w:jc w:val="both"/>
        <w:rPr>
          <w:rFonts w:ascii="Quattrocento Sans" w:eastAsia="Quattrocento Sans" w:hAnsi="Quattrocento Sans" w:cs="Quattrocento Sans"/>
          <w:color w:val="215E99" w:themeColor="text2" w:themeTint="BF"/>
          <w:sz w:val="20"/>
          <w:szCs w:val="20"/>
        </w:rPr>
      </w:pPr>
    </w:p>
    <w:p w14:paraId="744B6846" w14:textId="0967F020" w:rsidR="00F473B5" w:rsidRPr="006C344B" w:rsidRDefault="00F473B5" w:rsidP="005C73D0">
      <w:pPr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Por essa razão, a Defensoria Pública da União expediu o OFÍCIO _______, requerendo expressamente a entrevista domiciliar para confirmar a condição de família unipessoal</w:t>
      </w:r>
      <w:r w:rsidR="005A5BC0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, bem como reiterou o pedido nos presentes autos.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Entretanto, a entrevista não foi realizada até a presente data, nem houve marcação para data futura. Resta demonstrado, portanto, que </w:t>
      </w:r>
      <w:r w:rsidR="00011766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– caso de admita a aplicação retroativa do artigo 12-A da Lei </w:t>
      </w:r>
      <w:r w:rsidR="006D060D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nº </w:t>
      </w:r>
      <w:r w:rsidR="00011766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14.601/2023, incluído pela Lei </w:t>
      </w:r>
      <w:r w:rsidR="006D060D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nº </w:t>
      </w:r>
      <w:r w:rsidR="00011766">
        <w:rPr>
          <w:rFonts w:ascii="Quattrocento Sans" w:hAnsi="Quattrocento Sans"/>
          <w:color w:val="215E99" w:themeColor="text2" w:themeTint="BF"/>
          <w:sz w:val="22"/>
          <w:szCs w:val="22"/>
        </w:rPr>
        <w:t>15.077/2024 -</w:t>
      </w:r>
      <w:r w:rsidR="00011766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o </w:t>
      </w:r>
      <w:r w:rsidRPr="006C344B">
        <w:rPr>
          <w:rFonts w:ascii="Quattrocento Sans" w:hAnsi="Quattrocento Sans"/>
          <w:b/>
          <w:bCs/>
          <w:color w:val="215E99" w:themeColor="text2" w:themeTint="BF"/>
          <w:sz w:val="22"/>
          <w:szCs w:val="22"/>
        </w:rPr>
        <w:t>único óbice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ao </w:t>
      </w:r>
      <w:r w:rsidR="002A4812">
        <w:rPr>
          <w:rFonts w:ascii="Quattrocento Sans" w:hAnsi="Quattrocento Sans"/>
          <w:color w:val="215E99" w:themeColor="text2" w:themeTint="BF"/>
          <w:sz w:val="22"/>
          <w:szCs w:val="22"/>
        </w:rPr>
        <w:t>(</w:t>
      </w:r>
      <w:proofErr w:type="spellStart"/>
      <w:r w:rsidR="002A4812">
        <w:rPr>
          <w:rFonts w:ascii="Quattrocento Sans" w:hAnsi="Quattrocento Sans"/>
          <w:color w:val="215E99" w:themeColor="text2" w:themeTint="BF"/>
          <w:sz w:val="22"/>
          <w:szCs w:val="22"/>
        </w:rPr>
        <w:t>re</w:t>
      </w:r>
      <w:proofErr w:type="spellEnd"/>
      <w:r w:rsidR="002A4812">
        <w:rPr>
          <w:rFonts w:ascii="Quattrocento Sans" w:hAnsi="Quattrocento Sans"/>
          <w:color w:val="215E99" w:themeColor="text2" w:themeTint="BF"/>
          <w:sz w:val="22"/>
          <w:szCs w:val="22"/>
        </w:rPr>
        <w:t>)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ingresso da parte autora no Programa Bolsa Família</w:t>
      </w:r>
      <w:r w:rsidR="00EB3E18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advém da mora da parte ré. </w:t>
      </w:r>
    </w:p>
    <w:p w14:paraId="3B25C3C8" w14:textId="32D4B2DD" w:rsidR="00FE371C" w:rsidRPr="006C344B" w:rsidRDefault="00FE371C" w:rsidP="005C73D0">
      <w:pPr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A falta de estrutura de pessoal para a realização das entrevistas domiciliares não deve ser um impedimento para a inclusão de novas famílias unipessoais no Bolsa Família. Cabe à União, além de repassar recursos aos Municípios, cumprir os termos do acordo coletivo firmado em ACP e das normas legais e infralegais editadas.</w:t>
      </w:r>
    </w:p>
    <w:p w14:paraId="719EEDE5" w14:textId="2CB3C765" w:rsidR="000F6EF6" w:rsidRPr="006C344B" w:rsidRDefault="00C376AE" w:rsidP="005C73D0">
      <w:pPr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Sendo assim, a sentença de improcedência deve ser reformada, para </w:t>
      </w:r>
      <w:r w:rsidR="000F6EF6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suprir </w:t>
      </w:r>
      <w:r w:rsidR="00FE371C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judicialmente </w:t>
      </w:r>
      <w:r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a realização de entrevista domiciliar</w:t>
      </w:r>
      <w:r w:rsidR="00FE371C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, reconhecer a condição de família unipessoal</w:t>
      </w:r>
      <w:r w:rsidR="002F0093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e, consequentemente, </w:t>
      </w:r>
      <w:r w:rsidR="00FE371C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determinar</w:t>
      </w:r>
      <w:r w:rsidR="002F0093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o (</w:t>
      </w:r>
      <w:proofErr w:type="spellStart"/>
      <w:r w:rsidR="002F0093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re</w:t>
      </w:r>
      <w:proofErr w:type="spellEnd"/>
      <w:r w:rsidR="002F0093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)ingresso da parte recorrente no Programa Bolsa Família</w:t>
      </w:r>
      <w:r w:rsidR="000F6EF6" w:rsidRPr="006C344B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nos termos do </w:t>
      </w:r>
      <w:r w:rsidR="000F6EF6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art. 6°, § 3º, IX, inciso _____, da Portaria MDS n° 897/2023. </w:t>
      </w:r>
    </w:p>
    <w:p w14:paraId="2FB1B787" w14:textId="77777777" w:rsidR="002931CB" w:rsidRPr="005C73D0" w:rsidRDefault="002931CB" w:rsidP="005C73D0">
      <w:pPr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</w:rPr>
      </w:pPr>
    </w:p>
    <w:p w14:paraId="09FB9AC8" w14:textId="77777777" w:rsidR="00C15628" w:rsidRPr="006C344B" w:rsidRDefault="00C15628" w:rsidP="005C73D0">
      <w:pPr>
        <w:spacing w:before="80" w:after="80"/>
        <w:ind w:right="2"/>
        <w:jc w:val="both"/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</w:pPr>
      <w:r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</w:rPr>
        <w:t>[</w:t>
      </w:r>
      <w:r w:rsidRPr="006C344B">
        <w:rPr>
          <w:rFonts w:ascii="Quattrocento Sans" w:eastAsia="Quattrocento Sans" w:hAnsi="Quattrocento Sans" w:cs="Quattrocento Sans"/>
          <w:b/>
          <w:bCs/>
          <w:color w:val="215E99" w:themeColor="text2" w:themeTint="BF"/>
          <w:sz w:val="22"/>
          <w:szCs w:val="22"/>
          <w:highlight w:val="yellow"/>
        </w:rPr>
        <w:t>CASO TAMBÉM INTEGRE GRUPO EXCEPCIONAL:</w:t>
      </w:r>
    </w:p>
    <w:p w14:paraId="6C5BDFCA" w14:textId="6A9856DA" w:rsidR="006C3CFC" w:rsidRPr="006C344B" w:rsidRDefault="00C15628" w:rsidP="005C73D0">
      <w:pPr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Além disso, no caso concreto, conforme documentos </w:t>
      </w:r>
      <w:r w:rsidR="008651EF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acostados com a petição inicial</w:t>
      </w:r>
      <w:r w:rsidR="002330C6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(Id.....)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, a parte autora integra grupo excepcional ________, previsto no art. 6°, § 3º, inciso _____, da Portaria MDS n° 897/2023. </w:t>
      </w:r>
    </w:p>
    <w:p w14:paraId="146DAB9F" w14:textId="413ABB42" w:rsidR="00C15628" w:rsidRPr="006C344B" w:rsidRDefault="00C15628" w:rsidP="005C73D0">
      <w:pPr>
        <w:spacing w:before="80" w:after="80"/>
        <w:ind w:right="2" w:firstLine="851"/>
        <w:jc w:val="both"/>
        <w:rPr>
          <w:rFonts w:ascii="Quattrocento Sans" w:hAnsi="Quattrocento Sans"/>
          <w:color w:val="215E99" w:themeColor="text2" w:themeTint="BF"/>
          <w:sz w:val="22"/>
          <w:szCs w:val="22"/>
        </w:rPr>
      </w:pP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Entretanto, apesar da expedição do OFÍCIO _______ pela Defensoria Pública da União, esta informação não consta do </w:t>
      </w:r>
      <w:proofErr w:type="spellStart"/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CadÚnico</w:t>
      </w:r>
      <w:proofErr w:type="spellEnd"/>
      <w:r w:rsidR="002330C6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. </w:t>
      </w:r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Por essa razão, requer-se o reconhecimento judicial da condição de _______ e a concessão do benefício do Programa Bolsa Família, com o pagamento das parcelas vencidas e vincendas</w:t>
      </w:r>
      <w:proofErr w:type="gramStart"/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. ]</w:t>
      </w:r>
      <w:proofErr w:type="gramEnd"/>
      <w:r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 xml:space="preserve"> </w:t>
      </w:r>
    </w:p>
    <w:p w14:paraId="76FC24F3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422262C2" w14:textId="103DE0B0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2.</w:t>
      </w:r>
      <w:r w:rsidR="00340095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4</w:t>
      </w:r>
      <w:r w:rsidRPr="005C73D0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. DA INCONSTITUCIONALIDADE DO ARTIGO 12-A DA LEI 14.601/23.</w:t>
      </w:r>
    </w:p>
    <w:p w14:paraId="3C337648" w14:textId="6CCFF720" w:rsidR="00F91906" w:rsidRPr="005C73D0" w:rsidRDefault="00F75BC7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Ainda p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or apego à argumentação,</w:t>
      </w:r>
      <w:r w:rsidR="003277DF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caso esta Turma Recursal entenda não ser o caso de aplicação do Tema 379 da TNU ao caso concreto, requer-se, subsidiariamente, </w:t>
      </w:r>
      <w:r w:rsidR="000C7A8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o reconhecimento da</w:t>
      </w:r>
      <w:r w:rsidR="00F91906"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patente incompatibilidade do artigo 12-A da Lei 14.601/2023 com a ordem constitucional vigente. </w:t>
      </w:r>
    </w:p>
    <w:p w14:paraId="1D4D7EC7" w14:textId="6B695BCF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lastRenderedPageBreak/>
        <w:t xml:space="preserve">O art. 12-A da Lei nº 14.601/2023, incluído pela Lei </w:t>
      </w:r>
      <w:r w:rsidR="00070AD2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nº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15.077/2024, dispõe que os Municípios e o Distrito Federal, na atuação descentralizada da execução e da gestão do Programa Bolsa Família, deverão observar índice máximo de famílias compostas de 1 (uma) só pessoa inscritas no Programa, nos termos de ato do Poder Executivo federal.   </w:t>
      </w:r>
    </w:p>
    <w:p w14:paraId="41054ADF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Tal dispositivo consiste em verdadeira "delegação legislativa em branco",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uma vez que o texto legal não estabelece balizas fundamentais para essa regulamentação, como o percentual máximo admissível, critérios técnicos para sua fixação ou limites que deveriam orientar a atuação administrativa.</w:t>
      </w:r>
    </w:p>
    <w:p w14:paraId="031617CB" w14:textId="226EDCD6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Ao conferir ao Poder Executivo uma discricionariedade ampla e sem diretrizes, a lei permite que a administração defina o índice de forma arbitrária, o que fere diretamente o princípio da legalidade (artigos 5º, II, e 37, caput, CF) e a separação de poderes (art. 2º, CF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). Essa transferência de competência retira do Poder Legislativo a tarefa de definir os contornos de uma restrição a direitos sociais, permitindo que o Executivo inove na ordem jurídica para criar critérios de exclusão que não possuem suporte na lei que instituiu o </w:t>
      </w:r>
      <w:r w:rsidR="00A965D5">
        <w:rPr>
          <w:rFonts w:ascii="Quattrocento Sans" w:hAnsi="Quattrocento Sans" w:cs="Calibri"/>
          <w:color w:val="215E99" w:themeColor="text2" w:themeTint="BF"/>
          <w:sz w:val="22"/>
          <w:szCs w:val="22"/>
        </w:rPr>
        <w:t>P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rograma.</w:t>
      </w:r>
    </w:p>
    <w:p w14:paraId="019B84DE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A norma institui uma discriminação desarrazoada, violando, outrossim, o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princípio da isonomia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(art. 5º, </w:t>
      </w:r>
      <w:r w:rsidRPr="005C73D0">
        <w:rPr>
          <w:rFonts w:ascii="Quattrocento Sans" w:hAnsi="Quattrocento Sans" w:cs="Calibri"/>
          <w:i/>
          <w:iCs/>
          <w:color w:val="215E99" w:themeColor="text2" w:themeTint="BF"/>
          <w:sz w:val="22"/>
          <w:szCs w:val="22"/>
        </w:rPr>
        <w:t>caput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e I, CF) e os objetivos fundamentais da República presentes no art. 3º, III e IV, CF, ao impor que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cidadãos em idêntica situação de vulnerabilidade recebam respostas estatais diametralmente opostas fundadas exclusivamente em seu local de residência, esvaziando o caráter universal da assistência social e agravando a marginalização que o Estado tem o dever constitucional de erradicar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Ainda, ao inviabilizar o acesso de quem preenche todos os requisitos legais, o ente público viola o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direito fundamental à alimentação e à renda básica (art. 6º, caput e parágrafo único, CF/88). </w:t>
      </w:r>
    </w:p>
    <w:p w14:paraId="4644DC04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Ademais, a imposição de um teto percentual de famílias unipessoais no Programa Bolsa Família por Município subverte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o princípio da dignidade da pessoa humana e o mínimo existencial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(art. 1º, III, CF/88), uma vez que condiciona a subsistência básica de indivíduos hipossuficientes a fatores demográficos alheios à realidade pessoal do indivíduo.</w:t>
      </w:r>
    </w:p>
    <w:p w14:paraId="5AB96C19" w14:textId="77777777" w:rsidR="00F91906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Por fim, a introdução de barreiras inexistentes nos primórdios do programa configura nítido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retrocesso social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, pois restringe o alcance de uma política pública consolidada sem a oferta de medidas compensatórias, rompendo com o compromisso de evolução progressiva dos direitos sociais e ferindo a segurança jurídica dos mais vulneráveis, ignorando o caminho apontado pelo STF no MI nº 7.300/DF de ampliação do escopo do Programa.</w:t>
      </w:r>
    </w:p>
    <w:p w14:paraId="796A6528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noProof/>
          <w:color w:val="215E99" w:themeColor="text2" w:themeTint="BF"/>
          <w:sz w:val="22"/>
          <w:szCs w:val="22"/>
        </w:rPr>
        <w:lastRenderedPageBreak/>
        <w:drawing>
          <wp:anchor distT="0" distB="0" distL="0" distR="0" simplePos="0" relativeHeight="251659264" behindDoc="0" locked="0" layoutInCell="0" allowOverlap="1" wp14:anchorId="299A456E" wp14:editId="1E664889">
            <wp:simplePos x="0" y="0"/>
            <wp:positionH relativeFrom="margin">
              <wp:posOffset>-487680</wp:posOffset>
            </wp:positionH>
            <wp:positionV relativeFrom="paragraph">
              <wp:posOffset>987425</wp:posOffset>
            </wp:positionV>
            <wp:extent cx="6471920" cy="1989455"/>
            <wp:effectExtent l="0" t="0" r="0" b="0"/>
            <wp:wrapTopAndBottom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Vale ressaltar que, em caso semelhante ao presente, foi distribuído o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ARE 1550140/PE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ao Supremo Tribunal Federal para análise da admissibilidade da Repercussão Geral da matéria, o que reforça a </w:t>
      </w: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necessidade da declaração de inconstitucionalidade incidental do artigo 12-A da Lei nº 14.601/2023,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pelos seguintes fundamentos:</w:t>
      </w:r>
    </w:p>
    <w:p w14:paraId="01B79F7A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</w:p>
    <w:p w14:paraId="595DC3D8" w14:textId="48249509" w:rsidR="00F91906" w:rsidRDefault="00F91906" w:rsidP="00673BE5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Diante do exposto, evidente a inconstitucionalidade do artigo 12-A da Lei </w:t>
      </w:r>
      <w:r w:rsidR="00561FE9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nº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14.601/2023, acrescentado pela Lei</w:t>
      </w:r>
      <w:r w:rsidR="00561FE9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nº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15.077/2024, requer-se o pronunciamento dest</w:t>
      </w:r>
      <w:r w:rsidR="00561FE9">
        <w:rPr>
          <w:rFonts w:ascii="Quattrocento Sans" w:hAnsi="Quattrocento Sans" w:cs="Calibri"/>
          <w:color w:val="215E99" w:themeColor="text2" w:themeTint="BF"/>
          <w:sz w:val="22"/>
          <w:szCs w:val="22"/>
        </w:rPr>
        <w:t>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561FE9">
        <w:rPr>
          <w:rFonts w:ascii="Quattrocento Sans" w:hAnsi="Quattrocento Sans" w:cs="Calibri"/>
          <w:color w:val="215E99" w:themeColor="text2" w:themeTint="BF"/>
          <w:sz w:val="22"/>
          <w:szCs w:val="22"/>
        </w:rPr>
        <w:t>Turma Recursal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quanto ao controle incidental de constitucionalidade diante da violação da norma aos fundamentos acima indicados</w:t>
      </w:r>
      <w:r w:rsidR="00B64F04">
        <w:rPr>
          <w:rFonts w:ascii="Quattrocento Sans" w:hAnsi="Quattrocento Sans" w:cs="Calibri"/>
          <w:color w:val="215E99" w:themeColor="text2" w:themeTint="BF"/>
          <w:sz w:val="22"/>
          <w:szCs w:val="22"/>
        </w:rPr>
        <w:t>. Por consequência, requer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seja </w:t>
      </w:r>
      <w:r w:rsidR="00B64F04">
        <w:rPr>
          <w:rFonts w:ascii="Quattrocento Sans" w:hAnsi="Quattrocento Sans" w:cs="Calibri"/>
          <w:color w:val="215E99" w:themeColor="text2" w:themeTint="BF"/>
          <w:sz w:val="22"/>
          <w:szCs w:val="22"/>
        </w:rPr>
        <w:t>reformada a sentença para julgar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procedente o pedido de (</w:t>
      </w:r>
      <w:proofErr w:type="spellStart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re</w:t>
      </w:r>
      <w:proofErr w:type="spellEnd"/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)ingresso da parte </w:t>
      </w:r>
      <w:r w:rsidR="00B64F04">
        <w:rPr>
          <w:rFonts w:ascii="Quattrocento Sans" w:hAnsi="Quattrocento Sans" w:cs="Calibri"/>
          <w:color w:val="215E99" w:themeColor="text2" w:themeTint="BF"/>
          <w:sz w:val="22"/>
          <w:szCs w:val="22"/>
        </w:rPr>
        <w:t>recorrente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no Programa Bolsa Família.</w:t>
      </w:r>
    </w:p>
    <w:p w14:paraId="256A7856" w14:textId="77777777" w:rsidR="00673BE5" w:rsidRDefault="00673BE5" w:rsidP="00673BE5">
      <w:pPr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78358A16" w14:textId="5C9815C7" w:rsidR="00673BE5" w:rsidRPr="00673BE5" w:rsidRDefault="00673BE5" w:rsidP="00673BE5">
      <w:pPr>
        <w:spacing w:before="80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  <w:r w:rsidRPr="00673BE5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3.</w:t>
      </w:r>
      <w:r w:rsidRPr="00673BE5">
        <w:rPr>
          <w:rFonts w:ascii="Quattrocento Sans" w:hAnsi="Quattrocento Sans" w:cs="Calibri"/>
          <w:i/>
          <w:iCs/>
          <w:color w:val="215E99" w:themeColor="text2" w:themeTint="BF"/>
          <w:sz w:val="22"/>
          <w:szCs w:val="22"/>
        </w:rPr>
        <w:t xml:space="preserve"> </w:t>
      </w:r>
      <w:r w:rsidR="003C48C3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DA</w:t>
      </w:r>
      <w:r w:rsidRPr="00673BE5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 xml:space="preserve"> CONCESSÃO DA TUTELA RECURSAL. DO PREENCHIMENTO DOS REQUISITOS LEGAIS PARA A CONCESSÃO DO BENEFÍCIO DO PROGRAMA BOLSA FAMÍLIA NO CASO CONCRETO.</w:t>
      </w:r>
    </w:p>
    <w:p w14:paraId="38FF6F18" w14:textId="77777777" w:rsidR="00673BE5" w:rsidRPr="00673BE5" w:rsidRDefault="00673BE5" w:rsidP="00673BE5">
      <w:pPr>
        <w:pStyle w:val="Corpodetexto"/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Nos termos do artigo 43 da Lei nº 9.099/95, aplicável subsidiariamente ao Juizado Especial Federal, e à luz do artigo 300 do CPC, requer-se a </w:t>
      </w:r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antecipação da tutela recursal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para determinar à União a </w:t>
      </w:r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imediata (</w:t>
      </w:r>
      <w:proofErr w:type="spellStart"/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re</w:t>
      </w:r>
      <w:proofErr w:type="spellEnd"/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)inclusão da parte autora, ora requerente, no Programa Bolsa Família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, com (</w:t>
      </w:r>
      <w:proofErr w:type="spellStart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re</w:t>
      </w:r>
      <w:proofErr w:type="spellEnd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)início do pagamento dos valores devidos, enquanto se aguarda o julgamento final do presente recurso.</w:t>
      </w:r>
    </w:p>
    <w:p w14:paraId="3A55C45C" w14:textId="1C3AAC0C" w:rsidR="00673BE5" w:rsidRPr="00673BE5" w:rsidRDefault="00673BE5" w:rsidP="00673BE5">
      <w:pPr>
        <w:pStyle w:val="Corpodetexto"/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Conforme previsto no art. 300 do CPC, a tutela de urgência será concedida quando houver elementos que evidenciem a </w:t>
      </w:r>
      <w:r w:rsidRPr="00673BE5">
        <w:rPr>
          <w:rFonts w:ascii="Quattrocento Sans" w:hAnsi="Quattrocento Sans" w:cs="Calibri"/>
          <w:b/>
          <w:color w:val="215E99" w:themeColor="text2" w:themeTint="BF"/>
          <w:sz w:val="22"/>
          <w:szCs w:val="22"/>
        </w:rPr>
        <w:t>probabilidade do direito e o perigo de dano ou risco ao resultado útil do processo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</w:t>
      </w:r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  <w:u w:val="single"/>
        </w:rPr>
        <w:t>Ambos os requisitos da antecipação de tutela estão preenchidos nos autos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.</w:t>
      </w:r>
    </w:p>
    <w:p w14:paraId="42519EE7" w14:textId="3AEF79F7" w:rsidR="00673BE5" w:rsidRPr="00673BE5" w:rsidRDefault="004F7EFE" w:rsidP="00673BE5">
      <w:pPr>
        <w:pStyle w:val="Corpodetexto"/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color w:val="215E99" w:themeColor="text2" w:themeTint="BF"/>
          <w:sz w:val="22"/>
          <w:szCs w:val="22"/>
        </w:rPr>
        <w:t>A</w:t>
      </w:r>
      <w:r w:rsidR="00673BE5"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probabilidade do direito se respalda em razão dos seguintes fatores:</w:t>
      </w:r>
    </w:p>
    <w:p w14:paraId="5049CC26" w14:textId="351DF093" w:rsidR="00673BE5" w:rsidRPr="00673BE5" w:rsidRDefault="00673BE5" w:rsidP="00673BE5">
      <w:pPr>
        <w:pStyle w:val="Corpodetexto"/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(i)</w:t>
      </w:r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vulnerabilidade social da parte recorrente (inscrição/atualização do </w:t>
      </w:r>
      <w:proofErr w:type="spellStart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CadÚnico</w:t>
      </w:r>
      <w:proofErr w:type="spellEnd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em ____</w:t>
      </w:r>
      <w:r w:rsidR="0004058F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[DATA]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, com renda familiar </w:t>
      </w:r>
      <w:r w:rsidRPr="0004058F">
        <w:rPr>
          <w:rFonts w:ascii="Quattrocento Sans" w:hAnsi="Quattrocento Sans" w:cs="Calibri"/>
          <w:i/>
          <w:iCs/>
          <w:color w:val="215E99" w:themeColor="text2" w:themeTint="BF"/>
          <w:sz w:val="22"/>
          <w:szCs w:val="22"/>
        </w:rPr>
        <w:t>per capita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de ____); </w:t>
      </w:r>
    </w:p>
    <w:p w14:paraId="3A29AB8A" w14:textId="3644D2BD" w:rsidR="00673BE5" w:rsidRPr="00673BE5" w:rsidRDefault="00673BE5" w:rsidP="00673BE5">
      <w:pPr>
        <w:pStyle w:val="Corpodetexto"/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(</w:t>
      </w:r>
      <w:proofErr w:type="spellStart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ii</w:t>
      </w:r>
      <w:proofErr w:type="spellEnd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) impossibilidade do recebimento do benefício do Programa Bolsa Família exclusivamente em razão </w:t>
      </w:r>
      <w:r w:rsidR="0004058F">
        <w:rPr>
          <w:rFonts w:ascii="Quattrocento Sans" w:hAnsi="Quattrocento Sans" w:cs="Calibri"/>
          <w:color w:val="215E99" w:themeColor="text2" w:themeTint="BF"/>
          <w:sz w:val="22"/>
          <w:szCs w:val="22"/>
        </w:rPr>
        <w:t>da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limitação do percentual de 16% de famílias unipessoais por Município (Ofício _____/print aplicativo); </w:t>
      </w:r>
    </w:p>
    <w:p w14:paraId="6BA6AFE3" w14:textId="3FE29610" w:rsidR="00673BE5" w:rsidRPr="00673BE5" w:rsidRDefault="00673BE5" w:rsidP="00673BE5">
      <w:pPr>
        <w:pStyle w:val="Corpodetexto"/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lastRenderedPageBreak/>
        <w:t>(</w:t>
      </w:r>
      <w:proofErr w:type="spellStart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>iii</w:t>
      </w:r>
      <w:proofErr w:type="spellEnd"/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) </w:t>
      </w:r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ilegalidade da aplicação dos dispositivos da Portaria MDS nº 897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(com redação dada pela Portaria MDS nº 911/2023),</w:t>
      </w:r>
      <w:r w:rsidR="00F6447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tendo em vista o marco temporal fixado na </w:t>
      </w:r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tese firmada no Tema 379, da TNU</w:t>
      </w:r>
      <w:r w:rsidR="00711591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 xml:space="preserve"> </w:t>
      </w:r>
      <w:r w:rsidR="00F6447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/ </w:t>
      </w:r>
      <w:r w:rsidR="00513319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enquadramento em </w:t>
      </w:r>
      <w:r w:rsidR="00513319" w:rsidRPr="007301CA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hipótese excepcional</w:t>
      </w:r>
      <w:r w:rsidR="00F6447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711591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ao limite de 16% de famílias unipessoais por município, </w:t>
      </w:r>
      <w:r w:rsidR="00F6447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prevista no </w:t>
      </w:r>
      <w:r w:rsidR="00711591" w:rsidRPr="006C344B">
        <w:rPr>
          <w:rFonts w:ascii="Quattrocento Sans" w:hAnsi="Quattrocento Sans"/>
          <w:color w:val="215E99" w:themeColor="text2" w:themeTint="BF"/>
          <w:sz w:val="22"/>
          <w:szCs w:val="22"/>
        </w:rPr>
        <w:t>6°, § 3º, IX, inciso _____, da Portaria MDS n° 897/2023</w:t>
      </w:r>
      <w:r w:rsidR="007301CA">
        <w:rPr>
          <w:rFonts w:ascii="Quattrocento Sans" w:hAnsi="Quattrocento Sans"/>
          <w:color w:val="215E99" w:themeColor="text2" w:themeTint="BF"/>
          <w:sz w:val="22"/>
          <w:szCs w:val="22"/>
        </w:rPr>
        <w:t>.</w:t>
      </w:r>
    </w:p>
    <w:p w14:paraId="48065F43" w14:textId="407A4CD9" w:rsidR="00BE1135" w:rsidRDefault="00673BE5" w:rsidP="00673BE5">
      <w:pPr>
        <w:pStyle w:val="Corpodetexto"/>
        <w:spacing w:before="80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673BE5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O perigo da demora</w:t>
      </w:r>
      <w:r w:rsidR="00513319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também resta preenchido, uma vez que o pedido versa sobre o direito fundamental à </w:t>
      </w:r>
      <w:r w:rsidR="000065A9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renda básica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assegurado no artigo 6º, </w:t>
      </w:r>
      <w:r w:rsidRPr="00673BE5">
        <w:rPr>
          <w:rFonts w:ascii="Quattrocento Sans" w:hAnsi="Quattrocento Sans" w:cs="Calibri"/>
          <w:i/>
          <w:iCs/>
          <w:color w:val="215E99" w:themeColor="text2" w:themeTint="BF"/>
          <w:sz w:val="22"/>
          <w:szCs w:val="22"/>
        </w:rPr>
        <w:t>caput,</w:t>
      </w:r>
      <w:r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da Constituição Federal</w:t>
      </w:r>
      <w:r w:rsidR="000065A9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. </w:t>
      </w:r>
      <w:r w:rsidR="00BE1135">
        <w:rPr>
          <w:rFonts w:ascii="Quattrocento Sans" w:hAnsi="Quattrocento Sans" w:cs="Calibri"/>
          <w:color w:val="215E99" w:themeColor="text2" w:themeTint="BF"/>
          <w:sz w:val="22"/>
          <w:szCs w:val="22"/>
        </w:rPr>
        <w:t>Trata-se de verba de caráter alimentar</w:t>
      </w:r>
      <w:r w:rsidR="00EF61BC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destinado à parcela mais vulnerável da população brasileira, </w:t>
      </w:r>
      <w:r w:rsidR="00F7579E">
        <w:rPr>
          <w:rFonts w:ascii="Quattrocento Sans" w:hAnsi="Quattrocento Sans" w:cs="Calibri"/>
          <w:color w:val="215E99" w:themeColor="text2" w:themeTint="BF"/>
          <w:sz w:val="22"/>
          <w:szCs w:val="22"/>
        </w:rPr>
        <w:t>o que justifica a imediata (</w:t>
      </w:r>
      <w:proofErr w:type="spellStart"/>
      <w:r w:rsidR="00F7579E">
        <w:rPr>
          <w:rFonts w:ascii="Quattrocento Sans" w:hAnsi="Quattrocento Sans" w:cs="Calibri"/>
          <w:color w:val="215E99" w:themeColor="text2" w:themeTint="BF"/>
          <w:sz w:val="22"/>
          <w:szCs w:val="22"/>
        </w:rPr>
        <w:t>re</w:t>
      </w:r>
      <w:proofErr w:type="spellEnd"/>
      <w:r w:rsidR="00F7579E">
        <w:rPr>
          <w:rFonts w:ascii="Quattrocento Sans" w:hAnsi="Quattrocento Sans" w:cs="Calibri"/>
          <w:color w:val="215E99" w:themeColor="text2" w:themeTint="BF"/>
          <w:sz w:val="22"/>
          <w:szCs w:val="22"/>
        </w:rPr>
        <w:t>)inclusão</w:t>
      </w:r>
      <w:r w:rsidR="00F7579E" w:rsidRPr="00673BE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F7579E">
        <w:rPr>
          <w:rFonts w:ascii="Quattrocento Sans" w:hAnsi="Quattrocento Sans" w:cs="Calibri"/>
          <w:color w:val="215E99" w:themeColor="text2" w:themeTint="BF"/>
          <w:sz w:val="22"/>
          <w:szCs w:val="22"/>
        </w:rPr>
        <w:t>da parte recorrente no Programa Bolsa Família.</w:t>
      </w:r>
    </w:p>
    <w:p w14:paraId="16A2F5DB" w14:textId="77777777" w:rsidR="00F7579E" w:rsidRPr="00223530" w:rsidRDefault="00F7579E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</w:p>
    <w:p w14:paraId="7D2F0A36" w14:textId="79265206" w:rsidR="00F91906" w:rsidRPr="00223530" w:rsidRDefault="00223530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  <w:r w:rsidRPr="00223530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4</w:t>
      </w:r>
      <w:r w:rsidR="00F91906" w:rsidRPr="00223530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. DO PREQUESTIONAMENTO</w:t>
      </w:r>
    </w:p>
    <w:p w14:paraId="10A7A42B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Para fins de eventual interposição de recursos excepcionais, requer-se o pronunciamento expresso acerca da interpretação e aplicação dos seguintes dispositivos:</w:t>
      </w:r>
    </w:p>
    <w:p w14:paraId="40B60A9F" w14:textId="2F9E5B81" w:rsidR="00E7507D" w:rsidRPr="005C73D0" w:rsidRDefault="00E7507D" w:rsidP="005C73D0">
      <w:pPr>
        <w:numPr>
          <w:ilvl w:val="0"/>
          <w:numId w:val="1"/>
        </w:numPr>
        <w:spacing w:before="80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Artigo 1º, III; artigo 2º; artigo 3º, III e IV; artigo 5º, </w:t>
      </w:r>
      <w:r w:rsidRPr="005C73D0">
        <w:rPr>
          <w:rFonts w:ascii="Quattrocento Sans" w:eastAsia="Quattrocento Sans" w:hAnsi="Quattrocento Sans" w:cs="Quattrocento Sans"/>
          <w:i/>
          <w:iCs/>
          <w:color w:val="215E99" w:themeColor="text2" w:themeTint="BF"/>
          <w:sz w:val="22"/>
          <w:szCs w:val="22"/>
        </w:rPr>
        <w:t xml:space="preserve">caput 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e</w:t>
      </w:r>
      <w:r w:rsidRPr="005C73D0">
        <w:rPr>
          <w:rFonts w:ascii="Quattrocento Sans" w:eastAsia="Quattrocento Sans" w:hAnsi="Quattrocento Sans" w:cs="Quattrocento Sans"/>
          <w:i/>
          <w:iCs/>
          <w:color w:val="215E99" w:themeColor="text2" w:themeTint="BF"/>
          <w:sz w:val="22"/>
          <w:szCs w:val="22"/>
        </w:rPr>
        <w:t xml:space="preserve"> </w:t>
      </w:r>
      <w:r w:rsidR="00BA5B8E" w:rsidRPr="00EA4FD6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incisos I</w:t>
      </w:r>
      <w:r w:rsidR="00BA5B8E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,</w:t>
      </w:r>
      <w:r w:rsidR="00BA5B8E" w:rsidRPr="00EA4FD6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</w:t>
      </w:r>
      <w:proofErr w:type="gramStart"/>
      <w:r w:rsidR="00BA5B8E" w:rsidRPr="00EA4FD6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II</w:t>
      </w:r>
      <w:r w:rsidR="00BA5B8E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, e XXXVI</w:t>
      </w:r>
      <w:proofErr w:type="gramEnd"/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; artigo 6º, </w:t>
      </w:r>
      <w:r w:rsidRPr="005C73D0">
        <w:rPr>
          <w:rFonts w:ascii="Quattrocento Sans" w:eastAsia="Quattrocento Sans" w:hAnsi="Quattrocento Sans" w:cs="Quattrocento Sans"/>
          <w:i/>
          <w:iCs/>
          <w:color w:val="215E99" w:themeColor="text2" w:themeTint="BF"/>
          <w:sz w:val="22"/>
          <w:szCs w:val="22"/>
        </w:rPr>
        <w:t xml:space="preserve">caput 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e parágrafo único; artigo 93, IX, todos da Constituição Federal; e violação à decisão proferida pelo STF no Mandado de Injunção n. 7.300/DF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; </w:t>
      </w:r>
    </w:p>
    <w:p w14:paraId="22C251DA" w14:textId="37CFECE4" w:rsidR="00E7507D" w:rsidRPr="005C73D0" w:rsidRDefault="00E7507D" w:rsidP="005C73D0">
      <w:pPr>
        <w:numPr>
          <w:ilvl w:val="0"/>
          <w:numId w:val="1"/>
        </w:numPr>
        <w:spacing w:before="80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Artigo 1º c/c § 1º da Lei nº 10.835/04; artigo 4º, I e IV, Lei nº 8.742/92; artigo 1º c/c § 1º da Lei nº 14.601/23; artigo 5º e artigo 12-A, todos da Lei nº 14.601/23; artigos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489, §1º, 1.022, II e 1.025, todos do CPC;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 </w:t>
      </w:r>
      <w:r w:rsidR="00D873EE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artigo 30 da Lei de Introdução ao Direito Brasileiro; </w:t>
      </w:r>
      <w:r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e violação ao Tema 379 da TNU</w:t>
      </w:r>
    </w:p>
    <w:p w14:paraId="561C35E2" w14:textId="77777777" w:rsidR="00F91906" w:rsidRPr="005C73D0" w:rsidRDefault="00F91906" w:rsidP="005C73D0">
      <w:pPr>
        <w:spacing w:beforeLines="80" w:before="192" w:afterLines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</w:p>
    <w:p w14:paraId="134BFFFD" w14:textId="179329DA" w:rsidR="00F91906" w:rsidRPr="006C344B" w:rsidRDefault="00223530" w:rsidP="005C73D0">
      <w:pPr>
        <w:spacing w:beforeLines="80" w:before="192" w:afterLines="80" w:after="192"/>
        <w:jc w:val="both"/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</w:pPr>
      <w:r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5</w:t>
      </w:r>
      <w:r w:rsidR="00F91906" w:rsidRPr="006C344B">
        <w:rPr>
          <w:rFonts w:ascii="Quattrocento Sans" w:hAnsi="Quattrocento Sans" w:cs="Calibri"/>
          <w:b/>
          <w:bCs/>
          <w:i/>
          <w:iCs/>
          <w:color w:val="215E99" w:themeColor="text2" w:themeTint="BF"/>
          <w:sz w:val="22"/>
          <w:szCs w:val="22"/>
        </w:rPr>
        <w:t>. DO PEDIDO</w:t>
      </w:r>
    </w:p>
    <w:p w14:paraId="65A83B10" w14:textId="77777777" w:rsidR="00F91906" w:rsidRPr="005C73D0" w:rsidRDefault="00F91906" w:rsidP="005C73D0">
      <w:pPr>
        <w:spacing w:beforeLines="80" w:before="192" w:afterLines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Ante o exposto, requer-se:</w:t>
      </w:r>
    </w:p>
    <w:p w14:paraId="01EED0D3" w14:textId="212AB965" w:rsidR="00F91906" w:rsidRPr="005C73D0" w:rsidRDefault="00E7507D" w:rsidP="005C73D0">
      <w:pPr>
        <w:pStyle w:val="PargrafodaLista"/>
        <w:numPr>
          <w:ilvl w:val="0"/>
          <w:numId w:val="3"/>
        </w:numPr>
        <w:spacing w:beforeLines="80" w:before="192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Seja conhecido e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provido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o 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presente Recurso Inominado,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para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reformar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a 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sentença prolatada</w:t>
      </w:r>
      <w:r w:rsidR="00F91906" w:rsidRPr="005C73D0">
        <w:rPr>
          <w:rFonts w:ascii="Quattrocento Sans" w:hAnsi="Quattrocento Sans" w:cs="Calibri"/>
          <w:i/>
          <w:iCs/>
          <w:color w:val="215E99" w:themeColor="text2" w:themeTint="BF"/>
          <w:sz w:val="22"/>
          <w:szCs w:val="22"/>
        </w:rPr>
        <w:t>,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a fim de que sejam julgados 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integralmente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procedentes os pedidos da </w:t>
      </w:r>
      <w:r w:rsidR="008F00F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petição 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inicial</w:t>
      </w:r>
      <w:r w:rsidR="008F00F5">
        <w:rPr>
          <w:rFonts w:ascii="Quattrocento Sans" w:hAnsi="Quattrocento Sans" w:cs="Calibri"/>
          <w:color w:val="215E99" w:themeColor="text2" w:themeTint="BF"/>
          <w:sz w:val="22"/>
          <w:szCs w:val="22"/>
        </w:rPr>
        <w:t>, com</w:t>
      </w:r>
      <w:r w:rsidR="00087114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</w:t>
      </w:r>
      <w:r w:rsidR="008F00F5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a </w:t>
      </w:r>
      <w:r w:rsidR="00087114"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(</w:t>
      </w:r>
      <w:proofErr w:type="spellStart"/>
      <w:r w:rsidR="00087114"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re</w:t>
      </w:r>
      <w:proofErr w:type="spellEnd"/>
      <w:r w:rsidR="00087114"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 xml:space="preserve">)inclusão da parte autora no Programa Bolsa Família, o pagamento das parcelas vencidas e vincendas do benefício desde a data da atualização/cadastramento no </w:t>
      </w:r>
      <w:proofErr w:type="spellStart"/>
      <w:r w:rsidR="00087114"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CadÚnico</w:t>
      </w:r>
      <w:proofErr w:type="spellEnd"/>
      <w:r w:rsidR="00087114" w:rsidRPr="005C73D0">
        <w:rPr>
          <w:rFonts w:ascii="Quattrocento Sans" w:eastAsia="Quattrocento Sans" w:hAnsi="Quattrocento Sans" w:cs="Quattrocento Sans"/>
          <w:color w:val="215E99" w:themeColor="text2" w:themeTint="BF"/>
          <w:sz w:val="22"/>
          <w:szCs w:val="22"/>
        </w:rPr>
        <w:t>/indevida exclusão do PBF, acrescidas de juros legais e correção monetária;</w:t>
      </w:r>
    </w:p>
    <w:p w14:paraId="7F79E471" w14:textId="77DE84D6" w:rsidR="00D27C0B" w:rsidRPr="005C73D0" w:rsidRDefault="00C104A2" w:rsidP="005C73D0">
      <w:pPr>
        <w:pStyle w:val="PargrafodaLista"/>
        <w:numPr>
          <w:ilvl w:val="0"/>
          <w:numId w:val="3"/>
        </w:numPr>
        <w:spacing w:beforeLines="80" w:before="192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A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concessão da tutela recursal antecipada, nos termos do artigo 43 da Lei nº 9.099/9</w:t>
      </w:r>
      <w:r w:rsidR="00E21A66">
        <w:rPr>
          <w:rFonts w:ascii="Quattrocento Sans" w:hAnsi="Quattrocento Sans" w:cs="Calibri"/>
          <w:color w:val="215E99" w:themeColor="text2" w:themeTint="BF"/>
          <w:sz w:val="22"/>
          <w:szCs w:val="22"/>
        </w:rPr>
        <w:t>5</w:t>
      </w:r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e do art. 300 do CPC, para determinar à parte Ré, ora recorrida, que promova a imediata (</w:t>
      </w:r>
      <w:proofErr w:type="spellStart"/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re</w:t>
      </w:r>
      <w:proofErr w:type="spellEnd"/>
      <w:r w:rsidR="00F91906"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)inclusão da recorrente no Programa Bolsa Família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;</w:t>
      </w:r>
    </w:p>
    <w:p w14:paraId="4AB38E70" w14:textId="1A800ACC" w:rsidR="00D27C0B" w:rsidRPr="005C73D0" w:rsidRDefault="00D27C0B" w:rsidP="005C73D0">
      <w:pPr>
        <w:pStyle w:val="PargrafodaLista"/>
        <w:numPr>
          <w:ilvl w:val="0"/>
          <w:numId w:val="3"/>
        </w:numPr>
        <w:spacing w:beforeLines="80" w:before="192" w:afterLines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por fim, na remota hipótese de o recurso não ser provido, requer-se o prequestionamento expresso das normas constitucionais e legais</w:t>
      </w:r>
      <w:r w:rsidR="00890E0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acima</w:t>
      </w: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indicadas.</w:t>
      </w:r>
    </w:p>
    <w:p w14:paraId="41CDD35E" w14:textId="5C220CDF" w:rsidR="00F91906" w:rsidRPr="005C73D0" w:rsidRDefault="00F91906" w:rsidP="005C73D0">
      <w:pPr>
        <w:pStyle w:val="PargrafodaLista"/>
        <w:spacing w:beforeLines="80" w:before="192" w:afterLines="80" w:after="192"/>
        <w:ind w:left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 xml:space="preserve">  </w:t>
      </w:r>
    </w:p>
    <w:p w14:paraId="763466AD" w14:textId="77777777" w:rsidR="005C73D0" w:rsidRPr="005C73D0" w:rsidRDefault="005C73D0" w:rsidP="005C73D0">
      <w:pPr>
        <w:spacing w:before="80" w:afterLines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Nesses termos, pede deferimento.</w:t>
      </w:r>
    </w:p>
    <w:p w14:paraId="53540012" w14:textId="77777777" w:rsidR="005C73D0" w:rsidRPr="005C73D0" w:rsidRDefault="005C73D0" w:rsidP="005C73D0">
      <w:pPr>
        <w:spacing w:before="80" w:afterLines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color w:val="215E99" w:themeColor="text2" w:themeTint="BF"/>
          <w:sz w:val="22"/>
          <w:szCs w:val="22"/>
        </w:rPr>
        <w:t>Local, data.</w:t>
      </w:r>
    </w:p>
    <w:p w14:paraId="2F43B97F" w14:textId="77777777" w:rsidR="005C73D0" w:rsidRPr="005C73D0" w:rsidRDefault="005C73D0" w:rsidP="005C73D0">
      <w:pPr>
        <w:spacing w:before="80" w:afterLines="80" w:after="192"/>
        <w:jc w:val="center"/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</w:pPr>
      <w:r w:rsidRPr="005C73D0">
        <w:rPr>
          <w:rFonts w:ascii="Quattrocento Sans" w:hAnsi="Quattrocento Sans" w:cs="Calibri"/>
          <w:b/>
          <w:bCs/>
          <w:color w:val="215E99" w:themeColor="text2" w:themeTint="BF"/>
          <w:sz w:val="22"/>
          <w:szCs w:val="22"/>
        </w:rPr>
        <w:t>Defensor/a Público/a Federal</w:t>
      </w:r>
    </w:p>
    <w:tbl>
      <w:tblPr>
        <w:tblStyle w:val="TableNormal"/>
        <w:tblW w:w="9639" w:type="dxa"/>
        <w:tblInd w:w="-709" w:type="dxa"/>
        <w:tblLayout w:type="fixed"/>
        <w:tblLook w:val="01E0" w:firstRow="1" w:lastRow="1" w:firstColumn="1" w:lastColumn="1" w:noHBand="0" w:noVBand="0"/>
      </w:tblPr>
      <w:tblGrid>
        <w:gridCol w:w="6237"/>
        <w:gridCol w:w="3402"/>
      </w:tblGrid>
      <w:tr w:rsidR="005C73D0" w:rsidRPr="00A47626" w14:paraId="58A3143F" w14:textId="77777777" w:rsidTr="00D91ED3">
        <w:trPr>
          <w:trHeight w:val="20"/>
        </w:trPr>
        <w:tc>
          <w:tcPr>
            <w:tcW w:w="6237" w:type="dxa"/>
            <w:shd w:val="clear" w:color="auto" w:fill="B8CCE1"/>
          </w:tcPr>
          <w:p w14:paraId="54B77D70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Membros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/as da Câmara de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Coordenação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Revisão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Cível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:</w:t>
            </w:r>
          </w:p>
          <w:p w14:paraId="1E541D83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>Denise Tanaka dos Santos</w:t>
            </w:r>
          </w:p>
          <w:p w14:paraId="1BFCECAE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>Fernando da Cunha Cavalcanti</w:t>
            </w:r>
          </w:p>
          <w:p w14:paraId="51108AA1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lastRenderedPageBreak/>
              <w:t xml:space="preserve">Luísa Ayumi Komoda Paes de Figueiredo  </w:t>
            </w:r>
          </w:p>
          <w:p w14:paraId="02A31DE8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711"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>Maíra de Carvalho Pereira Mesquita</w:t>
            </w:r>
          </w:p>
          <w:p w14:paraId="46BEF179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>Marcos Wagner Alves Teixeira</w:t>
            </w:r>
          </w:p>
          <w:p w14:paraId="26427E89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>Polianna Maia de Paiva</w:t>
            </w:r>
          </w:p>
          <w:p w14:paraId="5FFD1480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>Wilza</w:t>
            </w:r>
            <w:proofErr w:type="spellEnd"/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 xml:space="preserve"> Carla Folchini Barreiros </w:t>
            </w:r>
            <w:r w:rsidRPr="00A47626">
              <w:rPr>
                <w:rFonts w:ascii="Quattrocento Sans" w:hAnsi="Quattrocento Sans"/>
                <w:i/>
                <w:iCs/>
                <w:color w:val="215E99" w:themeColor="text2" w:themeTint="BF"/>
                <w:sz w:val="18"/>
                <w:szCs w:val="18"/>
              </w:rPr>
              <w:t xml:space="preserve"> </w:t>
            </w:r>
          </w:p>
          <w:p w14:paraId="0B085E53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8" w:right="123" w:hanging="471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</w:p>
          <w:p w14:paraId="5B17583D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Assessoria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da Câmara de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Coordenação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Revisão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Cível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:</w:t>
            </w:r>
          </w:p>
          <w:p w14:paraId="29A0FDF1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Luciana Othon Lacerda de Andrade</w:t>
            </w:r>
          </w:p>
          <w:p w14:paraId="203AE1F7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Maria Clara de Almeida Ferraz</w:t>
            </w:r>
          </w:p>
          <w:p w14:paraId="0DFB8B4A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Maria Eduarda Tavares de Lucena Oliveira</w:t>
            </w:r>
          </w:p>
          <w:p w14:paraId="061B3F19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</w:p>
          <w:p w14:paraId="5E5051CF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Coordenadora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da Câmara de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Coordenação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Revisão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Cível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:</w:t>
            </w:r>
          </w:p>
          <w:p w14:paraId="4A5F6716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Maíra de Carvalho Pereira Mesquita</w:t>
            </w:r>
          </w:p>
          <w:p w14:paraId="49029E9E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6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</w:p>
          <w:p w14:paraId="048BF542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3"/>
              <w:jc w:val="right"/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Coordenador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Executivo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das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Câmaras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de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Coordenação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e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Revisão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:</w:t>
            </w:r>
          </w:p>
          <w:p w14:paraId="084CA0FF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3"/>
              <w:jc w:val="right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Marcos Antônio Paderes Barbosa</w:t>
            </w:r>
          </w:p>
        </w:tc>
        <w:tc>
          <w:tcPr>
            <w:tcW w:w="3402" w:type="dxa"/>
            <w:shd w:val="clear" w:color="auto" w:fill="B8CCE1"/>
          </w:tcPr>
          <w:p w14:paraId="7EC91D11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0"/>
              <w:rPr>
                <w:rFonts w:ascii="Quattrocento Sans" w:hAnsi="Quattrocento Sans"/>
                <w:b/>
                <w:color w:val="215E99" w:themeColor="text2" w:themeTint="BF"/>
                <w:sz w:val="18"/>
                <w:szCs w:val="18"/>
              </w:rPr>
            </w:pPr>
          </w:p>
          <w:p w14:paraId="046D0B7E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444"/>
              <w:rPr>
                <w:rFonts w:ascii="Quattrocento Sans" w:hAnsi="Quattrocento Sans"/>
                <w:b/>
                <w:color w:val="215E99" w:themeColor="text2" w:themeTint="BF"/>
                <w:sz w:val="18"/>
                <w:szCs w:val="18"/>
              </w:rPr>
            </w:pPr>
          </w:p>
          <w:p w14:paraId="665E8D0E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</w:pPr>
            <w:hyperlink r:id="rId12">
              <w:r w:rsidRPr="00A47626">
                <w:rPr>
                  <w:rFonts w:ascii="Quattrocento Sans" w:eastAsia="Quattrocento Sans" w:hAnsi="Quattrocento Sans"/>
                  <w:color w:val="215E99" w:themeColor="text2" w:themeTint="BF"/>
                  <w:sz w:val="18"/>
                  <w:szCs w:val="18"/>
                </w:rPr>
                <w:t>ccrcivel@dpu.def.br</w:t>
              </w:r>
            </w:hyperlink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 xml:space="preserve"> </w:t>
            </w:r>
          </w:p>
          <w:p w14:paraId="54563956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hyperlink r:id="rId13" w:history="1">
              <w:r w:rsidRPr="00A47626">
                <w:rPr>
                  <w:rStyle w:val="Hyperlink"/>
                  <w:rFonts w:ascii="Quattrocento Sans" w:eastAsia="Quattrocento Sans" w:hAnsi="Quattrocento Sans"/>
                  <w:color w:val="215E99" w:themeColor="text2" w:themeTint="BF"/>
                  <w:sz w:val="18"/>
                  <w:szCs w:val="18"/>
                </w:rPr>
                <w:t>camaras.secretaria@dpu.def.br</w:t>
              </w:r>
            </w:hyperlink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 xml:space="preserve"> </w:t>
            </w:r>
            <w:hyperlink r:id="rId14">
              <w:r w:rsidRPr="00A47626">
                <w:rPr>
                  <w:rFonts w:ascii="Quattrocento Sans" w:eastAsia="Quattrocento Sans" w:hAnsi="Quattrocento Sans"/>
                  <w:color w:val="215E99" w:themeColor="text2" w:themeTint="BF"/>
                  <w:sz w:val="18"/>
                  <w:szCs w:val="18"/>
                </w:rPr>
                <w:t>https://www.dpu.def.br/camaras</w:t>
              </w:r>
            </w:hyperlink>
          </w:p>
          <w:p w14:paraId="0AE27DA0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(61) 3318-0205</w:t>
            </w:r>
          </w:p>
          <w:p w14:paraId="2DFA0D63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Quattrocento Sans" w:hAnsi="Quattrocento Sans"/>
                <w:b/>
                <w:color w:val="215E99" w:themeColor="text2" w:themeTint="BF"/>
                <w:sz w:val="18"/>
                <w:szCs w:val="18"/>
              </w:rPr>
            </w:pPr>
          </w:p>
          <w:p w14:paraId="6CE05386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 w:right="146"/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Secretaria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das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Câmaras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: </w:t>
            </w:r>
          </w:p>
          <w:p w14:paraId="74F11D3C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 w:right="146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 xml:space="preserve">Caio Noronha Matos </w:t>
            </w:r>
          </w:p>
          <w:p w14:paraId="60FB73D1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 w:right="1015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Linivy</w:t>
            </w:r>
            <w:proofErr w:type="spellEnd"/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 xml:space="preserve"> Stefani Silva</w:t>
            </w:r>
          </w:p>
          <w:p w14:paraId="2996FDDB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Quattrocento Sans" w:hAnsi="Quattrocento Sans"/>
                <w:b/>
                <w:color w:val="215E99" w:themeColor="text2" w:themeTint="BF"/>
                <w:sz w:val="18"/>
                <w:szCs w:val="18"/>
              </w:rPr>
            </w:pPr>
          </w:p>
          <w:p w14:paraId="209587BD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Estagiária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da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secretaria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:</w:t>
            </w:r>
          </w:p>
          <w:p w14:paraId="23851496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eastAsia="Quattrocento Sans" w:hAnsi="Quattrocento Sans"/>
                <w:color w:val="215E99" w:themeColor="text2" w:themeTint="BF"/>
                <w:sz w:val="18"/>
                <w:szCs w:val="18"/>
              </w:rPr>
              <w:t>Sophia Bezerra da Silva</w:t>
            </w:r>
          </w:p>
          <w:p w14:paraId="43737770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Quattrocento Sans" w:hAnsi="Quattrocento Sans"/>
                <w:b/>
                <w:color w:val="215E99" w:themeColor="text2" w:themeTint="BF"/>
                <w:sz w:val="18"/>
                <w:szCs w:val="18"/>
              </w:rPr>
            </w:pPr>
          </w:p>
          <w:p w14:paraId="3FB9DF53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Elaboração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desta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 xml:space="preserve"> </w:t>
            </w:r>
            <w:proofErr w:type="spellStart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edição</w:t>
            </w:r>
            <w:proofErr w:type="spellEnd"/>
            <w:r w:rsidRPr="00A47626">
              <w:rPr>
                <w:rFonts w:ascii="Quattrocento Sans" w:eastAsia="Quattrocento Sans" w:hAnsi="Quattrocento Sans"/>
                <w:b/>
                <w:color w:val="215E99" w:themeColor="text2" w:themeTint="BF"/>
                <w:sz w:val="18"/>
                <w:szCs w:val="18"/>
              </w:rPr>
              <w:t>:</w:t>
            </w:r>
          </w:p>
          <w:p w14:paraId="58B9529C" w14:textId="77777777" w:rsidR="005C73D0" w:rsidRPr="00A47626" w:rsidRDefault="005C73D0" w:rsidP="00A47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/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</w:pPr>
            <w:r w:rsidRPr="00A47626">
              <w:rPr>
                <w:rFonts w:ascii="Quattrocento Sans" w:hAnsi="Quattrocento Sans"/>
                <w:color w:val="215E99" w:themeColor="text2" w:themeTint="BF"/>
                <w:sz w:val="18"/>
                <w:szCs w:val="18"/>
              </w:rPr>
              <w:t>Maíra de Carvalho Pereira Mesquita</w:t>
            </w:r>
          </w:p>
        </w:tc>
      </w:tr>
    </w:tbl>
    <w:p w14:paraId="034C8C1B" w14:textId="77777777" w:rsidR="005C73D0" w:rsidRPr="00A47626" w:rsidRDefault="005C73D0" w:rsidP="00A47626">
      <w:pPr>
        <w:spacing w:after="0" w:line="240" w:lineRule="auto"/>
        <w:rPr>
          <w:rFonts w:ascii="Quattrocento Sans" w:hAnsi="Quattrocento Sans" w:cs="Calibri"/>
          <w:color w:val="215E99" w:themeColor="text2" w:themeTint="BF"/>
          <w:sz w:val="20"/>
          <w:szCs w:val="20"/>
        </w:rPr>
      </w:pPr>
    </w:p>
    <w:sectPr w:rsidR="005C73D0" w:rsidRPr="00A47626" w:rsidSect="00F91906">
      <w:headerReference w:type="first" r:id="rId15"/>
      <w:pgSz w:w="11906" w:h="16838"/>
      <w:pgMar w:top="1417" w:right="1701" w:bottom="1417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B8CA6" w14:textId="77777777" w:rsidR="00F54C22" w:rsidRDefault="00F54C22" w:rsidP="00F91906">
      <w:pPr>
        <w:spacing w:after="0" w:line="240" w:lineRule="auto"/>
      </w:pPr>
      <w:r>
        <w:separator/>
      </w:r>
    </w:p>
  </w:endnote>
  <w:endnote w:type="continuationSeparator" w:id="0">
    <w:p w14:paraId="52E05157" w14:textId="77777777" w:rsidR="00F54C22" w:rsidRDefault="00F54C22" w:rsidP="00F91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C74C" w14:textId="77777777" w:rsidR="00F54C22" w:rsidRDefault="00F54C22" w:rsidP="00F91906">
      <w:pPr>
        <w:spacing w:after="0" w:line="240" w:lineRule="auto"/>
      </w:pPr>
      <w:r>
        <w:separator/>
      </w:r>
    </w:p>
  </w:footnote>
  <w:footnote w:type="continuationSeparator" w:id="0">
    <w:p w14:paraId="6EE3AD7C" w14:textId="77777777" w:rsidR="00F54C22" w:rsidRDefault="00F54C22" w:rsidP="00F91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F94C" w14:textId="77777777" w:rsidR="00F91906" w:rsidRDefault="00F91906">
    <w:pPr>
      <w:pStyle w:val="Cabealho"/>
    </w:pPr>
    <w:r>
      <w:rPr>
        <w:noProof/>
        <w:lang w:eastAsia="pt-BR"/>
      </w:rPr>
      <w:drawing>
        <wp:anchor distT="0" distB="0" distL="0" distR="0" simplePos="0" relativeHeight="251659264" behindDoc="0" locked="0" layoutInCell="1" allowOverlap="1" wp14:anchorId="1C1B0450" wp14:editId="53813CBD">
          <wp:simplePos x="0" y="0"/>
          <wp:positionH relativeFrom="page">
            <wp:posOffset>-18415</wp:posOffset>
          </wp:positionH>
          <wp:positionV relativeFrom="paragraph">
            <wp:posOffset>-127000</wp:posOffset>
          </wp:positionV>
          <wp:extent cx="7552181" cy="21570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2181" cy="2157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BD0"/>
    <w:multiLevelType w:val="hybridMultilevel"/>
    <w:tmpl w:val="253CF4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4400F"/>
    <w:multiLevelType w:val="multilevel"/>
    <w:tmpl w:val="73D4149C"/>
    <w:lvl w:ilvl="0">
      <w:start w:val="1"/>
      <w:numFmt w:val="lowerLetter"/>
      <w:lvlText w:val="%1)"/>
      <w:lvlJc w:val="left"/>
      <w:pPr>
        <w:tabs>
          <w:tab w:val="num" w:pos="0"/>
        </w:tabs>
        <w:ind w:left="1777" w:hanging="360"/>
      </w:pPr>
      <w:rPr>
        <w:b w:val="0"/>
        <w:bCs w:val="0"/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7" w:hanging="180"/>
      </w:pPr>
    </w:lvl>
  </w:abstractNum>
  <w:abstractNum w:abstractNumId="2" w15:restartNumberingAfterBreak="0">
    <w:nsid w:val="235819DA"/>
    <w:multiLevelType w:val="multilevel"/>
    <w:tmpl w:val="0504E7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47A2F22"/>
    <w:multiLevelType w:val="multilevel"/>
    <w:tmpl w:val="CD4EE07E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1DF18BE"/>
    <w:multiLevelType w:val="hybridMultilevel"/>
    <w:tmpl w:val="E55CA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21ACB"/>
    <w:multiLevelType w:val="multilevel"/>
    <w:tmpl w:val="5D84F6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7A278A5"/>
    <w:multiLevelType w:val="multilevel"/>
    <w:tmpl w:val="6AF6C7C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83713775">
    <w:abstractNumId w:val="2"/>
  </w:num>
  <w:num w:numId="2" w16cid:durableId="475294583">
    <w:abstractNumId w:val="1"/>
  </w:num>
  <w:num w:numId="3" w16cid:durableId="1239289720">
    <w:abstractNumId w:val="0"/>
  </w:num>
  <w:num w:numId="4" w16cid:durableId="1341200121">
    <w:abstractNumId w:val="3"/>
  </w:num>
  <w:num w:numId="5" w16cid:durableId="665480107">
    <w:abstractNumId w:val="6"/>
  </w:num>
  <w:num w:numId="6" w16cid:durableId="1286496611">
    <w:abstractNumId w:val="4"/>
  </w:num>
  <w:num w:numId="7" w16cid:durableId="352221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06"/>
    <w:rsid w:val="000065A9"/>
    <w:rsid w:val="00011766"/>
    <w:rsid w:val="00027800"/>
    <w:rsid w:val="00027877"/>
    <w:rsid w:val="0004058F"/>
    <w:rsid w:val="00044382"/>
    <w:rsid w:val="00056659"/>
    <w:rsid w:val="00070408"/>
    <w:rsid w:val="00070AD2"/>
    <w:rsid w:val="0007218C"/>
    <w:rsid w:val="00087114"/>
    <w:rsid w:val="000971A1"/>
    <w:rsid w:val="000B2230"/>
    <w:rsid w:val="000C074F"/>
    <w:rsid w:val="000C21F4"/>
    <w:rsid w:val="000C7A86"/>
    <w:rsid w:val="000F6EF6"/>
    <w:rsid w:val="00124EE4"/>
    <w:rsid w:val="001253FA"/>
    <w:rsid w:val="0016385F"/>
    <w:rsid w:val="0019792A"/>
    <w:rsid w:val="001A29BB"/>
    <w:rsid w:val="001D4AD8"/>
    <w:rsid w:val="001D5FAF"/>
    <w:rsid w:val="00204A9C"/>
    <w:rsid w:val="00223530"/>
    <w:rsid w:val="002309D6"/>
    <w:rsid w:val="002330C6"/>
    <w:rsid w:val="002931CB"/>
    <w:rsid w:val="002A4812"/>
    <w:rsid w:val="002D4D45"/>
    <w:rsid w:val="002E4013"/>
    <w:rsid w:val="002F0093"/>
    <w:rsid w:val="002F209F"/>
    <w:rsid w:val="002F69CE"/>
    <w:rsid w:val="00301BCB"/>
    <w:rsid w:val="00304A26"/>
    <w:rsid w:val="003277DF"/>
    <w:rsid w:val="00340095"/>
    <w:rsid w:val="00360072"/>
    <w:rsid w:val="00360C7F"/>
    <w:rsid w:val="00366837"/>
    <w:rsid w:val="003C48C3"/>
    <w:rsid w:val="00402469"/>
    <w:rsid w:val="00423187"/>
    <w:rsid w:val="0043413D"/>
    <w:rsid w:val="00462E61"/>
    <w:rsid w:val="0046686A"/>
    <w:rsid w:val="00466F9D"/>
    <w:rsid w:val="004A513A"/>
    <w:rsid w:val="004A59E8"/>
    <w:rsid w:val="004D3A06"/>
    <w:rsid w:val="004F7EFE"/>
    <w:rsid w:val="00513319"/>
    <w:rsid w:val="00515B03"/>
    <w:rsid w:val="00547F89"/>
    <w:rsid w:val="00550BB8"/>
    <w:rsid w:val="00561FE9"/>
    <w:rsid w:val="00562E13"/>
    <w:rsid w:val="00577263"/>
    <w:rsid w:val="005A5BC0"/>
    <w:rsid w:val="005B4829"/>
    <w:rsid w:val="005B54FD"/>
    <w:rsid w:val="005B5800"/>
    <w:rsid w:val="005C074E"/>
    <w:rsid w:val="005C299A"/>
    <w:rsid w:val="005C54E1"/>
    <w:rsid w:val="005C73D0"/>
    <w:rsid w:val="005C7981"/>
    <w:rsid w:val="00636D8E"/>
    <w:rsid w:val="00650C92"/>
    <w:rsid w:val="00667596"/>
    <w:rsid w:val="00673BE5"/>
    <w:rsid w:val="00683695"/>
    <w:rsid w:val="006836A7"/>
    <w:rsid w:val="006B0A57"/>
    <w:rsid w:val="006B4965"/>
    <w:rsid w:val="006C344B"/>
    <w:rsid w:val="006C3CFC"/>
    <w:rsid w:val="006D060D"/>
    <w:rsid w:val="006D78A0"/>
    <w:rsid w:val="006F38C0"/>
    <w:rsid w:val="006F7E73"/>
    <w:rsid w:val="00711591"/>
    <w:rsid w:val="00711B51"/>
    <w:rsid w:val="007152C7"/>
    <w:rsid w:val="007301CA"/>
    <w:rsid w:val="007376F0"/>
    <w:rsid w:val="00757EB6"/>
    <w:rsid w:val="00792350"/>
    <w:rsid w:val="007D26E2"/>
    <w:rsid w:val="007F724F"/>
    <w:rsid w:val="00851AB5"/>
    <w:rsid w:val="008651EF"/>
    <w:rsid w:val="00887FEB"/>
    <w:rsid w:val="0089023A"/>
    <w:rsid w:val="00890E00"/>
    <w:rsid w:val="008C194E"/>
    <w:rsid w:val="008E320C"/>
    <w:rsid w:val="008F00F5"/>
    <w:rsid w:val="008F319B"/>
    <w:rsid w:val="00922430"/>
    <w:rsid w:val="00941219"/>
    <w:rsid w:val="00953887"/>
    <w:rsid w:val="00977D34"/>
    <w:rsid w:val="00985E87"/>
    <w:rsid w:val="00996CC3"/>
    <w:rsid w:val="009B5F73"/>
    <w:rsid w:val="00A15183"/>
    <w:rsid w:val="00A420A6"/>
    <w:rsid w:val="00A47626"/>
    <w:rsid w:val="00A86644"/>
    <w:rsid w:val="00A965D5"/>
    <w:rsid w:val="00AA73E6"/>
    <w:rsid w:val="00AD0AC4"/>
    <w:rsid w:val="00AD36A1"/>
    <w:rsid w:val="00AF747F"/>
    <w:rsid w:val="00B16DFC"/>
    <w:rsid w:val="00B37303"/>
    <w:rsid w:val="00B50C06"/>
    <w:rsid w:val="00B619C8"/>
    <w:rsid w:val="00B64B2C"/>
    <w:rsid w:val="00B64F04"/>
    <w:rsid w:val="00B70509"/>
    <w:rsid w:val="00B832BC"/>
    <w:rsid w:val="00B84757"/>
    <w:rsid w:val="00BA491B"/>
    <w:rsid w:val="00BA5B8E"/>
    <w:rsid w:val="00BC5EA8"/>
    <w:rsid w:val="00BD55AA"/>
    <w:rsid w:val="00BE1135"/>
    <w:rsid w:val="00BE12D4"/>
    <w:rsid w:val="00C104A2"/>
    <w:rsid w:val="00C15628"/>
    <w:rsid w:val="00C376AE"/>
    <w:rsid w:val="00C70535"/>
    <w:rsid w:val="00C95BF6"/>
    <w:rsid w:val="00CA3CBA"/>
    <w:rsid w:val="00CA3EEE"/>
    <w:rsid w:val="00CF40DB"/>
    <w:rsid w:val="00D27C0B"/>
    <w:rsid w:val="00D47A65"/>
    <w:rsid w:val="00D6090C"/>
    <w:rsid w:val="00D873EE"/>
    <w:rsid w:val="00DB2E98"/>
    <w:rsid w:val="00DC3D7B"/>
    <w:rsid w:val="00E02824"/>
    <w:rsid w:val="00E02A24"/>
    <w:rsid w:val="00E21664"/>
    <w:rsid w:val="00E21A66"/>
    <w:rsid w:val="00E7507D"/>
    <w:rsid w:val="00EA07C5"/>
    <w:rsid w:val="00EB3E18"/>
    <w:rsid w:val="00EC0B77"/>
    <w:rsid w:val="00EE6186"/>
    <w:rsid w:val="00EF61BC"/>
    <w:rsid w:val="00F0102D"/>
    <w:rsid w:val="00F03E97"/>
    <w:rsid w:val="00F30544"/>
    <w:rsid w:val="00F473B5"/>
    <w:rsid w:val="00F54C22"/>
    <w:rsid w:val="00F64470"/>
    <w:rsid w:val="00F7579E"/>
    <w:rsid w:val="00F75BC7"/>
    <w:rsid w:val="00F91906"/>
    <w:rsid w:val="00FA0917"/>
    <w:rsid w:val="00FB6A52"/>
    <w:rsid w:val="00FC29DF"/>
    <w:rsid w:val="00FE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B4385"/>
  <w15:chartTrackingRefBased/>
  <w15:docId w15:val="{36D7F627-5161-445C-BB5C-E55B4456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906"/>
    <w:pPr>
      <w:suppressAutoHyphens/>
      <w:spacing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9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9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9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9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9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9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9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906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rsid w:val="00F91906"/>
    <w:pPr>
      <w:spacing w:after="140"/>
    </w:pPr>
  </w:style>
  <w:style w:type="character" w:customStyle="1" w:styleId="CorpodetextoChar">
    <w:name w:val="Corpo de texto Char"/>
    <w:basedOn w:val="Fontepargpadro"/>
    <w:link w:val="Corpodetexto"/>
    <w:rsid w:val="00F91906"/>
  </w:style>
  <w:style w:type="paragraph" w:styleId="Cabealho">
    <w:name w:val="header"/>
    <w:basedOn w:val="Normal"/>
    <w:link w:val="CabealhoChar"/>
    <w:uiPriority w:val="99"/>
    <w:unhideWhenUsed/>
    <w:rsid w:val="00F919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1906"/>
  </w:style>
  <w:style w:type="table" w:customStyle="1" w:styleId="TableNormal">
    <w:name w:val="Table Normal"/>
    <w:uiPriority w:val="2"/>
    <w:semiHidden/>
    <w:unhideWhenUsed/>
    <w:qFormat/>
    <w:rsid w:val="00F9190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91906"/>
    <w:rPr>
      <w:color w:val="467886" w:themeColor="hyperlink"/>
      <w:u w:val="single"/>
    </w:rPr>
  </w:style>
  <w:style w:type="character" w:customStyle="1" w:styleId="Caracteresdenotaderodap">
    <w:name w:val="Caracteres de nota de rodapé"/>
    <w:uiPriority w:val="99"/>
    <w:qFormat/>
    <w:rsid w:val="00C15628"/>
    <w:rPr>
      <w:vertAlign w:val="superscript"/>
    </w:rPr>
  </w:style>
  <w:style w:type="character" w:styleId="Refdenotaderodap">
    <w:name w:val="footnote reference"/>
    <w:rsid w:val="00C156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amaras.secretaria@dpu.def.b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crcivel@dpu.def.br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dpu.def.br/camar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1919D6DE3BD244B65FBCCEDF4AE0CF" ma:contentTypeVersion="3" ma:contentTypeDescription="Crie um novo documento." ma:contentTypeScope="" ma:versionID="1fbcde975e055f6d26faa2a6cc3e37de">
  <xsd:schema xmlns:xsd="http://www.w3.org/2001/XMLSchema" xmlns:xs="http://www.w3.org/2001/XMLSchema" xmlns:p="http://schemas.microsoft.com/office/2006/metadata/properties" xmlns:ns2="b6b2f871-3e57-4b2e-a4f8-609b3b4c6839" targetNamespace="http://schemas.microsoft.com/office/2006/metadata/properties" ma:root="true" ma:fieldsID="167b0296ba29e47a9aef7f37ebd219bf" ns2:_="">
    <xsd:import namespace="b6b2f871-3e57-4b2e-a4f8-609b3b4c6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2f871-3e57-4b2e-a4f8-609b3b4c6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5AB19E-50D1-4AC8-AE61-3C860EC001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D465C5-AF4E-41F8-9465-5B9055E1A4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1CAEC3-727C-4E20-8F3F-B21659A106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b2f871-3e57-4b2e-a4f8-609b3b4c68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3930</Words>
  <Characters>21222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de Carvalho Pereira Mesquita</dc:creator>
  <cp:keywords/>
  <dc:description/>
  <cp:lastModifiedBy>Maira de Carvalho Pereira Mesquita</cp:lastModifiedBy>
  <cp:revision>2</cp:revision>
  <dcterms:created xsi:type="dcterms:W3CDTF">2026-06-02T15:27:00Z</dcterms:created>
  <dcterms:modified xsi:type="dcterms:W3CDTF">2026-06-02T15:27:00Z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0x010100DF1919D6DE3BD244B65FBCCEDF4AE0CF</vt:lpwstr>
  </property>
</Properties>
</file>