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EDEAF" w14:textId="2F63FC20" w:rsidR="00B7659E" w:rsidRPr="000659AE" w:rsidRDefault="009D5CD5">
      <w:pPr>
        <w:spacing w:before="80" w:after="80"/>
        <w:ind w:left="-142"/>
        <w:jc w:val="center"/>
        <w:rPr>
          <w:rFonts w:ascii="Quattrocento Sans" w:eastAsia="Quattrocento Sans" w:hAnsi="Quattrocento Sans" w:cs="Quattrocento Sans"/>
          <w:b/>
          <w:bCs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PETIÇÃO PADRÃO - PROGRAMA BOLSA FAMÍLIA: LIMITAÇÃO DE 16% PARA FAMÍLIAS UNIPESSOAIS – ENUNCIADO 120 CCR - CASOS ANTERIORES À LEI Nº 15.077, DE 27 DE DEZEMBRO DE 2024 - ILEGALIDADE DO ART. 6º, §</w:t>
      </w:r>
      <w:r w:rsidR="004D2B0A"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§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 2º E 3º, DA PORTARIA MDS 897/2023 – TEMA 379 TNU</w:t>
      </w:r>
    </w:p>
    <w:p w14:paraId="0261C302" w14:textId="77777777" w:rsidR="00B7659E" w:rsidRPr="000659AE" w:rsidRDefault="00B7659E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b/>
          <w:bCs/>
          <w:color w:val="1F497D" w:themeColor="text2"/>
        </w:rPr>
      </w:pPr>
    </w:p>
    <w:p w14:paraId="7B82D89F" w14:textId="77777777" w:rsidR="00B7659E" w:rsidRPr="000659AE" w:rsidRDefault="009D5CD5">
      <w:pPr>
        <w:spacing w:before="80" w:after="80" w:line="360" w:lineRule="auto"/>
        <w:jc w:val="both"/>
        <w:rPr>
          <w:rFonts w:ascii="Quattrocento Sans" w:eastAsia="Quattrocento Sans" w:hAnsi="Quattrocento Sans" w:cs="Quattrocento Sans"/>
          <w:b/>
          <w:bCs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AO JUÍZO DA __ª VARA DO JUIZADO ESPECIAL FEDERAL CÍVEL DA SUBSEÇÃO JUDICIÁRIA DE ________________ </w:t>
      </w:r>
    </w:p>
    <w:p w14:paraId="65BD551B" w14:textId="77777777" w:rsidR="00B7659E" w:rsidRPr="000659AE" w:rsidRDefault="00B7659E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b/>
          <w:bCs/>
          <w:color w:val="1F497D" w:themeColor="text2"/>
        </w:rPr>
      </w:pPr>
    </w:p>
    <w:p w14:paraId="2B76DBA1" w14:textId="1650D969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NOME DO/A ASSISTIDO/A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, qualificação, assistido/a pela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DEFENSORIA PÚBLICA DA UNIÃO, 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por meio de seu/sua representante abaixo assinado/a, nos termos da LC nº 80/94, vem ajuizar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AÇÃO PARA CONCESSÃO DE BENEFÍCIO DO PROGRAMA BOLSA FAMÍLIA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em face da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UNIÃO FEDERAL, 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por meio de sua procuradoria, com endereço conhecido por es</w:t>
      </w:r>
      <w:r w:rsidR="004D2B0A" w:rsidRPr="000659AE">
        <w:rPr>
          <w:rFonts w:ascii="Quattrocento Sans" w:eastAsia="Quattrocento Sans" w:hAnsi="Quattrocento Sans" w:cs="Quattrocento Sans"/>
          <w:color w:val="1F497D" w:themeColor="text2"/>
        </w:rPr>
        <w:t>s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e juízo, pelas razões de fato e de direito a seguir.</w:t>
      </w:r>
    </w:p>
    <w:p w14:paraId="09D47BC5" w14:textId="77777777" w:rsidR="00B7659E" w:rsidRPr="000659AE" w:rsidRDefault="00B7659E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</w:p>
    <w:p w14:paraId="379CE499" w14:textId="77777777" w:rsidR="00B7659E" w:rsidRPr="000659AE" w:rsidRDefault="009D5CD5">
      <w:pPr>
        <w:numPr>
          <w:ilvl w:val="0"/>
          <w:numId w:val="2"/>
        </w:numPr>
        <w:spacing w:before="80" w:after="80" w:line="360" w:lineRule="auto"/>
        <w:jc w:val="both"/>
        <w:rPr>
          <w:rFonts w:ascii="Quattrocento Sans" w:eastAsia="Quattrocento Sans" w:hAnsi="Quattrocento Sans" w:cs="Quattrocento Sans"/>
          <w:b/>
          <w:bCs/>
          <w:i/>
          <w:iCs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i/>
          <w:iCs/>
          <w:color w:val="1F497D" w:themeColor="text2"/>
        </w:rPr>
        <w:t xml:space="preserve">GRATUIDADE DE JUSTIÇA </w:t>
      </w:r>
    </w:p>
    <w:p w14:paraId="18FA859F" w14:textId="77777777" w:rsidR="00B7659E" w:rsidRPr="000659AE" w:rsidRDefault="009D5CD5">
      <w:pPr>
        <w:spacing w:before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Inicialmente, a parte autora requer a concessão dos benefícios da justiça gratuita, com base no art. 98 do Código de Processo Civil e no art. 5º, inciso LXXIV, da Constituição Federal, por não possuir meios de arcar com as despesas processuais sem prejuízo do sustento próprio.</w:t>
      </w:r>
    </w:p>
    <w:p w14:paraId="5DE4D58A" w14:textId="77777777" w:rsidR="00B7659E" w:rsidRPr="000659AE" w:rsidRDefault="00B7659E">
      <w:pPr>
        <w:spacing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</w:p>
    <w:p w14:paraId="2EE0F27D" w14:textId="77777777" w:rsidR="00B7659E" w:rsidRPr="000659AE" w:rsidRDefault="009D5CD5">
      <w:pPr>
        <w:numPr>
          <w:ilvl w:val="0"/>
          <w:numId w:val="2"/>
        </w:numPr>
        <w:spacing w:after="80" w:line="360" w:lineRule="auto"/>
        <w:jc w:val="both"/>
        <w:rPr>
          <w:rFonts w:ascii="Quattrocento Sans" w:eastAsia="Quattrocento Sans" w:hAnsi="Quattrocento Sans" w:cs="Quattrocento Sans"/>
          <w:b/>
          <w:bCs/>
          <w:i/>
          <w:iCs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i/>
          <w:iCs/>
          <w:color w:val="1F497D" w:themeColor="text2"/>
        </w:rPr>
        <w:t>BREVE RESUMO DOS FATOS</w:t>
      </w:r>
    </w:p>
    <w:p w14:paraId="06C379B5" w14:textId="385A843B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A presente ação visa garantir o direito da parte autora (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família unipessoal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) ao recebimento do benefício integrante do Programa Bolsa Família (PBF), regulamentado pela Lei nº. 14.601/2023. </w:t>
      </w:r>
    </w:p>
    <w:p w14:paraId="1420D57F" w14:textId="1FF6A466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De acordo com o art. 5º da Lei nº. 14.601/2023, são consideradas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elegíveis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ao Programa as famílias que preencham os </w:t>
      </w:r>
      <w:r w:rsidR="000A77EA"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seguintes 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requisitos cumulativamente: (i) inscrição atualizada no Cadastro Único (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</w:rPr>
        <w:t>CadÚnico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</w:rPr>
        <w:t>); e (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</w:rPr>
        <w:t>ii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) renda familiar </w:t>
      </w:r>
      <w:r w:rsidRPr="000659AE">
        <w:rPr>
          <w:rFonts w:ascii="Quattrocento Sans" w:eastAsia="Quattrocento Sans" w:hAnsi="Quattrocento Sans" w:cs="Quattrocento Sans"/>
          <w:i/>
          <w:iCs/>
          <w:color w:val="1F497D" w:themeColor="text2"/>
        </w:rPr>
        <w:t>per capita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mensal igual ou inferior à R$ 218,00 (duzentos e dezoito reais). </w:t>
      </w:r>
    </w:p>
    <w:p w14:paraId="4AAB1A37" w14:textId="2893B5E3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No caso concreto,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o/a autor/a satisfaz todos os requisitos legais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para</w:t>
      </w:r>
      <w:r w:rsidR="000A77EA"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a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inclusão no Programa Bolsa Família,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  <w:u w:val="single"/>
        </w:rPr>
        <w:t>consoante documentos comprobatórios em anexo:</w:t>
      </w:r>
    </w:p>
    <w:p w14:paraId="211988D9" w14:textId="77777777" w:rsidR="00B7659E" w:rsidRPr="000659AE" w:rsidRDefault="009D5CD5">
      <w:pPr>
        <w:numPr>
          <w:ilvl w:val="0"/>
          <w:numId w:val="1"/>
        </w:numPr>
        <w:spacing w:before="80" w:after="80" w:line="360" w:lineRule="auto"/>
        <w:ind w:left="0"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Cadastro no </w:t>
      </w:r>
      <w:proofErr w:type="spellStart"/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CadÚnico</w:t>
      </w:r>
      <w:proofErr w:type="spellEnd"/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 como grupo familiar unipessoal atualizado em _____; </w:t>
      </w:r>
    </w:p>
    <w:p w14:paraId="6BA3B0A4" w14:textId="77777777" w:rsidR="00B7659E" w:rsidRPr="000659AE" w:rsidRDefault="009D5CD5">
      <w:pPr>
        <w:numPr>
          <w:ilvl w:val="0"/>
          <w:numId w:val="1"/>
        </w:numPr>
        <w:spacing w:before="80" w:after="80" w:line="360" w:lineRule="auto"/>
        <w:ind w:left="0"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Comprovação de renda mensal de R$ ___;</w:t>
      </w:r>
    </w:p>
    <w:p w14:paraId="01BC6C2F" w14:textId="77777777" w:rsidR="00B7659E" w:rsidRPr="000659AE" w:rsidRDefault="009D5CD5">
      <w:pPr>
        <w:numPr>
          <w:ilvl w:val="0"/>
          <w:numId w:val="1"/>
        </w:numPr>
        <w:spacing w:before="80" w:after="80" w:line="360" w:lineRule="auto"/>
        <w:ind w:left="0"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Procedimentos de Atualização junto à Prefeitura; </w:t>
      </w:r>
    </w:p>
    <w:p w14:paraId="348EEA11" w14:textId="77777777" w:rsidR="00B7659E" w:rsidRPr="000659AE" w:rsidRDefault="009D5CD5">
      <w:pPr>
        <w:numPr>
          <w:ilvl w:val="0"/>
          <w:numId w:val="1"/>
        </w:numPr>
        <w:spacing w:before="80" w:after="80" w:line="360" w:lineRule="auto"/>
        <w:ind w:left="0"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Declaração de Renda e Composição Familiar.</w:t>
      </w:r>
    </w:p>
    <w:p w14:paraId="69B66159" w14:textId="77777777" w:rsidR="00B7659E" w:rsidRPr="000659AE" w:rsidRDefault="00B7659E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</w:p>
    <w:p w14:paraId="14C175A4" w14:textId="377261CE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Entretanto, mesmo preenchendo todos os requisitos de elegibilidade, o benefício não foi (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</w:rPr>
        <w:t>re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)ativado, sob o argumento de que </w:t>
      </w:r>
      <w:r w:rsidRPr="000659AE">
        <w:rPr>
          <w:rFonts w:ascii="Quattrocento Sans" w:eastAsia="Quattrocento Sans" w:hAnsi="Quattrocento Sans" w:cs="Quattrocento Sans"/>
          <w:color w:val="1F497D" w:themeColor="text2"/>
          <w:u w:val="single"/>
        </w:rPr>
        <w:t>o Município em que reside alcançou o patamar de 16% (dezesseis por cento) de família unipessoais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, o que impede o ingresso de novas famílias no PBF conforme previsto no artigo 6º, V, c/c § 2º da Portaria MDS Nº 897/23, com redação incluída pela Portaria MDS nº 911, de 24 de agosto de 2023. </w:t>
      </w:r>
    </w:p>
    <w:p w14:paraId="5CCAD40A" w14:textId="6A616FF1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Saliente-se desde já que a parte autora cadastrou/atualizou suas informações no 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</w:rPr>
        <w:t>CadÚnico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em (DATA), ou seja,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  <w:u w:val="single"/>
        </w:rPr>
        <w:t>antes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 da vigência do art. 12-A da Lei nº 14.601/2023, incluído pela Lei nº 15.077, de 27 de dezembro de 2024. 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Sendo assim, de acordo com o Tema 379 da TNU,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não 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devem ser aplicadas ao presente caso as alterações trazidas pela Lei 15.077/2024, em especial o limite de 16% de famílias unipessoais por Município conforme adiante se demonstrará.</w:t>
      </w:r>
    </w:p>
    <w:p w14:paraId="6C357E10" w14:textId="2FD8E766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strike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O art. 2º, §</w:t>
      </w:r>
      <w:r w:rsidR="007C2305"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3º</w:t>
      </w:r>
      <w:r w:rsidR="007C2305" w:rsidRPr="000659AE">
        <w:rPr>
          <w:rFonts w:ascii="Quattrocento Sans" w:eastAsia="Quattrocento Sans" w:hAnsi="Quattrocento Sans" w:cs="Quattrocento Sans"/>
          <w:color w:val="1F497D" w:themeColor="text2"/>
        </w:rPr>
        <w:t>,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da Lei 15.077/2024</w:t>
      </w:r>
      <w:r w:rsidR="001D60A6" w:rsidRPr="000659AE">
        <w:rPr>
          <w:rFonts w:ascii="Quattrocento Sans" w:eastAsia="Quattrocento Sans" w:hAnsi="Quattrocento Sans" w:cs="Quattrocento Sans"/>
          <w:color w:val="1F497D" w:themeColor="text2"/>
        </w:rPr>
        <w:t>,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também previu que, para fins de concessão ou manutenção dos benefícios assistenciais a famílias compostas de 1 (uma) só pessoa, a inscrição ou a atualização do 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</w:rPr>
        <w:t>CadÚnico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deverá ser feita no domicílio do requerente. </w:t>
      </w:r>
    </w:p>
    <w:p w14:paraId="5B32245F" w14:textId="3BA0C7EA" w:rsidR="00B7659E" w:rsidRPr="000659AE" w:rsidRDefault="00020B12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E</w:t>
      </w:r>
      <w:r w:rsidR="009D5CD5" w:rsidRPr="000659AE">
        <w:rPr>
          <w:rFonts w:ascii="Quattrocento Sans" w:eastAsia="Quattrocento Sans" w:hAnsi="Quattrocento Sans" w:cs="Quattrocento Sans"/>
          <w:color w:val="1F497D" w:themeColor="text2"/>
        </w:rPr>
        <w:t>m observância ao princípio da eventualidade, a Defensoria Pública da União, em atuação extrajudicial, expediu o OFÍCIO _____ no intuito de promover a</w:t>
      </w:r>
    </w:p>
    <w:p w14:paraId="2DAA3464" w14:textId="77777777" w:rsidR="00B7659E" w:rsidRPr="000659AE" w:rsidRDefault="009D5CD5">
      <w:pPr>
        <w:spacing w:before="80" w:after="80" w:line="360" w:lineRule="auto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  <w:shd w:val="clear" w:color="auto" w:fill="B8CCE4"/>
        </w:rPr>
        <w:t>(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  <w:shd w:val="clear" w:color="auto" w:fill="B8CCE4"/>
        </w:rPr>
        <w:t>re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  <w:shd w:val="clear" w:color="auto" w:fill="B8CCE4"/>
        </w:rPr>
        <w:t>)inclusão do/a beneficiário/a integrante de família unipessoal, visto que integra o seguinte grupo excepcional: ______________________ (art. 6º, §3º, ___, Portaria MDS nº 897/2023)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(modelo SEI 8170679)</w:t>
      </w:r>
    </w:p>
    <w:p w14:paraId="75A8BF09" w14:textId="77777777" w:rsidR="00B7659E" w:rsidRPr="000659AE" w:rsidRDefault="009D5CD5">
      <w:pPr>
        <w:spacing w:before="80" w:after="80" w:line="360" w:lineRule="auto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OU </w:t>
      </w:r>
    </w:p>
    <w:p w14:paraId="65B5ACE3" w14:textId="77777777" w:rsidR="00B7659E" w:rsidRPr="000659AE" w:rsidRDefault="009D5CD5">
      <w:pPr>
        <w:spacing w:before="80" w:after="80" w:line="360" w:lineRule="auto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  <w:shd w:val="clear" w:color="auto" w:fill="B8CCE4"/>
        </w:rPr>
        <w:t>realização da entrevista domiciliar a fim de (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  <w:shd w:val="clear" w:color="auto" w:fill="B8CCE4"/>
        </w:rPr>
        <w:t>re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  <w:shd w:val="clear" w:color="auto" w:fill="B8CCE4"/>
        </w:rPr>
        <w:t>)incluir o/a beneficiário/a integrante de família unipessoal, nos termos do art. 6º, §3º, IX, Portaria MDS 897/2023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. (modelo SEI 8170697)</w:t>
      </w:r>
    </w:p>
    <w:p w14:paraId="05B65A9C" w14:textId="38A54B0B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Em resposta, a Secretária de Assistência Social do Município de ________ informou que _______.</w:t>
      </w:r>
    </w:p>
    <w:p w14:paraId="3FBEB37E" w14:textId="383CC73A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Diante da tentativa frustrada de solução extrajudicial, a parte autora ajuíza a presente ação</w:t>
      </w:r>
      <w:r w:rsidR="00737F5C" w:rsidRPr="000659AE">
        <w:rPr>
          <w:rFonts w:ascii="Quattrocento Sans" w:eastAsia="Quattrocento Sans" w:hAnsi="Quattrocento Sans" w:cs="Quattrocento Sans"/>
          <w:color w:val="1F497D" w:themeColor="text2"/>
        </w:rPr>
        <w:t>,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a fim de ser (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</w:rPr>
        <w:t>re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)incluída no Programa Bolsa Família, com efeitos retroativos à __/__/__ (data da atualização do 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</w:rPr>
        <w:t>CadÚnico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ou exclusão do PBF).</w:t>
      </w:r>
    </w:p>
    <w:p w14:paraId="11F8B1AF" w14:textId="77777777" w:rsidR="00B7659E" w:rsidRPr="000659AE" w:rsidRDefault="00B7659E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</w:p>
    <w:p w14:paraId="0CC52FF0" w14:textId="77777777" w:rsidR="00B7659E" w:rsidRPr="000659AE" w:rsidRDefault="009D5CD5">
      <w:pPr>
        <w:numPr>
          <w:ilvl w:val="0"/>
          <w:numId w:val="2"/>
        </w:numPr>
        <w:spacing w:before="80" w:after="80" w:line="360" w:lineRule="auto"/>
        <w:ind w:left="850"/>
        <w:jc w:val="both"/>
        <w:rPr>
          <w:rFonts w:ascii="Quattrocento Sans" w:eastAsia="Quattrocento Sans" w:hAnsi="Quattrocento Sans" w:cs="Quattrocento Sans"/>
          <w:b/>
          <w:bCs/>
          <w:i/>
          <w:iCs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i/>
          <w:iCs/>
          <w:color w:val="1F497D" w:themeColor="text2"/>
        </w:rPr>
        <w:t>DA ILEGALIDADE DA APLICAÇÃO DA PORTARIA MDS 897/2023, COM REDAÇÃO DADA PELA PORTARIA MDS 911/2023, AO CASO CONCRETO. TEMA 379 TNU.</w:t>
      </w:r>
    </w:p>
    <w:p w14:paraId="03CCC7DC" w14:textId="38749E84" w:rsidR="00B7659E" w:rsidRPr="000659AE" w:rsidRDefault="009D5CD5">
      <w:pPr>
        <w:spacing w:before="80" w:after="80" w:line="360" w:lineRule="auto"/>
        <w:ind w:firstLine="720"/>
        <w:jc w:val="both"/>
        <w:rPr>
          <w:rFonts w:ascii="Quattrocento Sans" w:eastAsia="Quattrocento Sans" w:hAnsi="Quattrocento Sans" w:cs="Quattrocento Sans"/>
          <w:b/>
          <w:bCs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O/A autor/a foi excluído/obstado/a de ingressar no Programa Bolsa Família sob o fundamento exclusivo de que o Município em que reside atingiu o limite de 16% de famílias unipessoais conforme estabelecido pelo art. 6º, V, § 2º, da Portaria MDS nº 897/2023, com redação dada pela Portaria MDS nº 911/2023. Ocorre que,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 à época da inclusão/atualização do </w:t>
      </w:r>
      <w:proofErr w:type="spellStart"/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CadÚnico</w:t>
      </w:r>
      <w:proofErr w:type="spellEnd"/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,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tal limitação carecia de qualquer amparo na Lei nº 14.601/2023. </w:t>
      </w:r>
    </w:p>
    <w:p w14:paraId="621BE2D7" w14:textId="428D727E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b/>
          <w:bCs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O </w:t>
      </w:r>
      <w:r w:rsidR="007C051A" w:rsidRPr="000659AE">
        <w:rPr>
          <w:rFonts w:ascii="Quattrocento Sans" w:eastAsia="Quattrocento Sans" w:hAnsi="Quattrocento Sans" w:cs="Quattrocento Sans"/>
          <w:color w:val="1F497D" w:themeColor="text2"/>
        </w:rPr>
        <w:t>p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rincípio da </w:t>
      </w:r>
      <w:r w:rsidR="007C051A" w:rsidRPr="000659AE">
        <w:rPr>
          <w:rFonts w:ascii="Quattrocento Sans" w:eastAsia="Quattrocento Sans" w:hAnsi="Quattrocento Sans" w:cs="Quattrocento Sans"/>
          <w:color w:val="1F497D" w:themeColor="text2"/>
        </w:rPr>
        <w:t>l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egalidade, insculpido no art. 5º, inciso II, da Constituição Federal, preceitua que </w:t>
      </w:r>
      <w:r w:rsidRPr="000659AE">
        <w:rPr>
          <w:rFonts w:ascii="Quattrocento Sans" w:eastAsia="Quattrocento Sans" w:hAnsi="Quattrocento Sans" w:cs="Quattrocento Sans"/>
          <w:i/>
          <w:iCs/>
          <w:color w:val="1F497D" w:themeColor="text2"/>
        </w:rPr>
        <w:t>"ninguém será obrigado a fazer ou deixar de fazer alguma coisa senão em virtude de lei".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 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No âmbito administrativo (art. 37, CF/88),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 o administrador público está </w:t>
      </w:r>
      <w:proofErr w:type="gramStart"/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adstrito</w:t>
      </w:r>
      <w:proofErr w:type="gramEnd"/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 ao que a lei permite, não podendo criar restrições a direitos subjetivos por meio de atos infralegais.</w:t>
      </w:r>
    </w:p>
    <w:p w14:paraId="62DA3A7B" w14:textId="077FE9E5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lastRenderedPageBreak/>
        <w:t xml:space="preserve">Nesse sentido, a Portaria MDS nº 911/2023, ao instituir um teto percentual por Município,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extrapolou seu poder regulamentar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. Enquanto ato administrativo,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a referida Portaria deve submissão e respeito à lei em sentido material e formal.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Uma vez que a Lei nº 14.601/2023 não previa tal critério de exclusão, a Portaria </w:t>
      </w:r>
      <w:r w:rsidR="00A7101E"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era </w:t>
      </w:r>
      <w:r w:rsidR="00F41238" w:rsidRPr="000659AE">
        <w:rPr>
          <w:rFonts w:ascii="Quattrocento Sans" w:eastAsia="Quattrocento Sans" w:hAnsi="Quattrocento Sans" w:cs="Quattrocento Sans"/>
          <w:color w:val="1F497D" w:themeColor="text2"/>
        </w:rPr>
        <w:t>ilegal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, </w:t>
      </w:r>
      <w:r w:rsidR="00F41238" w:rsidRPr="000659AE">
        <w:rPr>
          <w:rFonts w:ascii="Quattrocento Sans" w:eastAsia="Quattrocento Sans" w:hAnsi="Quattrocento Sans" w:cs="Quattrocento Sans"/>
          <w:color w:val="1F497D" w:themeColor="text2"/>
        </w:rPr>
        <w:t>ao limitar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direito fundamental à renda básica (art. 6º, caput e parágrafo único, CF/88).</w:t>
      </w:r>
    </w:p>
    <w:p w14:paraId="69025B7F" w14:textId="711F80B9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b/>
          <w:bCs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Isto porque a data da inclusão/atualização do 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</w:rPr>
        <w:t>CadÚnico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pela parte autora (____) é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  <w:u w:val="single"/>
        </w:rPr>
        <w:t>anterior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ao artigo 12-A da Lei nº 14.601/2023, incluído pela 15.077/2024. Logo, a imposição de barreiras estatísticas ou quantitativas, além de subverter a lógica do Programa, neste caso específico, também extrapolou o poder regulamentar, a segurança jurídica e destoa do precedente fixado no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Tema 379 da Turma Nacional de Uniformização (TNU).</w:t>
      </w:r>
    </w:p>
    <w:p w14:paraId="1A7CF6AC" w14:textId="77777777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b/>
          <w:bCs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No julgamento do PEDILEF 0044230-77.2023.4.05.8300, afetado como representativo da controvérsia, a TNU fixou a seguinte tese no julgamento do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 Tema nº 379:</w:t>
      </w:r>
    </w:p>
    <w:p w14:paraId="470FEEAA" w14:textId="77777777" w:rsidR="00B7659E" w:rsidRPr="000659AE" w:rsidRDefault="009D5CD5">
      <w:pPr>
        <w:spacing w:before="80" w:after="80" w:line="276" w:lineRule="auto"/>
        <w:ind w:left="1440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i/>
          <w:iCs/>
          <w:color w:val="1F497D" w:themeColor="text2"/>
          <w:sz w:val="20"/>
          <w:szCs w:val="20"/>
          <w:highlight w:val="white"/>
        </w:rPr>
        <w:t>A partir da vigência do art. 12-A da Lei 14.601/2023 (incluído pela Lei 15.077/2024), do art. 2º, §3º, da Lei 15.077/2024 e do art. 6º, §3º, IX, da Portaria MDS 897/2023 (com a redação dada pela Portaria MDS 1.003/2024), é legal a imposição de um índice máximo de famílias unipessoais por município como condicionante para o ingresso no Programa Bolsa Família, nos termos de ato do Poder Executivo federal (art. 6º, §2, da Portaria MDS 897/2023, incluído pela Portaria MDS 911/2023).</w:t>
      </w:r>
    </w:p>
    <w:p w14:paraId="4943C2DA" w14:textId="77777777" w:rsidR="00B7659E" w:rsidRPr="000659AE" w:rsidRDefault="00B7659E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</w:p>
    <w:p w14:paraId="47970FE5" w14:textId="22FB53FF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O entendimento consolidado pela TNU assevera que a aplicação retroativa de portarias restritivas (como a Portaria MDS 897/2023, </w:t>
      </w:r>
      <w:r w:rsidR="00E87628"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na 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redação dada pela Portaria 911/2023) é vedada, sob pena de violação ao princípio da segurança jurídica. </w:t>
      </w:r>
    </w:p>
    <w:p w14:paraId="094990D9" w14:textId="4D5B5BE9" w:rsidR="00B7659E" w:rsidRPr="000659AE" w:rsidRDefault="009D5CD5">
      <w:pPr>
        <w:spacing w:before="20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Em outras palavras, a tese fixada pela TNU estabeleceu como marco temporal para a (i)legalidade da limitação dos 16% de famílias unipessoais por Município a vigência da Lei 15.077/2024 (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27 de dezembro de 2024)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, que acrescentou o artigo 12-A à Lei 14.601/2023. Sendo assim, pelo Tema 379 da TNU</w:t>
      </w:r>
      <w:r w:rsidR="00233FA5"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, </w:t>
      </w:r>
      <w:r w:rsidRPr="000659AE">
        <w:rPr>
          <w:rFonts w:ascii="Quattrocento Sans" w:eastAsia="Quattrocento Sans" w:hAnsi="Quattrocento Sans" w:cs="Quattrocento Sans"/>
          <w:color w:val="1F497D" w:themeColor="text2"/>
          <w:u w:val="single"/>
        </w:rPr>
        <w:t>antes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da Lei 15.077/2024 (27/12/2024), a trava dos 16% prevista no art. 6º, §2º, da Portaria MDS nº 897/2023 (incluído pela Portaria MDS nº 911/2023) </w:t>
      </w:r>
      <w:r w:rsidRPr="000659AE">
        <w:rPr>
          <w:rFonts w:ascii="Quattrocento Sans" w:eastAsia="Quattrocento Sans" w:hAnsi="Quattrocento Sans" w:cs="Quattrocento Sans"/>
          <w:color w:val="1F497D" w:themeColor="text2"/>
          <w:u w:val="single"/>
        </w:rPr>
        <w:t>é ilegal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; depois, legal. </w:t>
      </w:r>
    </w:p>
    <w:p w14:paraId="66468156" w14:textId="77777777" w:rsidR="00B7659E" w:rsidRPr="000659AE" w:rsidRDefault="00B7659E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</w:p>
    <w:p w14:paraId="39DCBC66" w14:textId="77777777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noProof/>
          <w:color w:val="1F497D" w:themeColor="text2"/>
        </w:rPr>
        <mc:AlternateContent>
          <mc:Choice Requires="wpg">
            <w:drawing>
              <wp:inline distT="0" distB="0" distL="0" distR="0" wp14:anchorId="371FD286" wp14:editId="58B4717A">
                <wp:extent cx="5120005" cy="1564640"/>
                <wp:effectExtent l="0" t="0" r="0" b="0"/>
                <wp:docPr id="1" name="Forma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19920" cy="1564560"/>
                          <a:chOff x="0" y="0"/>
                          <a:chExt cx="5119920" cy="1564560"/>
                        </a:xfrm>
                      </wpg:grpSpPr>
                      <wpg:grpSp>
                        <wpg:cNvPr id="253846568" name="Agrupar 253846568"/>
                        <wpg:cNvGrpSpPr/>
                        <wpg:grpSpPr>
                          <a:xfrm>
                            <a:off x="0" y="0"/>
                            <a:ext cx="5119920" cy="1564560"/>
                            <a:chOff x="0" y="0"/>
                            <a:chExt cx="0" cy="0"/>
                          </a:xfrm>
                        </wpg:grpSpPr>
                        <wps:wsp>
                          <wps:cNvPr id="1075424271" name="Retângulo 1075424271"/>
                          <wps:cNvSpPr/>
                          <wps:spPr>
                            <a:xfrm>
                              <a:off x="0" y="0"/>
                              <a:ext cx="5119920" cy="1564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6A3A58D5" w14:textId="77777777" w:rsidR="00B7659E" w:rsidRDefault="00B7659E"/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276662853" name="Conector de Seta Reta 276662853"/>
                          <wps:cNvCnPr/>
                          <wps:spPr>
                            <a:xfrm>
                              <a:off x="0" y="605880"/>
                              <a:ext cx="5086440" cy="9000"/>
                            </a:xfrm>
                            <a:prstGeom prst="straightConnector1">
                              <a:avLst/>
                            </a:prstGeom>
                            <a:noFill/>
                            <a:ln w="38100">
                              <a:solidFill>
                                <a:srgbClr val="0A457A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91278471" name="Conector de Seta Reta 91278471"/>
                          <wps:cNvCnPr/>
                          <wps:spPr>
                            <a:xfrm>
                              <a:off x="14760" y="502200"/>
                              <a:ext cx="720" cy="195480"/>
                            </a:xfrm>
                            <a:prstGeom prst="straightConnector1">
                              <a:avLst/>
                            </a:prstGeom>
                            <a:noFill/>
                            <a:ln w="38100">
                              <a:solidFill>
                                <a:srgbClr val="0A457A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1615851584" name="Conector de Seta Reta 1615851584"/>
                          <wps:cNvCnPr/>
                          <wps:spPr>
                            <a:xfrm>
                              <a:off x="2610000" y="295200"/>
                              <a:ext cx="720" cy="631080"/>
                            </a:xfrm>
                            <a:prstGeom prst="straightConnector1">
                              <a:avLst/>
                            </a:prstGeom>
                            <a:noFill/>
                            <a:ln w="38100">
                              <a:solidFill>
                                <a:srgbClr val="0A457A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1230859555" name="Conector de Seta Reta 1230859555"/>
                          <wps:cNvCnPr/>
                          <wps:spPr>
                            <a:xfrm>
                              <a:off x="5087160" y="502200"/>
                              <a:ext cx="720" cy="226080"/>
                            </a:xfrm>
                            <a:prstGeom prst="straightConnector1">
                              <a:avLst/>
                            </a:prstGeom>
                            <a:noFill/>
                            <a:ln w="38100">
                              <a:solidFill>
                                <a:srgbClr val="0A457A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1537221303" name="Retângulo 1537221303"/>
                          <wps:cNvSpPr/>
                          <wps:spPr>
                            <a:xfrm>
                              <a:off x="90720" y="0"/>
                              <a:ext cx="2440800" cy="477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4679EFAF" w14:textId="77777777" w:rsidR="00B7659E" w:rsidRDefault="009D5CD5">
                                <w:r>
                                  <w:rPr>
                                    <w:rFonts w:ascii="Arial" w:eastAsia="Arial" w:hAnsi="Arial" w:cs="Arial"/>
                                    <w:color w:val="0A457A"/>
                                    <w:sz w:val="20"/>
                                  </w:rPr>
                                  <w:t>Limite de 16% de famílias unipessoais pela Portaria MDS nº 897/23 é ilegal</w:t>
                                </w:r>
                              </w:p>
                            </w:txbxContent>
                          </wps:txbx>
                          <wps:bodyPr lIns="0" tIns="0" rIns="0" bIns="0" anchor="t">
                            <a:noAutofit/>
                          </wps:bodyPr>
                        </wps:wsp>
                        <wps:wsp>
                          <wps:cNvPr id="1134990447" name="Retângulo 1134990447"/>
                          <wps:cNvSpPr/>
                          <wps:spPr>
                            <a:xfrm>
                              <a:off x="2728080" y="0"/>
                              <a:ext cx="2392200" cy="477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6F6D57E7" w14:textId="77777777" w:rsidR="00B7659E" w:rsidRDefault="009D5CD5">
                                <w:r>
                                  <w:rPr>
                                    <w:rFonts w:ascii="Arial" w:eastAsia="Arial" w:hAnsi="Arial" w:cs="Arial"/>
                                    <w:color w:val="0A457A"/>
                                    <w:sz w:val="20"/>
                                  </w:rPr>
                                  <w:t>Limite de 16% de famílias unipessoais pela Portaria MDS nº 897/23 é LEGAL</w:t>
                                </w:r>
                              </w:p>
                            </w:txbxContent>
                          </wps:txbx>
                          <wps:bodyPr lIns="0" tIns="0" rIns="0" bIns="0" anchor="t">
                            <a:noAutofit/>
                          </wps:bodyPr>
                        </wps:wsp>
                        <wps:wsp>
                          <wps:cNvPr id="1902613139" name="Retângulo 1902613139"/>
                          <wps:cNvSpPr/>
                          <wps:spPr>
                            <a:xfrm>
                              <a:off x="1106280" y="876240"/>
                              <a:ext cx="3005280" cy="6883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2C19E9AF" w14:textId="77777777" w:rsidR="00B7659E" w:rsidRDefault="009D5CD5">
                                <w:pPr>
                                  <w:spacing w:line="271" w:lineRule="auto"/>
                                  <w:jc w:val="center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0A457A"/>
                                    <w:sz w:val="20"/>
                                  </w:rPr>
                                  <w:t>Marco Temporal: 27/12/2024</w:t>
                                </w:r>
                              </w:p>
                              <w:p w14:paraId="79269B1D" w14:textId="77777777" w:rsidR="00B7659E" w:rsidRDefault="009D5CD5">
                                <w:pPr>
                                  <w:spacing w:line="271" w:lineRule="auto"/>
                                  <w:jc w:val="center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0A457A"/>
                                    <w:sz w:val="20"/>
                                  </w:rPr>
                                  <w:t>Lei nº 15.077/2024</w:t>
                                </w:r>
                              </w:p>
                              <w:p w14:paraId="59199EBF" w14:textId="77777777" w:rsidR="00B7659E" w:rsidRDefault="009D5CD5">
                                <w:pPr>
                                  <w:spacing w:line="271" w:lineRule="auto"/>
                                  <w:jc w:val="center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0A457A"/>
                                    <w:sz w:val="20"/>
                                  </w:rPr>
                                  <w:t>Inclusão do art. 12-A na Lei nº 14.601/2023</w:t>
                                </w:r>
                              </w:p>
                            </w:txbxContent>
                          </wps:txbx>
                          <wps:bodyPr lIns="0" tIns="0" r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71FD286" id="Forma1" o:spid="_x0000_s1026" style="width:403.15pt;height:123.2pt;mso-position-horizontal-relative:char;mso-position-vertical-relative:line" coordsize="51199,156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">
                <v:group id="Agrupar 253846568" o:spid="_x0000_s1027" style="position:absolute;width:51199;height:1564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">
                  <v:rect id="Retângulo 1075424271" o:spid="_x0000_s1028" style="position:absolute;width:5119920;height:15645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" filled="f" stroked="f" strokeweight="0">
                    <v:textbox inset="0,0,0,0">
                      <w:txbxContent>
                        <w:p w14:paraId="6A3A58D5" w14:textId="77777777" w:rsidR="00B7659E" w:rsidRDefault="00B7659E"/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de Seta Reta 276662853" o:spid="_x0000_s1029" type="#_x0000_t32" style="position:absolute;top:605880;width:5086440;height:90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" strokecolor="#0a457a" strokeweight="3pt"/>
                  <v:shape id="Conector de Seta Reta 91278471" o:spid="_x0000_s1030" type="#_x0000_t32" style="position:absolute;left:14760;top:502200;width:720;height:1954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" strokecolor="#0a457a" strokeweight="3pt"/>
                  <v:shape id="Conector de Seta Reta 1615851584" o:spid="_x0000_s1031" type="#_x0000_t32" style="position:absolute;left:2610000;top:295200;width:720;height:6310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" strokecolor="#0a457a" strokeweight="3pt"/>
                  <v:shape id="Conector de Seta Reta 1230859555" o:spid="_x0000_s1032" type="#_x0000_t32" style="position:absolute;left:5087160;top:502200;width:720;height:2260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" strokecolor="#0a457a" strokeweight="3pt"/>
                  <v:rect id="Retângulo 1537221303" o:spid="_x0000_s1033" style="position:absolute;left:90720;width:2440800;height:477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" filled="f" stroked="f" strokeweight="0">
                    <v:textbox inset="0,0,0,0">
                      <w:txbxContent>
                        <w:p w14:paraId="4679EFAF" w14:textId="77777777" w:rsidR="00B7659E" w:rsidRDefault="009D5CD5">
                          <w:r>
                            <w:rPr>
                              <w:rFonts w:ascii="Arial" w:eastAsia="Arial" w:hAnsi="Arial" w:cs="Arial"/>
                              <w:color w:val="0A457A"/>
                              <w:sz w:val="20"/>
                            </w:rPr>
                            <w:t>Limite de 16% de famílias unipessoais pela Portaria MDS nº 897/23 é ilegal</w:t>
                          </w:r>
                        </w:p>
                      </w:txbxContent>
                    </v:textbox>
                  </v:rect>
                  <v:rect id="Retângulo 1134990447" o:spid="_x0000_s1034" style="position:absolute;left:2728080;width:2392200;height:477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" filled="f" stroked="f" strokeweight="0">
                    <v:textbox inset="0,0,0,0">
                      <w:txbxContent>
                        <w:p w14:paraId="6F6D57E7" w14:textId="77777777" w:rsidR="00B7659E" w:rsidRDefault="009D5CD5">
                          <w:r>
                            <w:rPr>
                              <w:rFonts w:ascii="Arial" w:eastAsia="Arial" w:hAnsi="Arial" w:cs="Arial"/>
                              <w:color w:val="0A457A"/>
                              <w:sz w:val="20"/>
                            </w:rPr>
                            <w:t>Limite de 16% de famílias unipessoais pela Portaria MDS nº 897/23 é LEGAL</w:t>
                          </w:r>
                        </w:p>
                      </w:txbxContent>
                    </v:textbox>
                  </v:rect>
                  <v:rect id="Retângulo 1902613139" o:spid="_x0000_s1035" style="position:absolute;left:1106280;top:876240;width:3005280;height:688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" filled="f" stroked="f" strokeweight="0">
                    <v:textbox inset="0,0,0,0">
                      <w:txbxContent>
                        <w:p w14:paraId="2C19E9AF" w14:textId="77777777" w:rsidR="00B7659E" w:rsidRDefault="009D5CD5">
                          <w:pPr>
                            <w:spacing w:line="271" w:lineRule="auto"/>
                            <w:jc w:val="center"/>
                          </w:pPr>
                          <w:r>
                            <w:rPr>
                              <w:rFonts w:ascii="Arial" w:eastAsia="Arial" w:hAnsi="Arial" w:cs="Arial"/>
                              <w:color w:val="0A457A"/>
                              <w:sz w:val="20"/>
                            </w:rPr>
                            <w:t>Marco Temporal: 27/12/2024</w:t>
                          </w:r>
                        </w:p>
                        <w:p w14:paraId="79269B1D" w14:textId="77777777" w:rsidR="00B7659E" w:rsidRDefault="009D5CD5">
                          <w:pPr>
                            <w:spacing w:line="271" w:lineRule="auto"/>
                            <w:jc w:val="center"/>
                          </w:pPr>
                          <w:r>
                            <w:rPr>
                              <w:rFonts w:ascii="Arial" w:eastAsia="Arial" w:hAnsi="Arial" w:cs="Arial"/>
                              <w:color w:val="0A457A"/>
                              <w:sz w:val="20"/>
                            </w:rPr>
                            <w:t>Lei nº 15.077/2024</w:t>
                          </w:r>
                        </w:p>
                        <w:p w14:paraId="59199EBF" w14:textId="77777777" w:rsidR="00B7659E" w:rsidRDefault="009D5CD5">
                          <w:pPr>
                            <w:spacing w:line="271" w:lineRule="auto"/>
                            <w:jc w:val="center"/>
                          </w:pPr>
                          <w:r>
                            <w:rPr>
                              <w:rFonts w:ascii="Arial" w:eastAsia="Arial" w:hAnsi="Arial" w:cs="Arial"/>
                              <w:color w:val="0A457A"/>
                              <w:sz w:val="20"/>
                            </w:rPr>
                            <w:t>Inclusão do art. 12-A na Lei nº 14.601/2023</w:t>
                          </w:r>
                        </w:p>
                      </w:txbxContent>
                    </v:textbox>
                  </v:rect>
                </v:group>
                <w10:anchorlock/>
              </v:group>
            </w:pict>
          </mc:Fallback>
        </mc:AlternateContent>
      </w:r>
    </w:p>
    <w:p w14:paraId="64346E11" w14:textId="77777777" w:rsidR="00B7659E" w:rsidRPr="000659AE" w:rsidRDefault="00B7659E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</w:p>
    <w:p w14:paraId="4A6F7A49" w14:textId="77777777" w:rsidR="00B7659E" w:rsidRPr="000659AE" w:rsidRDefault="00B7659E">
      <w:pPr>
        <w:spacing w:before="80" w:after="80" w:line="360" w:lineRule="auto"/>
        <w:ind w:firstLine="851"/>
        <w:jc w:val="both"/>
        <w:rPr>
          <w:rFonts w:ascii="Times New Roman" w:eastAsia="Times New Roman" w:hAnsi="Times New Roman" w:cs="Times New Roman"/>
          <w:color w:val="1F497D" w:themeColor="text2"/>
        </w:rPr>
      </w:pPr>
    </w:p>
    <w:p w14:paraId="31B322E1" w14:textId="77777777" w:rsidR="00B7659E" w:rsidRPr="000659AE" w:rsidRDefault="00B7659E">
      <w:pPr>
        <w:spacing w:before="80" w:after="80" w:line="360" w:lineRule="auto"/>
        <w:ind w:firstLine="851"/>
        <w:jc w:val="both"/>
        <w:rPr>
          <w:rFonts w:ascii="Times New Roman" w:eastAsia="Times New Roman" w:hAnsi="Times New Roman" w:cs="Times New Roman"/>
          <w:color w:val="1F497D" w:themeColor="text2"/>
        </w:rPr>
      </w:pPr>
    </w:p>
    <w:p w14:paraId="404DDBD8" w14:textId="77777777" w:rsidR="00B7659E" w:rsidRPr="000659AE" w:rsidRDefault="00B7659E">
      <w:pPr>
        <w:spacing w:before="80" w:after="80" w:line="360" w:lineRule="auto"/>
        <w:ind w:firstLine="851"/>
        <w:jc w:val="both"/>
        <w:rPr>
          <w:rFonts w:ascii="Times New Roman" w:eastAsia="Times New Roman" w:hAnsi="Times New Roman" w:cs="Times New Roman"/>
          <w:color w:val="1F497D" w:themeColor="text2"/>
        </w:rPr>
      </w:pPr>
    </w:p>
    <w:p w14:paraId="05F7B99A" w14:textId="1ED2D7D4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No acórdão, a TNU também firmou o entendimento de que a restrição do número de beneficiários unipessoais em 16% do total de beneficiários do Município não traz prejuízos diretos aos beneficiários, uma vez que estes podem ingressar no Programa </w:t>
      </w:r>
      <w:r w:rsidR="00CF2D17" w:rsidRPr="000659AE">
        <w:rPr>
          <w:rFonts w:ascii="Quattrocento Sans" w:eastAsia="Quattrocento Sans" w:hAnsi="Quattrocento Sans" w:cs="Quattrocento Sans"/>
          <w:color w:val="1F497D" w:themeColor="text2"/>
        </w:rPr>
        <w:t>nas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hipóteses excepcionais do art. 6º, §3º, da Portaria MDS nº 897/2023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, inclusive mediante a realização de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entrevistas domiciliares 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para a atualização do 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</w:rPr>
        <w:t>CadÚnico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. </w:t>
      </w:r>
    </w:p>
    <w:p w14:paraId="0B97EB0B" w14:textId="2AC8C50F" w:rsidR="00B7659E" w:rsidRPr="000659AE" w:rsidRDefault="009D5CD5">
      <w:pPr>
        <w:spacing w:before="192" w:after="192" w:line="360" w:lineRule="auto"/>
        <w:ind w:right="2" w:firstLine="851"/>
        <w:jc w:val="both"/>
        <w:rPr>
          <w:rFonts w:ascii="Quattrocento Sans" w:hAnsi="Quattrocento Sans"/>
          <w:color w:val="1F497D" w:themeColor="text2"/>
        </w:rPr>
      </w:pPr>
      <w:r w:rsidRPr="000659AE">
        <w:rPr>
          <w:rFonts w:ascii="Quattrocento Sans" w:hAnsi="Quattrocento Sans"/>
          <w:color w:val="1F497D" w:themeColor="text2"/>
        </w:rPr>
        <w:t xml:space="preserve">De fato, a partir de julho de 2024, o cadastro/atualização das famílias unipessoais no </w:t>
      </w:r>
      <w:proofErr w:type="spellStart"/>
      <w:r w:rsidRPr="000659AE">
        <w:rPr>
          <w:rFonts w:ascii="Quattrocento Sans" w:hAnsi="Quattrocento Sans"/>
          <w:color w:val="1F497D" w:themeColor="text2"/>
        </w:rPr>
        <w:t>CadÚnico</w:t>
      </w:r>
      <w:proofErr w:type="spellEnd"/>
      <w:r w:rsidRPr="000659AE">
        <w:rPr>
          <w:rFonts w:ascii="Quattrocento Sans" w:hAnsi="Quattrocento Sans"/>
          <w:color w:val="1F497D" w:themeColor="text2"/>
        </w:rPr>
        <w:t xml:space="preserve"> por meio de entrevista em domicílio passou a ser hipótese de exceção do limite de 16% por Município (art. 6°, § 3º, IX</w:t>
      </w:r>
      <w:r w:rsidR="005041A1" w:rsidRPr="000659AE">
        <w:rPr>
          <w:rFonts w:ascii="Quattrocento Sans" w:hAnsi="Quattrocento Sans"/>
          <w:color w:val="1F497D" w:themeColor="text2"/>
        </w:rPr>
        <w:t>,</w:t>
      </w:r>
      <w:r w:rsidRPr="000659AE">
        <w:rPr>
          <w:rFonts w:ascii="Quattrocento Sans" w:hAnsi="Quattrocento Sans"/>
          <w:color w:val="1F497D" w:themeColor="text2"/>
        </w:rPr>
        <w:t xml:space="preserve"> da Portaria MDS n° 897/2023)</w:t>
      </w:r>
      <w:r w:rsidRPr="000659AE">
        <w:rPr>
          <w:rStyle w:val="Refdenotaderodap"/>
          <w:rFonts w:ascii="Quattrocento Sans" w:hAnsi="Quattrocento Sans"/>
          <w:color w:val="1F497D" w:themeColor="text2"/>
        </w:rPr>
        <w:footnoteReference w:id="1"/>
      </w:r>
      <w:r w:rsidRPr="000659AE">
        <w:rPr>
          <w:rFonts w:ascii="Quattrocento Sans" w:hAnsi="Quattrocento Sans"/>
          <w:color w:val="1F497D" w:themeColor="text2"/>
        </w:rPr>
        <w:t>. Por essa razão, a Defensoria Pública da União expediu o OFÍCIO _______, requerendo expressamente a entrevista domiciliar para confirmar a condição de família unipessoal. Entretanto, a entrevista não foi realizada até a presente data, nem houve marcação para data futura. Resta demonstrad</w:t>
      </w:r>
      <w:r w:rsidR="005041A1" w:rsidRPr="000659AE">
        <w:rPr>
          <w:rFonts w:ascii="Quattrocento Sans" w:hAnsi="Quattrocento Sans"/>
          <w:color w:val="1F497D" w:themeColor="text2"/>
        </w:rPr>
        <w:t>o</w:t>
      </w:r>
      <w:r w:rsidRPr="000659AE">
        <w:rPr>
          <w:rFonts w:ascii="Quattrocento Sans" w:hAnsi="Quattrocento Sans"/>
          <w:color w:val="1F497D" w:themeColor="text2"/>
        </w:rPr>
        <w:t xml:space="preserve">, portanto, que o </w:t>
      </w:r>
      <w:r w:rsidRPr="000659AE">
        <w:rPr>
          <w:rFonts w:ascii="Quattrocento Sans" w:hAnsi="Quattrocento Sans"/>
          <w:b/>
          <w:bCs/>
          <w:color w:val="1F497D" w:themeColor="text2"/>
        </w:rPr>
        <w:t>único óbice</w:t>
      </w:r>
      <w:r w:rsidRPr="000659AE">
        <w:rPr>
          <w:rFonts w:ascii="Quattrocento Sans" w:hAnsi="Quattrocento Sans"/>
          <w:color w:val="1F497D" w:themeColor="text2"/>
        </w:rPr>
        <w:t xml:space="preserve"> ao ingresso da parte autora no Programa Bolsa Família advém da mora da parte ré. </w:t>
      </w:r>
    </w:p>
    <w:p w14:paraId="5E20AAE9" w14:textId="77777777" w:rsidR="00B7659E" w:rsidRPr="000659AE" w:rsidRDefault="009D5CD5">
      <w:pPr>
        <w:spacing w:before="192" w:after="192" w:line="360" w:lineRule="auto"/>
        <w:ind w:right="2"/>
        <w:jc w:val="both"/>
        <w:rPr>
          <w:rFonts w:ascii="Quattrocento Sans" w:eastAsia="Quattrocento Sans" w:hAnsi="Quattrocento Sans" w:cs="Quattrocento Sans"/>
          <w:b/>
          <w:bCs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[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  <w:highlight w:val="yellow"/>
        </w:rPr>
        <w:t>CASO TAMBÉM INTEGRE GRUPO EXCEPCIONAL:</w:t>
      </w:r>
    </w:p>
    <w:p w14:paraId="2649830A" w14:textId="03D1D3E9" w:rsidR="00B7659E" w:rsidRPr="000659AE" w:rsidRDefault="009D5CD5">
      <w:pPr>
        <w:spacing w:before="192" w:after="192" w:line="360" w:lineRule="auto"/>
        <w:ind w:right="2" w:firstLine="851"/>
        <w:jc w:val="both"/>
        <w:rPr>
          <w:rFonts w:ascii="Quattrocento Sans" w:hAnsi="Quattrocento Sans"/>
          <w:color w:val="1F497D" w:themeColor="text2"/>
        </w:rPr>
      </w:pPr>
      <w:r w:rsidRPr="000659AE">
        <w:rPr>
          <w:rFonts w:ascii="Quattrocento Sans" w:hAnsi="Quattrocento Sans"/>
          <w:color w:val="1F497D" w:themeColor="text2"/>
        </w:rPr>
        <w:t>Além disso, no caso concreto, conforme documentos em anexo, a parte autora integra grupo excepcional ________, previsto no art. 6°, § 3º, inciso _____</w:t>
      </w:r>
      <w:r w:rsidR="00ED0483" w:rsidRPr="000659AE">
        <w:rPr>
          <w:rFonts w:ascii="Quattrocento Sans" w:hAnsi="Quattrocento Sans"/>
          <w:color w:val="1F497D" w:themeColor="text2"/>
        </w:rPr>
        <w:t xml:space="preserve">, </w:t>
      </w:r>
      <w:r w:rsidRPr="000659AE">
        <w:rPr>
          <w:rFonts w:ascii="Quattrocento Sans" w:hAnsi="Quattrocento Sans"/>
          <w:color w:val="1F497D" w:themeColor="text2"/>
        </w:rPr>
        <w:t xml:space="preserve">da Portaria MDS n° 897/2023. Entretanto, apesar da expedição do OFÍCIO _______ pela Defensoria Pública da União, esta informação não consta </w:t>
      </w:r>
      <w:r w:rsidR="00ED0483" w:rsidRPr="000659AE">
        <w:rPr>
          <w:rFonts w:ascii="Quattrocento Sans" w:hAnsi="Quattrocento Sans"/>
          <w:color w:val="1F497D" w:themeColor="text2"/>
        </w:rPr>
        <w:t>d</w:t>
      </w:r>
      <w:r w:rsidRPr="000659AE">
        <w:rPr>
          <w:rFonts w:ascii="Quattrocento Sans" w:hAnsi="Quattrocento Sans"/>
          <w:color w:val="1F497D" w:themeColor="text2"/>
        </w:rPr>
        <w:t xml:space="preserve">o </w:t>
      </w:r>
      <w:proofErr w:type="spellStart"/>
      <w:r w:rsidRPr="000659AE">
        <w:rPr>
          <w:rFonts w:ascii="Quattrocento Sans" w:hAnsi="Quattrocento Sans"/>
          <w:color w:val="1F497D" w:themeColor="text2"/>
        </w:rPr>
        <w:t>CadÚnico</w:t>
      </w:r>
      <w:proofErr w:type="spellEnd"/>
      <w:r w:rsidRPr="000659AE">
        <w:rPr>
          <w:rFonts w:ascii="Quattrocento Sans" w:hAnsi="Quattrocento Sans"/>
          <w:color w:val="1F497D" w:themeColor="text2"/>
        </w:rPr>
        <w:t>. A omissão do Município de incluir a condição de [grupo excepcional] no Cadastro Único é, atualmente, o único óbice à inclusão da parte autora no Programa Bolsa Família. Por essa razão, requer-se o reconhecimento judicial da condição de _______ e a concessão do benefício do Programa Bolsa Família, com o pagamento das parcelas vencidas e vincendas</w:t>
      </w:r>
      <w:proofErr w:type="gramStart"/>
      <w:r w:rsidRPr="000659AE">
        <w:rPr>
          <w:rFonts w:ascii="Quattrocento Sans" w:hAnsi="Quattrocento Sans"/>
          <w:color w:val="1F497D" w:themeColor="text2"/>
        </w:rPr>
        <w:t>. ]</w:t>
      </w:r>
      <w:proofErr w:type="gramEnd"/>
      <w:r w:rsidRPr="000659AE">
        <w:rPr>
          <w:rFonts w:ascii="Quattrocento Sans" w:hAnsi="Quattrocento Sans"/>
          <w:color w:val="1F497D" w:themeColor="text2"/>
        </w:rPr>
        <w:t xml:space="preserve"> </w:t>
      </w:r>
    </w:p>
    <w:p w14:paraId="6D34DAAA" w14:textId="77777777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Ante o exposto, nos termos do precedente vinculante da Turma Nacional de Uniformização dos Juizados Especiais Federais (TNU) deve ser julgado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procedente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o pedido de (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</w:rPr>
        <w:t>re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</w:rPr>
        <w:t>)inclusão da parte autora no Programa Bolsa Família, desde a data da inclusão/atualização cadastral ou exclusão do PBF, ocorrida em ____.</w:t>
      </w:r>
    </w:p>
    <w:p w14:paraId="1FB5A944" w14:textId="77777777" w:rsidR="00B7659E" w:rsidRPr="000659AE" w:rsidRDefault="00B7659E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</w:p>
    <w:p w14:paraId="172B52C6" w14:textId="77777777" w:rsidR="00B7659E" w:rsidRPr="000659AE" w:rsidRDefault="009D5CD5">
      <w:pPr>
        <w:spacing w:before="80" w:after="80" w:line="360" w:lineRule="auto"/>
        <w:jc w:val="both"/>
        <w:rPr>
          <w:rFonts w:ascii="Quattrocento Sans" w:eastAsia="Quattrocento Sans" w:hAnsi="Quattrocento Sans" w:cs="Quattrocento Sans"/>
          <w:b/>
          <w:bCs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i/>
          <w:iCs/>
          <w:color w:val="1F497D" w:themeColor="text2"/>
        </w:rPr>
        <w:t>IV.  DA INCONSTITUCIONALIDADE DO ARTIGO 12-A DA LEI 14.601/23.</w:t>
      </w:r>
    </w:p>
    <w:p w14:paraId="74132AD4" w14:textId="77777777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b/>
          <w:bCs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Por apego à argumentação,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soma-se à aplicação da tese fixada pelo Tema 379 da TNU no caso concreto a patente incompatibilidade do artigo 12-A da Lei 14.601/2023 com a ordem constitucional vigente. </w:t>
      </w:r>
    </w:p>
    <w:p w14:paraId="1E5EEA00" w14:textId="77777777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O art. 12-A da Lei nº 14.601/2023, incluído pela Lei 15.077/2024, dispõe que os Municípios e o Distrito Federal, na atuação descentralizada da execução e da gestão do Programa Bolsa Família, deverão observar índice máximo de famílias compostas de 1 (uma) só pessoa inscritas no Programa, nos termos de ato do Poder Executivo federal.   </w:t>
      </w:r>
    </w:p>
    <w:p w14:paraId="3A43B387" w14:textId="77777777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lastRenderedPageBreak/>
        <w:t>Tal dispositivo consiste em verdadeira "delegação legislativa em branco"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, uma vez que o texto legal não estabelece balizas fundamentais para essa regulamentação, como o percentual máximo admissível, critérios técnicos para sua fixação ou limites que deveriam orientar a atuação administrativa.</w:t>
      </w:r>
    </w:p>
    <w:p w14:paraId="524B1E5B" w14:textId="78B6BA9F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Ao conferir ao Poder Executivo uma discricionariedade ampla e sem diretrizes, a lei permite que a administração defina o índice de forma arbitrária, o que fere diretamente o princípio da legalidade (art</w:t>
      </w:r>
      <w:r w:rsidR="00BE05A0"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igos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 5º, II, e 37, caput, CF) e a separação de poderes (art. 2º, CF).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Essa transferência de competência retira do Poder Legislativo a tarefa de definir os contornos de uma restrição a direitos sociais, permitindo que o Executivo inove na ordem jurídica para criar critérios de exclusão que não possuem suporte na lei que instituiu o programa.</w:t>
      </w:r>
    </w:p>
    <w:p w14:paraId="5514F1B6" w14:textId="77777777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A norma institui uma discriminação desarrazoada, violando, outrossim, o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princípio da isonomia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(art. 5º, </w:t>
      </w:r>
      <w:r w:rsidRPr="000659AE">
        <w:rPr>
          <w:rFonts w:ascii="Quattrocento Sans" w:eastAsia="Quattrocento Sans" w:hAnsi="Quattrocento Sans" w:cs="Quattrocento Sans"/>
          <w:i/>
          <w:iCs/>
          <w:color w:val="1F497D" w:themeColor="text2"/>
        </w:rPr>
        <w:t>caput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e I, CF) e os objetivos fundamentais da República presentes no art. 3º, III e IV, CF, ao impor que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cidadãos em idêntica situação de vulnerabilidade recebam respostas estatais diametralmente opostas fundadas exclusivamente em seu local de residência, esvaziando o caráter universal da assistência social e agravando a marginalização que o Estado tem o dever constitucional de erradicar. 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Ainda, ao inviabilizar o acesso de quem preenche todos os requisitos legais, o ente público viola o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direito fundamental à alimentação e à renda básica (art. 6º, caput e parágrafo único, CF/88).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</w:t>
      </w:r>
    </w:p>
    <w:p w14:paraId="1E886E85" w14:textId="77777777" w:rsidR="00020B12" w:rsidRPr="000659AE" w:rsidRDefault="00020B12" w:rsidP="00020B12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Ademais, a imposição de um teto percentual de famílias unipessoais no Programa Bolsa Família por Município subverte o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princípio da dignidade da pessoa humana e o mínimo existencial (art. 1º, III, CF/88),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uma vez que condiciona a subsistência básica de indivíduos hipossuficientes a fatores demográficos alheios à realidade pessoal do indivíduo.</w:t>
      </w:r>
    </w:p>
    <w:p w14:paraId="1F89ADB5" w14:textId="71E446CB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Por fim, a introdução de barreiras inexistentes nos primórdios do programa configura nítido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retrocesso social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, pois restringe o alcance de uma política pública consolidada sem a oferta de medidas compensatórias, rompendo com o compromisso de evolução progressiva dos direitos sociais e ferindo a segurança jurídica dos mais vulneráveis, ignorando o</w:t>
      </w:r>
      <w:r w:rsidR="00025651"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</w:t>
      </w:r>
      <w:r w:rsidR="0067623E" w:rsidRPr="000659AE">
        <w:rPr>
          <w:rFonts w:ascii="Quattrocento Sans" w:eastAsia="Quattrocento Sans" w:hAnsi="Quattrocento Sans" w:cs="Quattrocento Sans"/>
          <w:color w:val="1F497D" w:themeColor="text2"/>
        </w:rPr>
        <w:t>caminho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apontado pelo STF no MI nº 7.300/DF</w:t>
      </w:r>
      <w:r w:rsidR="0067623E"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de ampliação do escopo do Programa.</w:t>
      </w:r>
    </w:p>
    <w:p w14:paraId="7FD9C361" w14:textId="77777777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No supracitado MI 7.300/DF, ajuizado pela Defensoria Pública da União no STF, buscou-se tutelar o direito fundamental à renda básica de cidadania disciplinado no art. 1º da Lei nº 10.835/04, restando determinado ao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Governo Federal a implementação, a partir de 2022, do pagamento do programa de renda básica de cidadania para os brasileiros em situação de extrema pobreza e pobreza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, com renda per capita inferior a R$ 89 e R$ 178, respectivamente. Na ótica da Corte,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 houve omissão na regulamentação do benefício, anteriormente previsto na Lei 10.835/2004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, de modo que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  <w:u w:val="single"/>
        </w:rPr>
        <w:t>o Poder Executivo Federal deverá adotar todas as medidas legais cabíveis para a implementação do benefício de renda básica da cidadania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, inclusive mediante alteração do Plano Plurianual (PPA) e da previsão da Lei de Diretrizes Orçamentárias (LDO) e da Lei Orçamentária Anual (LOA) de 2022.</w:t>
      </w:r>
    </w:p>
    <w:p w14:paraId="60295D24" w14:textId="10E43C84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É no sentido de ampliar o alcance do Programa que a jurisprudência tem reconhecido o direito à contemplação dos beneficiários pelo Bolsa Família</w:t>
      </w:r>
      <w:r w:rsidR="00D24BFB" w:rsidRPr="000659AE">
        <w:rPr>
          <w:rFonts w:ascii="Quattrocento Sans" w:eastAsia="Quattrocento Sans" w:hAnsi="Quattrocento Sans" w:cs="Quattrocento Sans"/>
          <w:color w:val="1F497D" w:themeColor="text2"/>
        </w:rPr>
        <w:t>,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quando preenchidos os requisitos legais, independentemente do limite estabelecido para famílias unipessoais:</w:t>
      </w:r>
    </w:p>
    <w:p w14:paraId="2DE7267D" w14:textId="77777777" w:rsidR="00B7659E" w:rsidRPr="000659AE" w:rsidRDefault="009D5CD5">
      <w:pPr>
        <w:spacing w:before="80" w:after="80" w:line="276" w:lineRule="auto"/>
        <w:ind w:left="851"/>
        <w:jc w:val="both"/>
        <w:rPr>
          <w:rFonts w:ascii="Quattrocento Sans" w:eastAsia="Quattrocento Sans" w:hAnsi="Quattrocento Sans" w:cs="Quattrocento Sans"/>
          <w:color w:val="1F497D" w:themeColor="text2"/>
          <w:sz w:val="20"/>
          <w:szCs w:val="20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  <w:sz w:val="20"/>
          <w:szCs w:val="20"/>
        </w:rPr>
        <w:t xml:space="preserve">DIREITO CONSTITUCIONAL E ADMINISTRATIVO. PROGRAMA AUXÍLIO BRASIL. CANCELAMENTO. </w:t>
      </w:r>
      <w:r w:rsidRPr="000659AE">
        <w:rPr>
          <w:rFonts w:ascii="Quattrocento Sans" w:eastAsia="Quattrocento Sans" w:hAnsi="Quattrocento Sans" w:cs="Quattrocento Sans"/>
          <w:color w:val="1F497D" w:themeColor="text2"/>
          <w:sz w:val="20"/>
          <w:szCs w:val="20"/>
        </w:rPr>
        <w:lastRenderedPageBreak/>
        <w:t>AUSÊNCIA DE MOTIVAÇÃO INDIVIDUALIZADA. INSCRIÇÃO REGULAR NO CADÚNICO. RESERVA DO POSSÍVEL. NÃO INCIDÊNCIA. MI 7300/STF. DIREITO SUBJETIVO À TRANSFERÊNCIA DE RENDA EM SITUAÇÃO DE EXTREMA POBREZA. SENTENÇA MANTIDA. DESPROVIMENTO. (...)</w:t>
      </w:r>
    </w:p>
    <w:p w14:paraId="17BC5F48" w14:textId="77777777" w:rsidR="00B7659E" w:rsidRPr="000659AE" w:rsidRDefault="009D5CD5">
      <w:pPr>
        <w:spacing w:before="80" w:after="80" w:line="276" w:lineRule="auto"/>
        <w:ind w:left="851"/>
        <w:jc w:val="both"/>
        <w:rPr>
          <w:rFonts w:ascii="Quattrocento Sans" w:eastAsia="Quattrocento Sans" w:hAnsi="Quattrocento Sans" w:cs="Quattrocento Sans"/>
          <w:color w:val="1F497D" w:themeColor="text2"/>
          <w:sz w:val="20"/>
          <w:szCs w:val="20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  <w:sz w:val="20"/>
          <w:szCs w:val="20"/>
        </w:rPr>
        <w:t>Consoante entendimento consolidado nesta Turma Recursal, a mera invocação da reserva do possível e da seleção automatizada não se sobrepõe ao direito fundamental à assistência social, quando demonstrada a vulnerabilidade econômica do requerente e a omissão do poder público.</w:t>
      </w:r>
    </w:p>
    <w:p w14:paraId="30A006C7" w14:textId="77777777" w:rsidR="00B7659E" w:rsidRPr="000659AE" w:rsidRDefault="009D5CD5">
      <w:pPr>
        <w:spacing w:before="80" w:after="80" w:line="276" w:lineRule="auto"/>
        <w:ind w:left="851"/>
        <w:jc w:val="both"/>
        <w:rPr>
          <w:rFonts w:ascii="Quattrocento Sans" w:eastAsia="Quattrocento Sans" w:hAnsi="Quattrocento Sans" w:cs="Quattrocento Sans"/>
          <w:color w:val="1F497D" w:themeColor="text2"/>
          <w:sz w:val="20"/>
          <w:szCs w:val="20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  <w:sz w:val="20"/>
          <w:szCs w:val="20"/>
        </w:rPr>
        <w:t>Ademais, o STF reconheceu, no MI 7300, que é dever do Estado assegurar renda mínima às famílias em condição de pobreza extrema, sendo certo que a exclusão do programa deve ser motivada, precedida de contraditório e com base em fatos objetivos.</w:t>
      </w:r>
    </w:p>
    <w:p w14:paraId="0630CDEC" w14:textId="77777777" w:rsidR="00B7659E" w:rsidRPr="000659AE" w:rsidRDefault="009D5CD5">
      <w:pPr>
        <w:spacing w:before="80" w:after="80" w:line="276" w:lineRule="auto"/>
        <w:ind w:left="851"/>
        <w:jc w:val="both"/>
        <w:rPr>
          <w:rFonts w:ascii="Quattrocento Sans" w:eastAsia="Quattrocento Sans" w:hAnsi="Quattrocento Sans" w:cs="Quattrocento Sans"/>
          <w:color w:val="1F497D" w:themeColor="text2"/>
          <w:sz w:val="20"/>
          <w:szCs w:val="20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  <w:sz w:val="20"/>
          <w:szCs w:val="20"/>
        </w:rPr>
        <w:t xml:space="preserve">No caso concreto, verifica-se a regularidade do 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  <w:sz w:val="20"/>
          <w:szCs w:val="20"/>
        </w:rPr>
        <w:t>CadÚnico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  <w:sz w:val="20"/>
          <w:szCs w:val="20"/>
        </w:rPr>
        <w:t xml:space="preserve"> da parte autora, bem como a inexistência de decisão administrativa motivada quanto ao cancelamento, o que torna ilegal a exclusão do benefício sem devido processo legal.</w:t>
      </w:r>
    </w:p>
    <w:p w14:paraId="1958911B" w14:textId="77777777" w:rsidR="00B7659E" w:rsidRPr="000659AE" w:rsidRDefault="009D5CD5">
      <w:pPr>
        <w:spacing w:before="80" w:after="80" w:line="276" w:lineRule="auto"/>
        <w:ind w:left="851"/>
        <w:jc w:val="both"/>
        <w:rPr>
          <w:rFonts w:ascii="Quattrocento Sans" w:eastAsia="Quattrocento Sans" w:hAnsi="Quattrocento Sans" w:cs="Quattrocento Sans"/>
          <w:color w:val="1F497D" w:themeColor="text2"/>
          <w:sz w:val="20"/>
          <w:szCs w:val="20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  <w:sz w:val="20"/>
          <w:szCs w:val="20"/>
        </w:rPr>
        <w:t>Ante o exposto, nego provimento ao recurso inominado da União, mantendo integralmente a sentença.</w:t>
      </w:r>
    </w:p>
    <w:p w14:paraId="75C37F63" w14:textId="77777777" w:rsidR="00B7659E" w:rsidRPr="000659AE" w:rsidRDefault="009D5CD5">
      <w:pPr>
        <w:spacing w:before="80" w:after="80" w:line="276" w:lineRule="auto"/>
        <w:ind w:left="851"/>
        <w:jc w:val="both"/>
        <w:rPr>
          <w:rFonts w:ascii="Quattrocento Sans" w:eastAsia="Quattrocento Sans" w:hAnsi="Quattrocento Sans" w:cs="Quattrocento Sans"/>
          <w:color w:val="1F497D" w:themeColor="text2"/>
          <w:sz w:val="20"/>
          <w:szCs w:val="20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  <w:sz w:val="20"/>
          <w:szCs w:val="20"/>
        </w:rPr>
        <w:t>(TRF-5 - RI:  0005485-91.2024.4.05.8300 PE, Relator.: CLAUDIO KITNER, Data de julgamento: 06/05/2025, TERCEIRA TURMA RECURSAL DE PE)</w:t>
      </w:r>
    </w:p>
    <w:p w14:paraId="67FAFD36" w14:textId="77777777" w:rsidR="00B7659E" w:rsidRPr="000659AE" w:rsidRDefault="00B7659E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</w:p>
    <w:p w14:paraId="2D92104F" w14:textId="4C6DB61B" w:rsidR="00020B12" w:rsidRPr="000659AE" w:rsidRDefault="009D5CD5" w:rsidP="00020B12">
      <w:pPr>
        <w:spacing w:before="192" w:after="192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noProof/>
          <w:color w:val="1F497D" w:themeColor="text2"/>
        </w:rPr>
        <w:drawing>
          <wp:anchor distT="0" distB="0" distL="0" distR="0" simplePos="0" relativeHeight="8" behindDoc="0" locked="0" layoutInCell="0" allowOverlap="1" wp14:anchorId="1D723229" wp14:editId="40FB0465">
            <wp:simplePos x="0" y="0"/>
            <wp:positionH relativeFrom="margin">
              <wp:align>right</wp:align>
            </wp:positionH>
            <wp:positionV relativeFrom="paragraph">
              <wp:posOffset>987425</wp:posOffset>
            </wp:positionV>
            <wp:extent cx="6471920" cy="1989455"/>
            <wp:effectExtent l="0" t="0" r="0" b="0"/>
            <wp:wrapTopAndBottom/>
            <wp:docPr id="6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0B12"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Vale ressaltar que, em caso semelhante ao presente, foi distribuído o </w:t>
      </w:r>
      <w:r w:rsidR="00020B12" w:rsidRPr="000659AE">
        <w:rPr>
          <w:rStyle w:val="Forte"/>
          <w:rFonts w:ascii="Quattrocento Sans" w:eastAsia="Quattrocento Sans" w:hAnsi="Quattrocento Sans" w:cs="Quattrocento Sans"/>
          <w:color w:val="1F497D" w:themeColor="text2"/>
        </w:rPr>
        <w:t>ARE 1550140/PE</w:t>
      </w:r>
      <w:r w:rsidR="00020B12"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ao Supremo Tribunal Federal para análise da admissibilidade da Repercussão Geral da matéria, o que reforça a </w:t>
      </w:r>
      <w:r w:rsidR="00020B12" w:rsidRPr="000659AE">
        <w:rPr>
          <w:rStyle w:val="Forte"/>
          <w:rFonts w:ascii="Quattrocento Sans" w:eastAsia="Quattrocento Sans" w:hAnsi="Quattrocento Sans" w:cs="Quattrocento Sans"/>
          <w:color w:val="1F497D" w:themeColor="text2"/>
        </w:rPr>
        <w:t>necessidade da declaração de inconstitucionalidade incidental do artigo 12-A da Lei nº 14.601/2023,</w:t>
      </w:r>
      <w:r w:rsidR="00020B12"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pelos seguintes fundamentos:</w:t>
      </w:r>
    </w:p>
    <w:p w14:paraId="22D0F163" w14:textId="57887BD1" w:rsidR="00B7659E" w:rsidRPr="000659AE" w:rsidRDefault="00B7659E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</w:p>
    <w:p w14:paraId="44C9249A" w14:textId="77777777" w:rsidR="00B7659E" w:rsidRPr="000659AE" w:rsidRDefault="00B7659E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</w:p>
    <w:p w14:paraId="738E0647" w14:textId="749CCFBE" w:rsidR="00B7659E" w:rsidRPr="000659AE" w:rsidRDefault="009D5CD5">
      <w:pPr>
        <w:spacing w:after="80" w:line="360" w:lineRule="auto"/>
        <w:ind w:firstLine="720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Diante do exposto, evidente a inconstitucionalidade do artigo 12-A da Lei 14.601/2023, acrescentado pela Lei 15.077/2024, requer-se o pronunciamento deste juízo quanto ao controle incidental de constitucionalidade diante da violação da norma aos fundamentos acima indicados, bem como seja julgado procedente o pedido de (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</w:rPr>
        <w:t>re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</w:rPr>
        <w:t>)ingresso da parte autora no Programa Bolsa Família.</w:t>
      </w:r>
    </w:p>
    <w:p w14:paraId="2A93C5EF" w14:textId="77777777" w:rsidR="00B7659E" w:rsidRPr="000659AE" w:rsidRDefault="00B7659E">
      <w:pPr>
        <w:spacing w:line="360" w:lineRule="auto"/>
        <w:jc w:val="both"/>
        <w:rPr>
          <w:rFonts w:ascii="Quattrocento Sans" w:eastAsia="Quattrocento Sans" w:hAnsi="Quattrocento Sans" w:cs="Quattrocento Sans"/>
          <w:color w:val="1F497D" w:themeColor="text2"/>
        </w:rPr>
      </w:pPr>
    </w:p>
    <w:p w14:paraId="021D2A49" w14:textId="77777777" w:rsidR="00B7659E" w:rsidRPr="000659AE" w:rsidRDefault="009D5CD5">
      <w:pPr>
        <w:spacing w:after="80" w:line="360" w:lineRule="auto"/>
        <w:jc w:val="both"/>
        <w:rPr>
          <w:rFonts w:ascii="Quattrocento Sans" w:eastAsia="Quattrocento Sans" w:hAnsi="Quattrocento Sans" w:cs="Quattrocento Sans"/>
          <w:i/>
          <w:iCs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i/>
          <w:iCs/>
          <w:color w:val="1F497D" w:themeColor="text2"/>
        </w:rPr>
        <w:t>VI.</w:t>
      </w:r>
      <w:r w:rsidRPr="000659AE">
        <w:rPr>
          <w:color w:val="1F497D" w:themeColor="text2"/>
        </w:rPr>
        <w:tab/>
      </w:r>
      <w:r w:rsidRPr="000659AE">
        <w:rPr>
          <w:rFonts w:ascii="Quattrocento Sans" w:eastAsia="Quattrocento Sans" w:hAnsi="Quattrocento Sans" w:cs="Quattrocento Sans"/>
          <w:b/>
          <w:bCs/>
          <w:i/>
          <w:iCs/>
          <w:color w:val="1F497D" w:themeColor="text2"/>
        </w:rPr>
        <w:t>DO PREENCHIMENTO DOS REQUISITOS DA TUTELA ANTECIPADA DE URGÊNCIA</w:t>
      </w:r>
      <w:r w:rsidRPr="000659AE">
        <w:rPr>
          <w:rFonts w:ascii="Quattrocento Sans" w:eastAsia="Quattrocento Sans" w:hAnsi="Quattrocento Sans" w:cs="Quattrocento Sans"/>
          <w:i/>
          <w:iCs/>
          <w:color w:val="1F497D" w:themeColor="text2"/>
        </w:rPr>
        <w:t>.</w:t>
      </w:r>
    </w:p>
    <w:p w14:paraId="33EBD86F" w14:textId="77777777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Conforme determina o artigo 300 do CPC, a tutela de urgência será concedida quando houver elementos que evidenciem a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probabilidade do direito e o perigo de dano ou risco ao resultado útil do processo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. Ambos os requisitos da antecipação de tutela estão preenchidos nos autos. </w:t>
      </w:r>
    </w:p>
    <w:p w14:paraId="79DAF0B7" w14:textId="0C87386A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b/>
          <w:bCs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Conforme documentos anexados, restou comprovada a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probabilidade do direito alegada</w:t>
      </w:r>
      <w:r w:rsidR="003B6631"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, </w:t>
      </w:r>
      <w:r w:rsidR="003B6631" w:rsidRPr="000659AE">
        <w:rPr>
          <w:rFonts w:ascii="Quattrocento Sans" w:eastAsia="Quattrocento Sans" w:hAnsi="Quattrocento Sans" w:cs="Quattrocento Sans"/>
          <w:color w:val="1F497D" w:themeColor="text2"/>
        </w:rPr>
        <w:t>em razão dos seguintes fatores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:</w:t>
      </w:r>
    </w:p>
    <w:p w14:paraId="5F519DE1" w14:textId="77777777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lastRenderedPageBreak/>
        <w:t>(i)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 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vulnerabilidade social da parte Autora (inscrição/atualização do 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</w:rPr>
        <w:t>CadÚnico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em ____, com renda familiar per capita de ____); </w:t>
      </w:r>
    </w:p>
    <w:p w14:paraId="5922B540" w14:textId="77777777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(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</w:rPr>
        <w:t>ii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) impossibilidade do recebimento do benefício do Programa Bolsa Família exclusivamente em razão do cancelamento do benefício pela limitação do percentual de 16% de famílias unipessoais por Município (Ofício _____/print aplicativo); </w:t>
      </w:r>
    </w:p>
    <w:p w14:paraId="23904366" w14:textId="77777777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(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</w:rPr>
        <w:t>iii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)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ilegalidade da aplicação dos dispositivos da Portaria MDS nº 897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(com redação dada pela Portaria MDS nº 911/2023),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conforme tese firmada no Tema 379, da TNU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, e a inconstitucionalidade manifesta do art. 12-A da Lei nº 14.601/2023 (incluído pela Lei nº 15.077, de 2024).</w:t>
      </w:r>
    </w:p>
    <w:p w14:paraId="70767027" w14:textId="12170CB0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A tese fixada pela TNU no tema 379 estabeleceu que</w:t>
      </w:r>
      <w:r w:rsidR="00536B2B" w:rsidRPr="000659AE">
        <w:rPr>
          <w:rFonts w:ascii="Quattrocento Sans" w:eastAsia="Quattrocento Sans" w:hAnsi="Quattrocento Sans" w:cs="Quattrocento Sans"/>
          <w:color w:val="1F497D" w:themeColor="text2"/>
        </w:rPr>
        <w:t>,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antes da Lei 15.077/2024 (27/12/2024), a trava dos 16% prevista na Portaria MDS nº 897/2023 (com redação pela Portaria MDS nº 911/2023) é ilegal.</w:t>
      </w:r>
    </w:p>
    <w:p w14:paraId="0AB968AE" w14:textId="77777777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Conforme demonstrado, a delegação em aberto trazida pelo artigo 12-A da Lei 14.601/2023 consiste em violação dos princípios constitucionais da legalidade, isonomia, direito à renda básica, separação dos poderes e vedação ao retrocesso social, nos termos do Mandado de Injunção 7.300/DF. </w:t>
      </w:r>
    </w:p>
    <w:p w14:paraId="05F18CE4" w14:textId="47362A22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Além disso, a distinção fundada na composição do grupo familiar contraria a universalização da renda básica através do Programa Bolsa Família, contrariando a própria essência do benefício. Em arremate, a LOAS expressamente prevê o princípio da igualdade de direitos no acesso ao atendimento, nos termos do artigo 4º, IV</w:t>
      </w:r>
      <w:r w:rsidR="00412A70" w:rsidRPr="000659AE">
        <w:rPr>
          <w:rFonts w:ascii="Quattrocento Sans" w:eastAsia="Quattrocento Sans" w:hAnsi="Quattrocento Sans" w:cs="Quattrocento Sans"/>
          <w:color w:val="1F497D" w:themeColor="text2"/>
        </w:rPr>
        <w:t>,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da Lei n. 8.742/93. </w:t>
      </w:r>
    </w:p>
    <w:p w14:paraId="1EB6CAB7" w14:textId="6C0C864A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O perigo da demora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, no caso, também resta preenchido</w:t>
      </w:r>
      <w:r w:rsidR="00412A70" w:rsidRPr="000659AE">
        <w:rPr>
          <w:rFonts w:ascii="Quattrocento Sans" w:eastAsia="Quattrocento Sans" w:hAnsi="Quattrocento Sans" w:cs="Quattrocento Sans"/>
          <w:color w:val="1F497D" w:themeColor="text2"/>
        </w:rPr>
        <w:t>, uma vez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que o pedido versa sobre o direito fundamental à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alimentação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assegurado no artigo 6º, </w:t>
      </w:r>
      <w:r w:rsidRPr="000659AE">
        <w:rPr>
          <w:rFonts w:ascii="Quattrocento Sans" w:eastAsia="Quattrocento Sans" w:hAnsi="Quattrocento Sans" w:cs="Quattrocento Sans"/>
          <w:i/>
          <w:iCs/>
          <w:color w:val="1F497D" w:themeColor="text2"/>
        </w:rPr>
        <w:t>caput,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da Constituição Federal, bem como pela ausência de atendimento no maior programa de transferência de renda do Brasil, apesar de</w:t>
      </w:r>
      <w:r w:rsidR="00C64E26"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estarem preenchidos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todos os requisitos de elegibilidade do Programa Bolsa Família (artigo 5º, Lei 14.601/23).</w:t>
      </w:r>
    </w:p>
    <w:p w14:paraId="658B97AF" w14:textId="77777777" w:rsidR="00B7659E" w:rsidRPr="000659AE" w:rsidRDefault="009D5CD5">
      <w:pPr>
        <w:spacing w:before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Dessa forma, tendo em vista que toda a documentação capaz de elucidar os fatos ora narrados já foi acostada aos autos no sentido de corroborar a total procedência da ação, requer seja deferida a tutela provisória de urgência, a fim de que o/a autora seja (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</w:rPr>
        <w:t>re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</w:rPr>
        <w:t>)incluído/a no Programa Bolsa Família.</w:t>
      </w:r>
    </w:p>
    <w:p w14:paraId="3747002C" w14:textId="77777777" w:rsidR="00B7659E" w:rsidRPr="000659AE" w:rsidRDefault="00B7659E">
      <w:pPr>
        <w:spacing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</w:p>
    <w:p w14:paraId="39DE6B88" w14:textId="77777777" w:rsidR="00B7659E" w:rsidRPr="000659AE" w:rsidRDefault="009D5CD5">
      <w:pPr>
        <w:spacing w:after="80" w:line="360" w:lineRule="auto"/>
        <w:jc w:val="both"/>
        <w:rPr>
          <w:rFonts w:ascii="Quattrocento Sans" w:eastAsia="Quattrocento Sans" w:hAnsi="Quattrocento Sans" w:cs="Quattrocento Sans"/>
          <w:b/>
          <w:bCs/>
          <w:i/>
          <w:iCs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i/>
          <w:iCs/>
          <w:color w:val="1F497D" w:themeColor="text2"/>
        </w:rPr>
        <w:t>VII.</w:t>
      </w:r>
      <w:r w:rsidRPr="000659AE">
        <w:rPr>
          <w:color w:val="1F497D" w:themeColor="text2"/>
        </w:rPr>
        <w:tab/>
      </w:r>
      <w:r w:rsidRPr="000659AE">
        <w:rPr>
          <w:rFonts w:ascii="Quattrocento Sans" w:eastAsia="Quattrocento Sans" w:hAnsi="Quattrocento Sans" w:cs="Quattrocento Sans"/>
          <w:b/>
          <w:bCs/>
          <w:i/>
          <w:iCs/>
          <w:color w:val="1F497D" w:themeColor="text2"/>
        </w:rPr>
        <w:t>DO PREQUESTIONAMENTO</w:t>
      </w:r>
    </w:p>
    <w:p w14:paraId="24D00831" w14:textId="02A110B0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A parte autora indica os dispositivos constitucionais para fins de prequestionamento. São eles: artigo 1º, III; artigo 2º;</w:t>
      </w:r>
      <w:r w:rsidR="00D36F28"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artigo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3º, III e IV; artigo 5º, </w:t>
      </w:r>
      <w:r w:rsidRPr="000659AE">
        <w:rPr>
          <w:rFonts w:ascii="Quattrocento Sans" w:eastAsia="Quattrocento Sans" w:hAnsi="Quattrocento Sans" w:cs="Quattrocento Sans"/>
          <w:i/>
          <w:iCs/>
          <w:color w:val="1F497D" w:themeColor="text2"/>
        </w:rPr>
        <w:t xml:space="preserve">caput 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e</w:t>
      </w:r>
      <w:r w:rsidRPr="000659AE">
        <w:rPr>
          <w:rFonts w:ascii="Quattrocento Sans" w:eastAsia="Quattrocento Sans" w:hAnsi="Quattrocento Sans" w:cs="Quattrocento Sans"/>
          <w:i/>
          <w:iCs/>
          <w:color w:val="1F497D" w:themeColor="text2"/>
        </w:rPr>
        <w:t xml:space="preserve"> 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incisos I e II; artigo 6º, </w:t>
      </w:r>
      <w:r w:rsidRPr="000659AE">
        <w:rPr>
          <w:rFonts w:ascii="Quattrocento Sans" w:eastAsia="Quattrocento Sans" w:hAnsi="Quattrocento Sans" w:cs="Quattrocento Sans"/>
          <w:i/>
          <w:iCs/>
          <w:color w:val="1F497D" w:themeColor="text2"/>
        </w:rPr>
        <w:t xml:space="preserve">caput 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e parágrafo único, todos da Constituição Federal; e violação à decisão proferida pelo STF no Mandado de Injunção n. 7.300/DF.</w:t>
      </w:r>
    </w:p>
    <w:p w14:paraId="5BD6F3BA" w14:textId="045572C2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Da mesma forma, indica os dispositivos legais para fins de prequestionamento: artigo 1º c/c § 1º</w:t>
      </w:r>
      <w:r w:rsidR="00797A31"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da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Lei nº 10.835/04; artigo 4º, I e IV</w:t>
      </w:r>
      <w:r w:rsidR="00797A31" w:rsidRPr="000659AE">
        <w:rPr>
          <w:rFonts w:ascii="Quattrocento Sans" w:eastAsia="Quattrocento Sans" w:hAnsi="Quattrocento Sans" w:cs="Quattrocento Sans"/>
          <w:color w:val="1F497D" w:themeColor="text2"/>
        </w:rPr>
        <w:t>,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Lei nº 8.742/92; artigo 1º c/c § 1º</w:t>
      </w:r>
      <w:r w:rsidR="00797A31"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</w:t>
      </w:r>
      <w:r w:rsidR="00F241F2" w:rsidRPr="000659AE">
        <w:rPr>
          <w:rFonts w:ascii="Quattrocento Sans" w:eastAsia="Quattrocento Sans" w:hAnsi="Quattrocento Sans" w:cs="Quattrocento Sans"/>
          <w:color w:val="1F497D" w:themeColor="text2"/>
        </w:rPr>
        <w:t>da Lei nº 14.601/23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; artigo 5º e artigo 12-A, todos da Lei nº 14.601/23; e violação ao Tema 379 da TNU.</w:t>
      </w:r>
    </w:p>
    <w:p w14:paraId="6050FBB0" w14:textId="77777777" w:rsidR="00B7659E" w:rsidRPr="000659AE" w:rsidRDefault="00B7659E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</w:p>
    <w:p w14:paraId="1DD475F7" w14:textId="77777777" w:rsidR="00B7659E" w:rsidRPr="000659AE" w:rsidRDefault="009D5CD5">
      <w:pPr>
        <w:spacing w:before="80" w:after="80" w:line="360" w:lineRule="auto"/>
        <w:jc w:val="both"/>
        <w:rPr>
          <w:rFonts w:ascii="Quattrocento Sans" w:eastAsia="Quattrocento Sans" w:hAnsi="Quattrocento Sans" w:cs="Quattrocento Sans"/>
          <w:b/>
          <w:bCs/>
          <w:i/>
          <w:iCs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i/>
          <w:iCs/>
          <w:color w:val="1F497D" w:themeColor="text2"/>
        </w:rPr>
        <w:t>VIII.</w:t>
      </w:r>
      <w:r w:rsidRPr="000659AE">
        <w:rPr>
          <w:color w:val="1F497D" w:themeColor="text2"/>
        </w:rPr>
        <w:tab/>
      </w:r>
      <w:r w:rsidRPr="000659AE">
        <w:rPr>
          <w:rFonts w:ascii="Quattrocento Sans" w:eastAsia="Quattrocento Sans" w:hAnsi="Quattrocento Sans" w:cs="Quattrocento Sans"/>
          <w:b/>
          <w:bCs/>
          <w:i/>
          <w:iCs/>
          <w:color w:val="1F497D" w:themeColor="text2"/>
        </w:rPr>
        <w:t>DOS PEDIDOS</w:t>
      </w:r>
    </w:p>
    <w:p w14:paraId="7ABE5533" w14:textId="77777777" w:rsidR="00B7659E" w:rsidRPr="000659AE" w:rsidRDefault="009D5CD5">
      <w:pPr>
        <w:spacing w:before="80" w:after="80" w:line="360" w:lineRule="auto"/>
        <w:ind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Ante os fundamentos acima expostos, a parte autora requer: </w:t>
      </w:r>
    </w:p>
    <w:p w14:paraId="72D788E0" w14:textId="07AC9707" w:rsidR="00B7659E" w:rsidRPr="000659AE" w:rsidRDefault="009D5CD5">
      <w:pPr>
        <w:numPr>
          <w:ilvl w:val="0"/>
          <w:numId w:val="3"/>
        </w:numPr>
        <w:spacing w:before="80" w:after="80" w:line="360" w:lineRule="auto"/>
        <w:ind w:left="0"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A concessão da gratuidade de justiça, nos termos do artigo 98 do CPC, por não suportar 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lastRenderedPageBreak/>
        <w:t>os custos processuais sem prejuízo d</w:t>
      </w:r>
      <w:r w:rsidR="00196BF1" w:rsidRPr="000659AE">
        <w:rPr>
          <w:rFonts w:ascii="Quattrocento Sans" w:eastAsia="Quattrocento Sans" w:hAnsi="Quattrocento Sans" w:cs="Quattrocento Sans"/>
          <w:color w:val="1F497D" w:themeColor="text2"/>
        </w:rPr>
        <w:t>e su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a manutenção, conforme declaração de hipossuficiência anexa;</w:t>
      </w:r>
    </w:p>
    <w:p w14:paraId="51AAE33F" w14:textId="77777777" w:rsidR="00B7659E" w:rsidRPr="000659AE" w:rsidRDefault="009D5CD5">
      <w:pPr>
        <w:numPr>
          <w:ilvl w:val="0"/>
          <w:numId w:val="3"/>
        </w:numPr>
        <w:spacing w:before="80" w:after="80" w:line="360" w:lineRule="auto"/>
        <w:ind w:left="0" w:firstLine="851"/>
        <w:jc w:val="both"/>
        <w:rPr>
          <w:rFonts w:ascii="Tahoma" w:eastAsia="Tahoma" w:hAnsi="Tahoma" w:cs="Tahoma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Seja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 xml:space="preserve">deferida a tutela de urgência antecipada, 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>nos termos do art. 300 do CPC, para imediata (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</w:rPr>
        <w:t>re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</w:rPr>
        <w:t>)inclusão da parte autora no Programa Bolsa Família e consequente concessão/restabelecimento do benefício _____, nos termos da Lei nº 14.601/2023, sob pena de multa diária;</w:t>
      </w:r>
    </w:p>
    <w:p w14:paraId="23DCDB0E" w14:textId="786527F9" w:rsidR="00B7659E" w:rsidRPr="000659AE" w:rsidRDefault="009D5CD5">
      <w:pPr>
        <w:numPr>
          <w:ilvl w:val="0"/>
          <w:numId w:val="3"/>
        </w:numPr>
        <w:spacing w:before="80" w:after="80" w:line="360" w:lineRule="auto"/>
        <w:ind w:left="0"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A citação da parte ré para, querendo, oferecer resposta no prazo legal</w:t>
      </w:r>
      <w:r w:rsidR="00196BF1" w:rsidRPr="000659AE">
        <w:rPr>
          <w:rFonts w:ascii="Quattrocento Sans" w:eastAsia="Quattrocento Sans" w:hAnsi="Quattrocento Sans" w:cs="Quattrocento Sans"/>
          <w:color w:val="1F497D" w:themeColor="text2"/>
        </w:rPr>
        <w:t>;</w:t>
      </w:r>
    </w:p>
    <w:p w14:paraId="6ACC6287" w14:textId="77777777" w:rsidR="00B7659E" w:rsidRPr="000659AE" w:rsidRDefault="009D5CD5">
      <w:pPr>
        <w:numPr>
          <w:ilvl w:val="0"/>
          <w:numId w:val="3"/>
        </w:numPr>
        <w:spacing w:before="80" w:after="80" w:line="360" w:lineRule="auto"/>
        <w:ind w:left="0" w:firstLine="851"/>
        <w:jc w:val="both"/>
        <w:rPr>
          <w:rFonts w:ascii="Tahoma" w:eastAsia="Tahoma" w:hAnsi="Tahoma" w:cs="Tahoma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Seja julgado </w:t>
      </w: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PROCEDENTE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 o pedido, confirmando-se em sede de sentença a tutela antecipada, a fim de:</w:t>
      </w:r>
    </w:p>
    <w:p w14:paraId="3DECC8F5" w14:textId="5BBB6435" w:rsidR="00B7659E" w:rsidRPr="000659AE" w:rsidRDefault="009D5CD5">
      <w:pPr>
        <w:spacing w:before="80" w:after="80" w:line="360" w:lineRule="auto"/>
        <w:ind w:left="720" w:firstLine="720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(d.1.) confirmar a (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</w:rPr>
        <w:t>re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</w:rPr>
        <w:t>)inclusão da parte autora no Programa Bolsa Família, com efeitos retroativos, bem como proceder ao pagamento do benefício previsto no art. 7º, §1º, da Lei nº 14.601/2023;</w:t>
      </w:r>
    </w:p>
    <w:p w14:paraId="3FE638D8" w14:textId="77777777" w:rsidR="00B7659E" w:rsidRPr="000659AE" w:rsidRDefault="009D5CD5">
      <w:pPr>
        <w:spacing w:before="80" w:after="80" w:line="360" w:lineRule="auto"/>
        <w:ind w:left="720" w:firstLine="720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(d.2) condenar a União ao pagamento das parcelas vencidas e vincendas do benefício do programa Bolsa Família, desde a data da atualização/cadastramento no </w:t>
      </w:r>
      <w:proofErr w:type="spellStart"/>
      <w:r w:rsidRPr="000659AE">
        <w:rPr>
          <w:rFonts w:ascii="Quattrocento Sans" w:eastAsia="Quattrocento Sans" w:hAnsi="Quattrocento Sans" w:cs="Quattrocento Sans"/>
          <w:color w:val="1F497D" w:themeColor="text2"/>
        </w:rPr>
        <w:t>CadÚnico</w:t>
      </w:r>
      <w:proofErr w:type="spellEnd"/>
      <w:r w:rsidRPr="000659AE">
        <w:rPr>
          <w:rFonts w:ascii="Quattrocento Sans" w:eastAsia="Quattrocento Sans" w:hAnsi="Quattrocento Sans" w:cs="Quattrocento Sans"/>
          <w:color w:val="1F497D" w:themeColor="text2"/>
        </w:rPr>
        <w:t>/exclusão do PBF, acrescidas de juros legais e correção monetária;</w:t>
      </w:r>
    </w:p>
    <w:p w14:paraId="7E1F8823" w14:textId="3F001CB2" w:rsidR="00B7659E" w:rsidRPr="000659AE" w:rsidRDefault="009D5CD5">
      <w:pPr>
        <w:numPr>
          <w:ilvl w:val="0"/>
          <w:numId w:val="3"/>
        </w:numPr>
        <w:spacing w:before="80" w:after="80" w:line="360" w:lineRule="auto"/>
        <w:ind w:left="0" w:firstLine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A condenação da ré ao pagamento das custas e despesas processuais, bem como </w:t>
      </w:r>
      <w:r w:rsidR="00196BF1" w:rsidRPr="000659AE">
        <w:rPr>
          <w:rFonts w:ascii="Quattrocento Sans" w:eastAsia="Quattrocento Sans" w:hAnsi="Quattrocento Sans" w:cs="Quattrocento Sans"/>
          <w:color w:val="1F497D" w:themeColor="text2"/>
        </w:rPr>
        <w:t>d</w:t>
      </w: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os honorários sucumbenciais em favor da Defensoria Pública da União (Tema 1.002 STF); </w:t>
      </w:r>
    </w:p>
    <w:p w14:paraId="0C6E3B47" w14:textId="77777777" w:rsidR="009C1D7F" w:rsidRPr="000659AE" w:rsidRDefault="009D5CD5" w:rsidP="009C1D7F">
      <w:pPr>
        <w:spacing w:before="80" w:after="80" w:line="360" w:lineRule="auto"/>
        <w:ind w:left="851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Requer desde já a produção de todos os meios de prova em direito admitidos.</w:t>
      </w:r>
    </w:p>
    <w:p w14:paraId="71541824" w14:textId="6321C4EA" w:rsidR="009C1D7F" w:rsidRPr="000659AE" w:rsidRDefault="009C1D7F" w:rsidP="00CB60F2">
      <w:pPr>
        <w:spacing w:before="80" w:after="80" w:line="360" w:lineRule="auto"/>
        <w:ind w:firstLine="720"/>
        <w:jc w:val="both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Considerando o disposto no art. 334, § 5º, do CPC/2015, e o princípio da cooperação processual, manifesta-se desde logo o interesse na realização de audiência de conciliação. </w:t>
      </w:r>
    </w:p>
    <w:p w14:paraId="6C1D17E4" w14:textId="77777777" w:rsidR="00B7659E" w:rsidRPr="000659AE" w:rsidRDefault="00B7659E">
      <w:pPr>
        <w:spacing w:before="80" w:after="80" w:line="360" w:lineRule="auto"/>
        <w:jc w:val="both"/>
        <w:rPr>
          <w:rFonts w:ascii="Quattrocento Sans" w:eastAsia="Quattrocento Sans" w:hAnsi="Quattrocento Sans" w:cs="Quattrocento Sans"/>
          <w:color w:val="1F497D" w:themeColor="text2"/>
        </w:rPr>
      </w:pPr>
    </w:p>
    <w:p w14:paraId="332A7EEA" w14:textId="77777777" w:rsidR="00B7659E" w:rsidRPr="000659AE" w:rsidRDefault="009D5CD5">
      <w:pPr>
        <w:spacing w:before="80" w:after="80" w:line="360" w:lineRule="auto"/>
        <w:jc w:val="center"/>
        <w:rPr>
          <w:rFonts w:ascii="Quattrocento Sans" w:eastAsia="Quattrocento Sans" w:hAnsi="Quattrocento Sans" w:cs="Quattrocento Sans"/>
          <w:b/>
          <w:bCs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Dá-se à causa o valor de R$ ______ (_______).</w:t>
      </w:r>
    </w:p>
    <w:p w14:paraId="00539EDE" w14:textId="77777777" w:rsidR="00B7659E" w:rsidRPr="000659AE" w:rsidRDefault="009D5CD5">
      <w:pPr>
        <w:spacing w:before="80" w:after="80" w:line="360" w:lineRule="auto"/>
        <w:jc w:val="center"/>
        <w:rPr>
          <w:rFonts w:ascii="Quattrocento Sans" w:eastAsia="Quattrocento Sans" w:hAnsi="Quattrocento Sans" w:cs="Quattrocento Sans"/>
          <w:b/>
          <w:bCs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b/>
          <w:bCs/>
          <w:color w:val="1F497D" w:themeColor="text2"/>
        </w:rPr>
        <w:t>.</w:t>
      </w:r>
    </w:p>
    <w:p w14:paraId="2302658B" w14:textId="77777777" w:rsidR="00B7659E" w:rsidRPr="000659AE" w:rsidRDefault="009D5CD5">
      <w:pPr>
        <w:spacing w:before="80" w:after="80" w:line="360" w:lineRule="auto"/>
        <w:jc w:val="center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 xml:space="preserve">Termos em que pede deferimento. </w:t>
      </w:r>
    </w:p>
    <w:p w14:paraId="2DFE567F" w14:textId="77777777" w:rsidR="00B7659E" w:rsidRPr="000659AE" w:rsidRDefault="009D5CD5">
      <w:pPr>
        <w:spacing w:before="80" w:after="80" w:line="360" w:lineRule="auto"/>
        <w:jc w:val="center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Local, data.</w:t>
      </w:r>
    </w:p>
    <w:p w14:paraId="11491590" w14:textId="77777777" w:rsidR="00B7659E" w:rsidRPr="000659AE" w:rsidRDefault="009D5CD5">
      <w:pPr>
        <w:spacing w:before="80" w:after="80" w:line="360" w:lineRule="auto"/>
        <w:jc w:val="center"/>
        <w:rPr>
          <w:rFonts w:ascii="Quattrocento Sans" w:eastAsia="Quattrocento Sans" w:hAnsi="Quattrocento Sans" w:cs="Quattrocento Sans"/>
          <w:color w:val="1F497D" w:themeColor="text2"/>
        </w:rPr>
      </w:pPr>
      <w:r w:rsidRPr="000659AE">
        <w:rPr>
          <w:rFonts w:ascii="Quattrocento Sans" w:eastAsia="Quattrocento Sans" w:hAnsi="Quattrocento Sans" w:cs="Quattrocento Sans"/>
          <w:color w:val="1F497D" w:themeColor="text2"/>
        </w:rPr>
        <w:t>DEFENSOR/A PÚBLICO/A FEDERAL</w:t>
      </w:r>
    </w:p>
    <w:p w14:paraId="3BCCFD78" w14:textId="77777777" w:rsidR="00B7659E" w:rsidRPr="000659AE" w:rsidRDefault="00B7659E">
      <w:pPr>
        <w:spacing w:before="80" w:after="80" w:line="360" w:lineRule="auto"/>
        <w:jc w:val="center"/>
        <w:rPr>
          <w:rFonts w:ascii="Tahoma" w:eastAsia="Tahoma" w:hAnsi="Tahoma" w:cs="Tahoma"/>
          <w:color w:val="1F497D" w:themeColor="text2"/>
          <w:sz w:val="2"/>
          <w:szCs w:val="2"/>
        </w:rPr>
      </w:pPr>
    </w:p>
    <w:p w14:paraId="4224BB5C" w14:textId="77777777" w:rsidR="00B7659E" w:rsidRPr="000659AE" w:rsidRDefault="00B7659E">
      <w:pPr>
        <w:spacing w:before="80" w:after="80" w:line="276" w:lineRule="auto"/>
        <w:ind w:firstLine="851"/>
        <w:rPr>
          <w:rFonts w:ascii="Tahoma" w:eastAsia="Tahoma" w:hAnsi="Tahoma" w:cs="Tahoma"/>
          <w:color w:val="1F497D" w:themeColor="text2"/>
          <w:sz w:val="2"/>
          <w:szCs w:val="2"/>
        </w:rPr>
      </w:pPr>
    </w:p>
    <w:p w14:paraId="16349F4D" w14:textId="77777777" w:rsidR="00B7659E" w:rsidRPr="000659AE" w:rsidRDefault="00B7659E">
      <w:pPr>
        <w:rPr>
          <w:color w:val="1F497D" w:themeColor="text2"/>
        </w:rPr>
      </w:pPr>
    </w:p>
    <w:tbl>
      <w:tblPr>
        <w:tblpPr w:leftFromText="141" w:rightFromText="141" w:vertAnchor="page" w:horzAnchor="margin" w:tblpX="-668" w:tblpY="11025"/>
        <w:tblW w:w="11070" w:type="dxa"/>
        <w:tblLayout w:type="fixed"/>
        <w:tblLook w:val="0400" w:firstRow="0" w:lastRow="0" w:firstColumn="0" w:lastColumn="0" w:noHBand="0" w:noVBand="1"/>
      </w:tblPr>
      <w:tblGrid>
        <w:gridCol w:w="7051"/>
        <w:gridCol w:w="4019"/>
      </w:tblGrid>
      <w:tr w:rsidR="000659AE" w:rsidRPr="000659AE" w14:paraId="4409C5DA" w14:textId="77777777">
        <w:trPr>
          <w:trHeight w:val="62"/>
        </w:trPr>
        <w:tc>
          <w:tcPr>
            <w:tcW w:w="7050" w:type="dxa"/>
            <w:shd w:val="clear" w:color="auto" w:fill="B8CCE4"/>
            <w:vAlign w:val="center"/>
          </w:tcPr>
          <w:p w14:paraId="7BD00F81" w14:textId="77777777" w:rsidR="00B7659E" w:rsidRPr="000659AE" w:rsidRDefault="009D5CD5">
            <w:pPr>
              <w:spacing w:before="20" w:after="20"/>
              <w:ind w:right="120"/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8"/>
                <w:szCs w:val="18"/>
              </w:rPr>
            </w:pPr>
            <w:r w:rsidRPr="000659AE"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8"/>
                <w:szCs w:val="18"/>
              </w:rPr>
              <w:lastRenderedPageBreak/>
              <w:t xml:space="preserve">              </w:t>
            </w:r>
          </w:p>
          <w:p w14:paraId="77EFD374" w14:textId="77777777" w:rsidR="00B7659E" w:rsidRPr="000659AE" w:rsidRDefault="009D5CD5">
            <w:pPr>
              <w:spacing w:before="20" w:after="20"/>
              <w:jc w:val="right"/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</w:pPr>
            <w:r w:rsidRPr="000659AE"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8"/>
                <w:szCs w:val="18"/>
              </w:rPr>
              <w:t>Membros/as da Câmara de Coordenação e Revisão Cível:</w:t>
            </w:r>
          </w:p>
          <w:p w14:paraId="468FF244" w14:textId="77777777" w:rsidR="00B7659E" w:rsidRPr="000659AE" w:rsidRDefault="009D5CD5">
            <w:pPr>
              <w:spacing w:before="20" w:after="20"/>
              <w:jc w:val="right"/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>Denise Tanaka dos Santos</w:t>
            </w:r>
          </w:p>
          <w:p w14:paraId="1B4DEE8D" w14:textId="77777777" w:rsidR="00B7659E" w:rsidRPr="000659AE" w:rsidRDefault="009D5CD5">
            <w:pPr>
              <w:spacing w:before="20" w:after="20"/>
              <w:jc w:val="right"/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 xml:space="preserve">Fernando da Cunha Cavalcanti </w:t>
            </w:r>
          </w:p>
          <w:p w14:paraId="17C55484" w14:textId="77777777" w:rsidR="00B7659E" w:rsidRPr="000659AE" w:rsidRDefault="009D5CD5">
            <w:pPr>
              <w:spacing w:before="20" w:after="20"/>
              <w:jc w:val="right"/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 xml:space="preserve">Luísa </w:t>
            </w:r>
            <w:proofErr w:type="spellStart"/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>Ayumi</w:t>
            </w:r>
            <w:proofErr w:type="spellEnd"/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 xml:space="preserve"> </w:t>
            </w:r>
            <w:proofErr w:type="spellStart"/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>Komoda</w:t>
            </w:r>
            <w:proofErr w:type="spellEnd"/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 xml:space="preserve"> Paes de Figueiredo</w:t>
            </w:r>
          </w:p>
          <w:p w14:paraId="084815C3" w14:textId="77777777" w:rsidR="00B7659E" w:rsidRPr="000659AE" w:rsidRDefault="009D5CD5">
            <w:pPr>
              <w:spacing w:before="20" w:after="20"/>
              <w:jc w:val="right"/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>Maíra de Carvalho Pereira Mesquita</w:t>
            </w:r>
          </w:p>
          <w:p w14:paraId="50778A18" w14:textId="77777777" w:rsidR="00B7659E" w:rsidRPr="000659AE" w:rsidRDefault="009D5CD5">
            <w:pPr>
              <w:spacing w:before="20" w:after="20"/>
              <w:jc w:val="right"/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>Marcos Wagner Alves Teixeira</w:t>
            </w:r>
          </w:p>
          <w:p w14:paraId="14F993A9" w14:textId="77777777" w:rsidR="00B7659E" w:rsidRPr="000659AE" w:rsidRDefault="009D5CD5">
            <w:pPr>
              <w:spacing w:before="20" w:after="20"/>
              <w:jc w:val="right"/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</w:pPr>
            <w:proofErr w:type="spellStart"/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>Polianna</w:t>
            </w:r>
            <w:proofErr w:type="spellEnd"/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 xml:space="preserve"> Maia de Paiva</w:t>
            </w:r>
          </w:p>
          <w:p w14:paraId="45A2852C" w14:textId="77777777" w:rsidR="00B7659E" w:rsidRPr="000659AE" w:rsidRDefault="009D5CD5">
            <w:pPr>
              <w:spacing w:before="20" w:after="20"/>
              <w:jc w:val="right"/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 xml:space="preserve">Wilza Carla </w:t>
            </w:r>
            <w:proofErr w:type="spellStart"/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>Folchini</w:t>
            </w:r>
            <w:proofErr w:type="spellEnd"/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 xml:space="preserve"> Barreiros</w:t>
            </w:r>
          </w:p>
          <w:p w14:paraId="06DBCD78" w14:textId="77777777" w:rsidR="00B7659E" w:rsidRPr="000659AE" w:rsidRDefault="009D5CD5">
            <w:pPr>
              <w:spacing w:before="20" w:after="20"/>
              <w:jc w:val="right"/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</w:pPr>
            <w:r w:rsidRPr="000659AE"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8"/>
                <w:szCs w:val="18"/>
              </w:rPr>
              <w:t>Suplentes CCR Cível:</w:t>
            </w:r>
          </w:p>
          <w:p w14:paraId="396617F6" w14:textId="77777777" w:rsidR="00B7659E" w:rsidRPr="000659AE" w:rsidRDefault="009D5CD5">
            <w:pPr>
              <w:spacing w:before="20" w:after="20"/>
              <w:jc w:val="right"/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>Ricardo Emílio Pereira Salviano</w:t>
            </w:r>
          </w:p>
          <w:p w14:paraId="1CB20805" w14:textId="77777777" w:rsidR="00B7659E" w:rsidRPr="000659AE" w:rsidRDefault="009D5CD5">
            <w:pPr>
              <w:spacing w:before="20" w:after="20"/>
              <w:jc w:val="right"/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8"/>
                <w:szCs w:val="18"/>
              </w:rPr>
            </w:pPr>
            <w:r w:rsidRPr="000659AE"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8"/>
                <w:szCs w:val="18"/>
              </w:rPr>
              <w:t xml:space="preserve">Assessoria da Câmara de Coordenação e Revisão Cível: </w:t>
            </w:r>
          </w:p>
          <w:p w14:paraId="74EA5E83" w14:textId="77777777" w:rsidR="00B7659E" w:rsidRPr="000659AE" w:rsidRDefault="009D5CD5">
            <w:pPr>
              <w:spacing w:before="20" w:after="20"/>
              <w:ind w:hanging="108"/>
              <w:jc w:val="right"/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>Guilherme Carvalho de Melo</w:t>
            </w:r>
          </w:p>
          <w:p w14:paraId="5E38B85B" w14:textId="77777777" w:rsidR="00B7659E" w:rsidRPr="000659AE" w:rsidRDefault="009D5CD5">
            <w:pPr>
              <w:spacing w:before="20" w:after="20"/>
              <w:ind w:hanging="108"/>
              <w:jc w:val="right"/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>Marcelo da Cruz Gouveia Pimentel Filho</w:t>
            </w:r>
          </w:p>
          <w:p w14:paraId="41056322" w14:textId="77777777" w:rsidR="00B7659E" w:rsidRPr="000659AE" w:rsidRDefault="009D5CD5">
            <w:pPr>
              <w:spacing w:before="20" w:after="20"/>
              <w:ind w:hanging="108"/>
              <w:jc w:val="right"/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>Luciana Othon Lacerda de Andrade</w:t>
            </w:r>
          </w:p>
          <w:p w14:paraId="06B8F4A9" w14:textId="77777777" w:rsidR="00B7659E" w:rsidRPr="000659AE" w:rsidRDefault="009D5CD5">
            <w:pPr>
              <w:spacing w:before="20" w:after="20"/>
              <w:ind w:hanging="108"/>
              <w:jc w:val="right"/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 xml:space="preserve">Maria Clara de Almeida Ferraz </w:t>
            </w:r>
          </w:p>
          <w:p w14:paraId="008E9AB1" w14:textId="77777777" w:rsidR="00B7659E" w:rsidRPr="000659AE" w:rsidRDefault="009D5CD5">
            <w:pPr>
              <w:spacing w:before="20" w:after="20"/>
              <w:jc w:val="right"/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8"/>
                <w:szCs w:val="18"/>
              </w:rPr>
            </w:pPr>
            <w:r w:rsidRPr="000659AE"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8"/>
                <w:szCs w:val="18"/>
              </w:rPr>
              <w:t>Coordenadora da Câmara de Coordenação e Revisão Cível:</w:t>
            </w:r>
          </w:p>
          <w:p w14:paraId="79D11A9D" w14:textId="77777777" w:rsidR="00B7659E" w:rsidRPr="000659AE" w:rsidRDefault="009D5CD5">
            <w:pPr>
              <w:spacing w:before="20" w:after="20"/>
              <w:jc w:val="right"/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8"/>
                <w:szCs w:val="18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>Maíra de Carvalho Pereira Mesquita</w:t>
            </w:r>
            <w:r w:rsidRPr="000659AE"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8"/>
                <w:szCs w:val="18"/>
              </w:rPr>
              <w:t xml:space="preserve"> </w:t>
            </w:r>
          </w:p>
          <w:p w14:paraId="65F70094" w14:textId="77777777" w:rsidR="00B7659E" w:rsidRPr="000659AE" w:rsidRDefault="009D5CD5">
            <w:pPr>
              <w:spacing w:before="20" w:after="20"/>
              <w:ind w:left="-105" w:right="-114"/>
              <w:jc w:val="right"/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8"/>
                <w:szCs w:val="18"/>
              </w:rPr>
            </w:pPr>
            <w:r w:rsidRPr="000659AE"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8"/>
                <w:szCs w:val="18"/>
              </w:rPr>
              <w:t>Coordenador Executivo das Câmaras de Coordenação e Revisão:</w:t>
            </w:r>
          </w:p>
          <w:p w14:paraId="4FDE29C5" w14:textId="77777777" w:rsidR="00B7659E" w:rsidRPr="000659AE" w:rsidRDefault="009D5CD5">
            <w:pPr>
              <w:spacing w:before="20" w:after="20"/>
              <w:jc w:val="right"/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8"/>
                <w:szCs w:val="18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 xml:space="preserve">Marcos </w:t>
            </w:r>
            <w:proofErr w:type="spellStart"/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>Antonio</w:t>
            </w:r>
            <w:proofErr w:type="spellEnd"/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 xml:space="preserve"> </w:t>
            </w:r>
            <w:proofErr w:type="spellStart"/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>Paderes</w:t>
            </w:r>
            <w:proofErr w:type="spellEnd"/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 xml:space="preserve"> Barbosa</w:t>
            </w:r>
          </w:p>
        </w:tc>
        <w:tc>
          <w:tcPr>
            <w:tcW w:w="4019" w:type="dxa"/>
            <w:shd w:val="clear" w:color="auto" w:fill="B8CCE4"/>
            <w:vAlign w:val="center"/>
          </w:tcPr>
          <w:p w14:paraId="18F55C03" w14:textId="77777777" w:rsidR="00B7659E" w:rsidRPr="000659AE" w:rsidRDefault="00B7659E">
            <w:pPr>
              <w:spacing w:before="20" w:after="20"/>
              <w:ind w:left="-250" w:right="120" w:firstLine="141"/>
              <w:rPr>
                <w:rFonts w:ascii="Quattrocento Sans" w:eastAsia="Quattrocento Sans" w:hAnsi="Quattrocento Sans" w:cs="Quattrocento Sans"/>
                <w:color w:val="1F497D" w:themeColor="text2"/>
                <w:sz w:val="17"/>
                <w:szCs w:val="17"/>
              </w:rPr>
            </w:pPr>
          </w:p>
          <w:p w14:paraId="17D792B8" w14:textId="77777777" w:rsidR="00B7659E" w:rsidRPr="000659AE" w:rsidRDefault="00B7659E">
            <w:pPr>
              <w:spacing w:before="20" w:after="20"/>
              <w:ind w:left="-250" w:right="120" w:firstLine="141"/>
              <w:rPr>
                <w:rFonts w:ascii="Quattrocento Sans" w:eastAsia="Quattrocento Sans" w:hAnsi="Quattrocento Sans" w:cs="Quattrocento Sans"/>
                <w:color w:val="1F497D" w:themeColor="text2"/>
                <w:sz w:val="17"/>
                <w:szCs w:val="17"/>
              </w:rPr>
            </w:pPr>
          </w:p>
          <w:p w14:paraId="44245617" w14:textId="77777777" w:rsidR="00B7659E" w:rsidRPr="000659AE" w:rsidRDefault="009D5CD5">
            <w:pPr>
              <w:spacing w:before="20" w:after="20"/>
              <w:ind w:left="-250" w:right="120" w:firstLine="283"/>
              <w:rPr>
                <w:rFonts w:ascii="Quattrocento Sans" w:eastAsia="Quattrocento Sans" w:hAnsi="Quattrocento Sans" w:cs="Quattrocento Sans"/>
                <w:color w:val="1F497D" w:themeColor="text2"/>
                <w:sz w:val="17"/>
                <w:szCs w:val="17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7"/>
                <w:szCs w:val="17"/>
              </w:rPr>
              <w:t>ccrcivel@dpu.def.br</w:t>
            </w:r>
          </w:p>
          <w:p w14:paraId="41078181" w14:textId="77777777" w:rsidR="00B7659E" w:rsidRPr="000659AE" w:rsidRDefault="009D5CD5">
            <w:pPr>
              <w:spacing w:before="20" w:after="20"/>
              <w:ind w:left="-250" w:right="120" w:firstLine="283"/>
              <w:rPr>
                <w:rFonts w:ascii="Quattrocento Sans" w:eastAsia="Quattrocento Sans" w:hAnsi="Quattrocento Sans" w:cs="Quattrocento Sans"/>
                <w:color w:val="1F497D" w:themeColor="text2"/>
                <w:sz w:val="17"/>
                <w:szCs w:val="17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7"/>
                <w:szCs w:val="17"/>
              </w:rPr>
              <w:t>camaras.secretaria@dpu.def.br</w:t>
            </w:r>
          </w:p>
          <w:p w14:paraId="580000D6" w14:textId="77777777" w:rsidR="00B7659E" w:rsidRPr="000659AE" w:rsidRDefault="009D5CD5">
            <w:pPr>
              <w:spacing w:before="20" w:after="20"/>
              <w:ind w:left="-250" w:right="120" w:firstLine="283"/>
              <w:rPr>
                <w:rFonts w:ascii="Quattrocento Sans" w:eastAsia="Quattrocento Sans" w:hAnsi="Quattrocento Sans" w:cs="Quattrocento Sans"/>
                <w:color w:val="1F497D" w:themeColor="text2"/>
                <w:sz w:val="17"/>
                <w:szCs w:val="17"/>
              </w:rPr>
            </w:pPr>
            <w:hyperlink r:id="rId8">
              <w:r w:rsidRPr="000659AE">
                <w:rPr>
                  <w:rFonts w:ascii="Quattrocento Sans" w:eastAsia="Quattrocento Sans" w:hAnsi="Quattrocento Sans" w:cs="Quattrocento Sans"/>
                  <w:color w:val="1F497D" w:themeColor="text2"/>
                  <w:sz w:val="17"/>
                  <w:szCs w:val="17"/>
                </w:rPr>
                <w:t>https://www.dpu.def.br/camaras</w:t>
              </w:r>
            </w:hyperlink>
          </w:p>
          <w:p w14:paraId="132CFCD1" w14:textId="77777777" w:rsidR="00B7659E" w:rsidRPr="000659AE" w:rsidRDefault="009D5CD5">
            <w:pPr>
              <w:spacing w:before="20" w:after="20"/>
              <w:ind w:left="-250" w:right="120" w:firstLine="283"/>
              <w:rPr>
                <w:rFonts w:ascii="Quattrocento Sans" w:eastAsia="Quattrocento Sans" w:hAnsi="Quattrocento Sans" w:cs="Quattrocento Sans"/>
                <w:color w:val="1F497D" w:themeColor="text2"/>
                <w:sz w:val="17"/>
                <w:szCs w:val="17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7"/>
                <w:szCs w:val="17"/>
              </w:rPr>
              <w:t>(61) 3318-0205</w:t>
            </w:r>
          </w:p>
          <w:p w14:paraId="3FEBA70E" w14:textId="77777777" w:rsidR="00B7659E" w:rsidRPr="000659AE" w:rsidRDefault="00B7659E">
            <w:pPr>
              <w:spacing w:before="20" w:after="20"/>
              <w:ind w:left="-250" w:right="-250" w:firstLine="283"/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7"/>
                <w:szCs w:val="17"/>
              </w:rPr>
            </w:pPr>
          </w:p>
          <w:p w14:paraId="4E74A8B7" w14:textId="77777777" w:rsidR="00B7659E" w:rsidRPr="000659AE" w:rsidRDefault="009D5CD5">
            <w:pPr>
              <w:spacing w:before="20" w:after="20"/>
              <w:ind w:left="-250" w:right="-250" w:firstLine="283"/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7"/>
                <w:szCs w:val="17"/>
              </w:rPr>
            </w:pPr>
            <w:r w:rsidRPr="000659AE"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7"/>
                <w:szCs w:val="17"/>
              </w:rPr>
              <w:t>Secretaria das Câmaras:</w:t>
            </w:r>
          </w:p>
          <w:p w14:paraId="6C794C25" w14:textId="77777777" w:rsidR="00B7659E" w:rsidRPr="000659AE" w:rsidRDefault="009D5CD5">
            <w:pPr>
              <w:spacing w:before="20" w:after="20"/>
              <w:ind w:left="-250" w:right="120" w:firstLine="283"/>
              <w:rPr>
                <w:rFonts w:ascii="Quattrocento Sans" w:eastAsia="Quattrocento Sans" w:hAnsi="Quattrocento Sans" w:cs="Quattrocento Sans"/>
                <w:color w:val="1F497D" w:themeColor="text2"/>
                <w:sz w:val="17"/>
                <w:szCs w:val="17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7"/>
                <w:szCs w:val="17"/>
              </w:rPr>
              <w:t>Caio Noronha Matos</w:t>
            </w:r>
          </w:p>
          <w:p w14:paraId="046B1537" w14:textId="77777777" w:rsidR="00B7659E" w:rsidRPr="000659AE" w:rsidRDefault="009D5CD5">
            <w:pPr>
              <w:spacing w:before="20" w:after="20"/>
              <w:ind w:left="-250" w:right="120" w:firstLine="283"/>
              <w:rPr>
                <w:rFonts w:ascii="Quattrocento Sans" w:eastAsia="Quattrocento Sans" w:hAnsi="Quattrocento Sans" w:cs="Quattrocento Sans"/>
                <w:color w:val="1F497D" w:themeColor="text2"/>
                <w:sz w:val="17"/>
                <w:szCs w:val="17"/>
              </w:rPr>
            </w:pPr>
            <w:proofErr w:type="spellStart"/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7"/>
                <w:szCs w:val="17"/>
              </w:rPr>
              <w:t>Linivy</w:t>
            </w:r>
            <w:proofErr w:type="spellEnd"/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7"/>
                <w:szCs w:val="17"/>
              </w:rPr>
              <w:t xml:space="preserve"> Stefani Silva</w:t>
            </w:r>
          </w:p>
          <w:p w14:paraId="1B199681" w14:textId="77777777" w:rsidR="00B7659E" w:rsidRPr="000659AE" w:rsidRDefault="00B7659E">
            <w:pPr>
              <w:spacing w:before="20" w:after="20"/>
              <w:ind w:left="-250" w:right="120" w:firstLine="283"/>
              <w:rPr>
                <w:rFonts w:ascii="Quattrocento Sans" w:eastAsia="Quattrocento Sans" w:hAnsi="Quattrocento Sans" w:cs="Quattrocento Sans"/>
                <w:color w:val="1F497D" w:themeColor="text2"/>
                <w:sz w:val="17"/>
                <w:szCs w:val="17"/>
              </w:rPr>
            </w:pPr>
          </w:p>
          <w:p w14:paraId="3FAF9D31" w14:textId="77777777" w:rsidR="00B7659E" w:rsidRPr="000659AE" w:rsidRDefault="009D5CD5">
            <w:pPr>
              <w:spacing w:before="20" w:after="20"/>
              <w:ind w:left="-250" w:right="175" w:firstLine="283"/>
              <w:rPr>
                <w:rFonts w:ascii="Quattrocento Sans" w:eastAsia="Quattrocento Sans" w:hAnsi="Quattrocento Sans" w:cs="Quattrocento Sans"/>
                <w:color w:val="1F497D" w:themeColor="text2"/>
                <w:sz w:val="16"/>
                <w:szCs w:val="16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6"/>
                <w:szCs w:val="16"/>
              </w:rPr>
              <w:t>Estagiária da secretaria:</w:t>
            </w:r>
          </w:p>
          <w:p w14:paraId="4F2E41D5" w14:textId="77777777" w:rsidR="00B7659E" w:rsidRPr="000659AE" w:rsidRDefault="009D5CD5">
            <w:pPr>
              <w:spacing w:before="20" w:after="20"/>
              <w:ind w:left="-250" w:right="175" w:firstLine="283"/>
              <w:rPr>
                <w:rFonts w:ascii="Quattrocento Sans" w:eastAsia="Quattrocento Sans" w:hAnsi="Quattrocento Sans" w:cs="Quattrocento Sans"/>
                <w:color w:val="1F497D" w:themeColor="text2"/>
                <w:sz w:val="17"/>
                <w:szCs w:val="17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6"/>
                <w:szCs w:val="16"/>
              </w:rPr>
              <w:t>Sophia Bezerra da Silva</w:t>
            </w:r>
          </w:p>
          <w:p w14:paraId="3CA06AD6" w14:textId="77777777" w:rsidR="00B7659E" w:rsidRPr="000659AE" w:rsidRDefault="00B7659E">
            <w:pPr>
              <w:spacing w:before="20" w:after="20"/>
              <w:ind w:right="120"/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7"/>
                <w:szCs w:val="17"/>
              </w:rPr>
            </w:pPr>
          </w:p>
          <w:p w14:paraId="712F6124" w14:textId="77777777" w:rsidR="00B7659E" w:rsidRPr="000659AE" w:rsidRDefault="009D5CD5">
            <w:pPr>
              <w:spacing w:before="20" w:after="20"/>
              <w:ind w:left="-250" w:right="120" w:firstLine="283"/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7"/>
                <w:szCs w:val="17"/>
              </w:rPr>
            </w:pPr>
            <w:r w:rsidRPr="000659AE"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7"/>
                <w:szCs w:val="17"/>
              </w:rPr>
              <w:t>Elaboração desta edição:</w:t>
            </w:r>
          </w:p>
          <w:p w14:paraId="41AE9445" w14:textId="77777777" w:rsidR="00B7659E" w:rsidRPr="000659AE" w:rsidRDefault="009D5CD5">
            <w:pPr>
              <w:spacing w:before="20" w:after="20"/>
              <w:ind w:right="-3"/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7"/>
                <w:szCs w:val="17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7"/>
                <w:szCs w:val="17"/>
              </w:rPr>
              <w:t>Maíra de Carvalho Pereira Mesquita</w:t>
            </w:r>
            <w:r w:rsidRPr="000659AE">
              <w:rPr>
                <w:rFonts w:ascii="Quattrocento Sans" w:eastAsia="Quattrocento Sans" w:hAnsi="Quattrocento Sans" w:cs="Quattrocento Sans"/>
                <w:b/>
                <w:bCs/>
                <w:color w:val="1F497D" w:themeColor="text2"/>
                <w:sz w:val="17"/>
                <w:szCs w:val="17"/>
              </w:rPr>
              <w:t xml:space="preserve"> </w:t>
            </w:r>
          </w:p>
          <w:p w14:paraId="617AEE03" w14:textId="77777777" w:rsidR="00B7659E" w:rsidRPr="000659AE" w:rsidRDefault="009D5CD5">
            <w:pPr>
              <w:spacing w:before="20" w:after="20"/>
              <w:ind w:hanging="108"/>
              <w:rPr>
                <w:rFonts w:ascii="Quattrocento Sans" w:eastAsia="Quattrocento Sans" w:hAnsi="Quattrocento Sans" w:cs="Quattrocento Sans"/>
                <w:color w:val="1F497D" w:themeColor="text2"/>
                <w:sz w:val="17"/>
                <w:szCs w:val="17"/>
              </w:rPr>
            </w:pPr>
            <w:r w:rsidRPr="000659AE">
              <w:rPr>
                <w:rFonts w:ascii="Quattrocento Sans" w:eastAsia="Quattrocento Sans" w:hAnsi="Quattrocento Sans" w:cs="Quattrocento Sans"/>
                <w:color w:val="1F497D" w:themeColor="text2"/>
                <w:sz w:val="18"/>
                <w:szCs w:val="18"/>
              </w:rPr>
              <w:t xml:space="preserve">  Marcelo da Cruz Gouveia Pimentel Filho</w:t>
            </w:r>
          </w:p>
        </w:tc>
      </w:tr>
    </w:tbl>
    <w:p w14:paraId="45F81117" w14:textId="77777777" w:rsidR="00B7659E" w:rsidRPr="000659AE" w:rsidRDefault="00B7659E">
      <w:pPr>
        <w:rPr>
          <w:color w:val="1F497D" w:themeColor="text2"/>
        </w:rPr>
      </w:pPr>
    </w:p>
    <w:sectPr w:rsidR="00B7659E" w:rsidRPr="000659AE" w:rsidSect="00020B12">
      <w:headerReference w:type="default" r:id="rId9"/>
      <w:headerReference w:type="first" r:id="rId10"/>
      <w:footerReference w:type="first" r:id="rId11"/>
      <w:pgSz w:w="11906" w:h="16838"/>
      <w:pgMar w:top="1130" w:right="849" w:bottom="1202" w:left="1134" w:header="0" w:footer="794" w:gutter="0"/>
      <w:pgNumType w:start="16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E88CC" w14:textId="77777777" w:rsidR="008D2EC7" w:rsidRDefault="008D2EC7">
      <w:r>
        <w:separator/>
      </w:r>
    </w:p>
  </w:endnote>
  <w:endnote w:type="continuationSeparator" w:id="0">
    <w:p w14:paraId="1CFA69E2" w14:textId="77777777" w:rsidR="008D2EC7" w:rsidRDefault="008D2E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lySleek UI Semibold">
    <w:altName w:val="Cambria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C574DA90-F758-4912-A180-289B40C66600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1D6C645C-E5E3-44E1-8B7C-C9638207DB5C}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3" w:fontKey="{5D829BB3-DAFA-47D2-A40A-A94197D192DE}"/>
    <w:embedItalic r:id="rId4" w:fontKey="{62D401B6-F73D-4D0E-B9C3-6955F8EF4F5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860A60D2-E8C7-4728-9450-C03197D19A36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6" w:fontKey="{764B43B6-9853-4350-97AA-BB561AF5D5C2}"/>
    <w:embedBold r:id="rId7" w:fontKey="{CD98DD86-0FF0-408F-AC62-D130A7AF0DA1}"/>
    <w:embedItalic r:id="rId8" w:fontKey="{601226F7-DFAA-45A2-B995-CB241BC778F2}"/>
    <w:embedBoldItalic r:id="rId9" w:fontKey="{E75BD513-70DF-44C0-B914-074F0F173FA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0" w:fontKey="{F9D9A9FC-0770-454E-8A87-0A1B0FACC74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5A8EE" w14:textId="77777777" w:rsidR="00B7659E" w:rsidRDefault="00B7659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45D29" w14:textId="77777777" w:rsidR="008D2EC7" w:rsidRDefault="008D2EC7">
      <w:pPr>
        <w:rPr>
          <w:sz w:val="12"/>
        </w:rPr>
      </w:pPr>
      <w:r>
        <w:separator/>
      </w:r>
    </w:p>
  </w:footnote>
  <w:footnote w:type="continuationSeparator" w:id="0">
    <w:p w14:paraId="6FAF1943" w14:textId="77777777" w:rsidR="008D2EC7" w:rsidRDefault="008D2EC7">
      <w:pPr>
        <w:rPr>
          <w:sz w:val="12"/>
        </w:rPr>
      </w:pPr>
      <w:r>
        <w:continuationSeparator/>
      </w:r>
    </w:p>
  </w:footnote>
  <w:footnote w:id="1">
    <w:p w14:paraId="48A0286E" w14:textId="73FAAE80" w:rsidR="00B7659E" w:rsidRPr="00020B12" w:rsidRDefault="009D5CD5" w:rsidP="00E01EDF">
      <w:pPr>
        <w:ind w:right="1014"/>
        <w:jc w:val="both"/>
        <w:rPr>
          <w:rFonts w:ascii="Quattrocento Sans" w:hAnsi="Quattrocento Sans"/>
          <w:color w:val="1F497D" w:themeColor="text2"/>
          <w:sz w:val="18"/>
          <w:szCs w:val="18"/>
        </w:rPr>
      </w:pPr>
      <w:r w:rsidRPr="00020B12">
        <w:rPr>
          <w:rStyle w:val="Caracteresdenotaderodap"/>
          <w:rFonts w:ascii="Quattrocento Sans" w:hAnsi="Quattrocento Sans"/>
          <w:sz w:val="18"/>
          <w:szCs w:val="18"/>
        </w:rPr>
        <w:footnoteRef/>
      </w:r>
      <w:r w:rsidRPr="00020B12">
        <w:rPr>
          <w:rFonts w:ascii="Quattrocento Sans" w:hAnsi="Quattrocento Sans"/>
          <w:color w:val="1F497D" w:themeColor="text2"/>
          <w:sz w:val="18"/>
          <w:szCs w:val="18"/>
        </w:rPr>
        <w:t xml:space="preserve"> Inciso incluído pela Portaria MDS 1.003/2024, após acordo com efeitos nacionais firmado nos autos da Ação Civil </w:t>
      </w:r>
      <w:r w:rsidR="00E01EDF" w:rsidRPr="00020B12">
        <w:rPr>
          <w:rFonts w:ascii="Quattrocento Sans" w:hAnsi="Quattrocento Sans"/>
          <w:color w:val="1F497D" w:themeColor="text2"/>
          <w:sz w:val="18"/>
          <w:szCs w:val="18"/>
        </w:rPr>
        <w:t>P</w:t>
      </w:r>
      <w:r w:rsidRPr="00020B12">
        <w:rPr>
          <w:rFonts w:ascii="Quattrocento Sans" w:hAnsi="Quattrocento Sans"/>
          <w:color w:val="1F497D" w:themeColor="text2"/>
          <w:sz w:val="18"/>
          <w:szCs w:val="18"/>
        </w:rPr>
        <w:t>ública nº 5024187-38.2024.4.04.7100/RS, ajuizada pelo DRDH/RS.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4D706" w14:textId="77777777" w:rsidR="00B7659E" w:rsidRDefault="00B7659E">
    <w:pPr>
      <w:tabs>
        <w:tab w:val="center" w:pos="4252"/>
        <w:tab w:val="right" w:pos="8504"/>
      </w:tabs>
      <w:jc w:val="right"/>
      <w:rPr>
        <w:color w:val="000000"/>
      </w:rPr>
    </w:pPr>
  </w:p>
  <w:p w14:paraId="665A08B9" w14:textId="77777777" w:rsidR="00B7659E" w:rsidRDefault="00B7659E">
    <w:pPr>
      <w:tabs>
        <w:tab w:val="center" w:pos="4252"/>
        <w:tab w:val="right" w:pos="8504"/>
      </w:tabs>
      <w:jc w:val="right"/>
      <w:rPr>
        <w:color w:val="000000"/>
      </w:rPr>
    </w:pPr>
  </w:p>
  <w:p w14:paraId="270D91AD" w14:textId="77777777" w:rsidR="00B7659E" w:rsidRDefault="00B7659E">
    <w:pPr>
      <w:tabs>
        <w:tab w:val="center" w:pos="4252"/>
        <w:tab w:val="right" w:pos="8504"/>
      </w:tabs>
      <w:jc w:val="right"/>
      <w:rPr>
        <w:color w:val="1F497D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6F047" w14:textId="77777777" w:rsidR="00B7659E" w:rsidRDefault="009D5CD5">
    <w:pPr>
      <w:tabs>
        <w:tab w:val="center" w:pos="4252"/>
        <w:tab w:val="right" w:pos="8504"/>
      </w:tabs>
      <w:rPr>
        <w:color w:val="000000"/>
      </w:rPr>
    </w:pPr>
    <w:r>
      <w:rPr>
        <w:noProof/>
        <w:color w:val="000000"/>
      </w:rPr>
      <w:drawing>
        <wp:anchor distT="0" distB="0" distL="114300" distR="114300" simplePos="0" relativeHeight="2" behindDoc="0" locked="0" layoutInCell="0" allowOverlap="1" wp14:anchorId="3739C462" wp14:editId="3E2FBE31">
          <wp:simplePos x="0" y="0"/>
          <wp:positionH relativeFrom="column">
            <wp:posOffset>-720090</wp:posOffset>
          </wp:positionH>
          <wp:positionV relativeFrom="paragraph">
            <wp:posOffset>635</wp:posOffset>
          </wp:positionV>
          <wp:extent cx="7552690" cy="2232660"/>
          <wp:effectExtent l="0" t="0" r="0" b="0"/>
          <wp:wrapSquare wrapText="bothSides"/>
          <wp:docPr id="1811960974" name="image1.png" descr="Padrão do plano de fund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1.png" descr="Padrão do plano de fundo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2690" cy="2232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4400F"/>
    <w:multiLevelType w:val="multilevel"/>
    <w:tmpl w:val="8F04FD00"/>
    <w:lvl w:ilvl="0">
      <w:start w:val="1"/>
      <w:numFmt w:val="lowerLetter"/>
      <w:lvlText w:val="%1)"/>
      <w:lvlJc w:val="left"/>
      <w:pPr>
        <w:tabs>
          <w:tab w:val="num" w:pos="0"/>
        </w:tabs>
        <w:ind w:left="1777" w:hanging="360"/>
      </w:pPr>
      <w:rPr>
        <w:b/>
        <w:bCs/>
        <w:strike w:val="0"/>
        <w:dstrike w:val="0"/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497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217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937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657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377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097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817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537" w:hanging="180"/>
      </w:pPr>
    </w:lvl>
  </w:abstractNum>
  <w:abstractNum w:abstractNumId="1" w15:restartNumberingAfterBreak="0">
    <w:nsid w:val="37FF6B93"/>
    <w:multiLevelType w:val="multilevel"/>
    <w:tmpl w:val="7772C39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47A2F22"/>
    <w:multiLevelType w:val="multilevel"/>
    <w:tmpl w:val="CD4EE07E"/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6654799D"/>
    <w:multiLevelType w:val="multilevel"/>
    <w:tmpl w:val="B29482DC"/>
    <w:lvl w:ilvl="0">
      <w:start w:val="1"/>
      <w:numFmt w:val="lowerLetter"/>
      <w:lvlText w:val="(%1)"/>
      <w:lvlJc w:val="left"/>
      <w:pPr>
        <w:tabs>
          <w:tab w:val="num" w:pos="0"/>
        </w:tabs>
        <w:ind w:left="2203" w:hanging="360"/>
      </w:pPr>
      <w:rPr>
        <w:b w:val="0"/>
        <w:bCs w:val="0"/>
        <w:color w:val="2F5496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923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643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363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083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803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523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243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963" w:hanging="180"/>
      </w:pPr>
    </w:lvl>
  </w:abstractNum>
  <w:num w:numId="1" w16cid:durableId="475294583">
    <w:abstractNumId w:val="0"/>
  </w:num>
  <w:num w:numId="2" w16cid:durableId="1341200121">
    <w:abstractNumId w:val="2"/>
  </w:num>
  <w:num w:numId="3" w16cid:durableId="58673778">
    <w:abstractNumId w:val="3"/>
  </w:num>
  <w:num w:numId="4" w16cid:durableId="12305804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659E"/>
    <w:rsid w:val="00020B12"/>
    <w:rsid w:val="00025651"/>
    <w:rsid w:val="000659AE"/>
    <w:rsid w:val="000A77EA"/>
    <w:rsid w:val="00196BF1"/>
    <w:rsid w:val="001D60A6"/>
    <w:rsid w:val="00233FA5"/>
    <w:rsid w:val="002F5CA8"/>
    <w:rsid w:val="00351BED"/>
    <w:rsid w:val="003A7269"/>
    <w:rsid w:val="003B6631"/>
    <w:rsid w:val="00412A70"/>
    <w:rsid w:val="004240ED"/>
    <w:rsid w:val="004D2B0A"/>
    <w:rsid w:val="005041A1"/>
    <w:rsid w:val="00513A49"/>
    <w:rsid w:val="00536B2B"/>
    <w:rsid w:val="0067623E"/>
    <w:rsid w:val="00737F5C"/>
    <w:rsid w:val="00797A31"/>
    <w:rsid w:val="007C051A"/>
    <w:rsid w:val="007C2305"/>
    <w:rsid w:val="008806F8"/>
    <w:rsid w:val="008D2EC7"/>
    <w:rsid w:val="0092304D"/>
    <w:rsid w:val="00923527"/>
    <w:rsid w:val="009A201B"/>
    <w:rsid w:val="009C1D7F"/>
    <w:rsid w:val="009C33AC"/>
    <w:rsid w:val="009D5CD5"/>
    <w:rsid w:val="00A7101E"/>
    <w:rsid w:val="00A71508"/>
    <w:rsid w:val="00AA77A4"/>
    <w:rsid w:val="00B42572"/>
    <w:rsid w:val="00B7659E"/>
    <w:rsid w:val="00BE05A0"/>
    <w:rsid w:val="00C64E26"/>
    <w:rsid w:val="00CB60F2"/>
    <w:rsid w:val="00CF2D17"/>
    <w:rsid w:val="00D24BFB"/>
    <w:rsid w:val="00D36F28"/>
    <w:rsid w:val="00DD1819"/>
    <w:rsid w:val="00E01EDF"/>
    <w:rsid w:val="00E87628"/>
    <w:rsid w:val="00ED0483"/>
    <w:rsid w:val="00F241F2"/>
    <w:rsid w:val="00F41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AA6EC"/>
  <w15:docId w15:val="{29AEEC83-C28C-4C1D-824C-0644177FC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WeblySleek UI Semibold" w:eastAsia="WeblySleek UI Semibold" w:hAnsi="WeblySleek UI Semibold" w:cs="WeblySleek UI Semibold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jc w:val="center"/>
      <w:outlineLvl w:val="0"/>
    </w:pPr>
    <w:rPr>
      <w:b/>
      <w:bCs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40"/>
      <w:outlineLvl w:val="1"/>
    </w:pPr>
    <w:rPr>
      <w:rFonts w:ascii="Cambria" w:eastAsia="Cambria" w:hAnsi="Cambria" w:cs="Cambria"/>
      <w:color w:val="365F91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E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Caracteresdenotaderodap">
    <w:name w:val="Caracteres de nota de rodapé"/>
    <w:qFormat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customStyle="1" w:styleId="Caracteresdenotadefim">
    <w:name w:val="Caracteres de nota de fim"/>
    <w:qFormat/>
  </w:style>
  <w:style w:type="character" w:styleId="Refdenotadefim">
    <w:name w:val="endnote reference"/>
    <w:rPr>
      <w:vertAlign w:val="superscript"/>
    </w:rPr>
  </w:style>
  <w:style w:type="paragraph" w:styleId="Ttulo">
    <w:name w:val="Title"/>
    <w:basedOn w:val="Normal"/>
    <w:next w:val="Corpodetexto"/>
    <w:uiPriority w:val="10"/>
    <w:qFormat/>
    <w:pPr>
      <w:spacing w:before="20"/>
      <w:ind w:left="60"/>
    </w:pPr>
    <w:rPr>
      <w:sz w:val="62"/>
      <w:szCs w:val="62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Contedodoquadro">
    <w:name w:val="Conteúdo do quadro"/>
    <w:basedOn w:val="Normal"/>
    <w:qFormat/>
  </w:style>
  <w:style w:type="paragraph" w:styleId="Textodenotaderodap">
    <w:name w:val="footnote text"/>
    <w:basedOn w:val="Normal"/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</w:style>
  <w:style w:type="paragraph" w:styleId="Rodap">
    <w:name w:val="footer"/>
    <w:basedOn w:val="CabealhoeRodap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qFormat/>
    <w:rsid w:val="00020B1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pu.def.br/camara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customXml" Target="../customXml/item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customXml" Target="../customXml/item2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customXml" Target="../customXml/item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1919D6DE3BD244B65FBCCEDF4AE0CF" ma:contentTypeVersion="3" ma:contentTypeDescription="Crie um novo documento." ma:contentTypeScope="" ma:versionID="1fbcde975e055f6d26faa2a6cc3e37de">
  <xsd:schema xmlns:xsd="http://www.w3.org/2001/XMLSchema" xmlns:xs="http://www.w3.org/2001/XMLSchema" xmlns:p="http://schemas.microsoft.com/office/2006/metadata/properties" xmlns:ns2="b6b2f871-3e57-4b2e-a4f8-609b3b4c6839" targetNamespace="http://schemas.microsoft.com/office/2006/metadata/properties" ma:root="true" ma:fieldsID="167b0296ba29e47a9aef7f37ebd219bf" ns2:_="">
    <xsd:import namespace="b6b2f871-3e57-4b2e-a4f8-609b3b4c68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b2f871-3e57-4b2e-a4f8-609b3b4c68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37E30B8-314A-4F12-84E7-803A3EB20639}"/>
</file>

<file path=customXml/itemProps2.xml><?xml version="1.0" encoding="utf-8"?>
<ds:datastoreItem xmlns:ds="http://schemas.openxmlformats.org/officeDocument/2006/customXml" ds:itemID="{7D648397-05B7-4FA2-BC19-F317C20ACD9F}"/>
</file>

<file path=customXml/itemProps3.xml><?xml version="1.0" encoding="utf-8"?>
<ds:datastoreItem xmlns:ds="http://schemas.openxmlformats.org/officeDocument/2006/customXml" ds:itemID="{EBC6E88D-D779-415B-B366-A3DEA101980A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3253</Words>
  <Characters>17831</Characters>
  <Application>Microsoft Office Word</Application>
  <DocSecurity>0</DocSecurity>
  <Lines>292</Lines>
  <Paragraphs>125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Maira de Carvalho Pereira Mesquita</dc:creator>
  <dc:description/>
  <cp:lastModifiedBy>Maira de Carvalho Pereira Mesquita</cp:lastModifiedBy>
  <cp:revision>3</cp:revision>
  <dcterms:created xsi:type="dcterms:W3CDTF">2026-03-20T12:42:00Z</dcterms:created>
  <dcterms:modified xsi:type="dcterms:W3CDTF">2026-03-20T12:44:00Z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2021-10-13T00:00:00Z</vt:lpwstr>
  </property>
  <property fmtid="{D5CDD505-2E9C-101B-9397-08002B2CF9AE}" pid="3" name="Creator">
    <vt:lpwstr>Adobe InDesign 16.4 (Windows)</vt:lpwstr>
  </property>
  <property fmtid="{D5CDD505-2E9C-101B-9397-08002B2CF9AE}" pid="4" name="LastSaved">
    <vt:lpwstr>2021-10-13T00:00:00Z</vt:lpwstr>
  </property>
  <property fmtid="{D5CDD505-2E9C-101B-9397-08002B2CF9AE}" pid="5" name="ContentTypeId">
    <vt:lpwstr>0x010100DF1919D6DE3BD244B65FBCCEDF4AE0CF</vt:lpwstr>
  </property>
</Properties>
</file>