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540AA" w14:textId="77777777" w:rsidR="00792DD5" w:rsidRPr="00913237" w:rsidRDefault="00792DD5" w:rsidP="00792DD5">
      <w:pPr>
        <w:jc w:val="both"/>
        <w:rPr>
          <w:rFonts w:ascii="Calibri" w:hAnsi="Calibri" w:cs="Calibri"/>
          <w:b/>
          <w:bCs/>
          <w:color w:val="215E99" w:themeColor="text2" w:themeTint="BF"/>
          <w:sz w:val="22"/>
          <w:szCs w:val="22"/>
        </w:rPr>
      </w:pPr>
    </w:p>
    <w:p w14:paraId="030E946D" w14:textId="77777777" w:rsidR="00792DD5" w:rsidRPr="00913237" w:rsidRDefault="00792DD5" w:rsidP="00792DD5">
      <w:pPr>
        <w:jc w:val="both"/>
        <w:rPr>
          <w:rFonts w:ascii="Calibri" w:hAnsi="Calibri" w:cs="Calibri"/>
          <w:b/>
          <w:bCs/>
          <w:color w:val="215E99" w:themeColor="text2" w:themeTint="BF"/>
          <w:sz w:val="22"/>
          <w:szCs w:val="22"/>
        </w:rPr>
      </w:pPr>
    </w:p>
    <w:p w14:paraId="6160C4D4" w14:textId="77777777" w:rsidR="00792DD5" w:rsidRPr="00913237" w:rsidRDefault="00792DD5" w:rsidP="00792DD5">
      <w:pPr>
        <w:jc w:val="both"/>
        <w:rPr>
          <w:rFonts w:ascii="Calibri" w:hAnsi="Calibri" w:cs="Calibri"/>
          <w:b/>
          <w:bCs/>
          <w:color w:val="215E99" w:themeColor="text2" w:themeTint="BF"/>
          <w:sz w:val="22"/>
          <w:szCs w:val="22"/>
        </w:rPr>
      </w:pPr>
    </w:p>
    <w:p w14:paraId="586BF1CD" w14:textId="77777777" w:rsidR="00792DD5" w:rsidRPr="00913237" w:rsidRDefault="00792DD5" w:rsidP="00792DD5">
      <w:pPr>
        <w:jc w:val="both"/>
        <w:rPr>
          <w:rFonts w:ascii="Calibri" w:hAnsi="Calibri" w:cs="Calibri"/>
          <w:b/>
          <w:bCs/>
          <w:color w:val="215E99" w:themeColor="text2" w:themeTint="BF"/>
          <w:sz w:val="22"/>
          <w:szCs w:val="22"/>
        </w:rPr>
      </w:pPr>
    </w:p>
    <w:p w14:paraId="40282ED2" w14:textId="60145A59"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 xml:space="preserve">PETIÇÃO PADRÃO PARA REQUERER A EXCLUSÃO DO BPC </w:t>
      </w:r>
      <w:r w:rsidRPr="000158EF">
        <w:rPr>
          <w:rFonts w:ascii="Calibri" w:hAnsi="Calibri" w:cs="Calibri"/>
          <w:b/>
          <w:bCs/>
          <w:color w:val="215E99" w:themeColor="text2" w:themeTint="BF"/>
          <w:sz w:val="22"/>
          <w:szCs w:val="22"/>
          <w:u w:val="single"/>
        </w:rPr>
        <w:t>IDOSO</w:t>
      </w:r>
      <w:r w:rsidRPr="00913237">
        <w:rPr>
          <w:rFonts w:ascii="Calibri" w:hAnsi="Calibri" w:cs="Calibri"/>
          <w:b/>
          <w:bCs/>
          <w:color w:val="215E99" w:themeColor="text2" w:themeTint="BF"/>
          <w:sz w:val="22"/>
          <w:szCs w:val="22"/>
        </w:rPr>
        <w:t xml:space="preserve"> DO CÁLCULO PARA A ELEGIBILIDADE AO PROGRAMA BOLSA FAMÍLIA </w:t>
      </w:r>
    </w:p>
    <w:p w14:paraId="609916F6" w14:textId="77777777" w:rsidR="00792DD5" w:rsidRPr="00913237" w:rsidRDefault="00792DD5" w:rsidP="00792DD5">
      <w:pPr>
        <w:jc w:val="both"/>
        <w:rPr>
          <w:rFonts w:ascii="Calibri" w:hAnsi="Calibri" w:cs="Calibri"/>
          <w:color w:val="215E99" w:themeColor="text2" w:themeTint="BF"/>
          <w:sz w:val="22"/>
          <w:szCs w:val="22"/>
        </w:rPr>
      </w:pPr>
    </w:p>
    <w:p w14:paraId="6C12D20D"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AO JUÍZO DA __ª VARA DO JUIZADO ESPECIAL FEDERAL CÍVEL DA SUBSEÇÃO JUDICIÁRIA DE ________________ </w:t>
      </w:r>
    </w:p>
    <w:tbl>
      <w:tblPr>
        <w:tblStyle w:val="Tabelacomgrade"/>
        <w:tblW w:w="7366" w:type="dxa"/>
        <w:tblLayout w:type="fixed"/>
        <w:tblLook w:val="04A0" w:firstRow="1" w:lastRow="0" w:firstColumn="1" w:lastColumn="0" w:noHBand="0" w:noVBand="1"/>
      </w:tblPr>
      <w:tblGrid>
        <w:gridCol w:w="7366"/>
      </w:tblGrid>
      <w:tr w:rsidR="00792DD5" w:rsidRPr="00913237" w14:paraId="5C2945E0" w14:textId="77777777" w:rsidTr="00792DD5">
        <w:trPr>
          <w:trHeight w:val="2606"/>
        </w:trPr>
        <w:tc>
          <w:tcPr>
            <w:tcW w:w="7366" w:type="dxa"/>
          </w:tcPr>
          <w:p w14:paraId="29113223" w14:textId="77777777" w:rsidR="00792DD5" w:rsidRPr="00913237" w:rsidRDefault="00792DD5" w:rsidP="0076437E">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SÍNTESE ARGUMENTATIVA</w:t>
            </w:r>
          </w:p>
          <w:p w14:paraId="13BD3478" w14:textId="77777777" w:rsidR="00792DD5" w:rsidRPr="00913237" w:rsidRDefault="00792DD5" w:rsidP="0076437E">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Da inconstitucionalidade do cômputo dos valores do BPC na renda mensal familiar para fins de elegibilidade no Programa Bolsa Família</w:t>
            </w:r>
          </w:p>
          <w:p w14:paraId="5C92AB92" w14:textId="77777777" w:rsidR="00792DD5" w:rsidRPr="00913237" w:rsidRDefault="00792DD5" w:rsidP="0076437E">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Direito à renda básica – Artigo 6º, CF /88 e Mandado de Injunção 7300</w:t>
            </w:r>
          </w:p>
          <w:p w14:paraId="01CCE0ED" w14:textId="77777777" w:rsidR="00792DD5" w:rsidRPr="00913237" w:rsidRDefault="00792DD5" w:rsidP="0076437E">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Violação à isonomia – Artigo 5º,</w:t>
            </w:r>
            <w:r w:rsidRPr="00913237">
              <w:rPr>
                <w:rFonts w:ascii="Calibri" w:eastAsia="Aptos" w:hAnsi="Calibri" w:cs="Calibri"/>
                <w:i/>
                <w:iCs/>
                <w:color w:val="215E99" w:themeColor="text2" w:themeTint="BF"/>
                <w:sz w:val="22"/>
                <w:szCs w:val="22"/>
              </w:rPr>
              <w:t xml:space="preserve"> caput, </w:t>
            </w:r>
            <w:r w:rsidRPr="00913237">
              <w:rPr>
                <w:rFonts w:ascii="Calibri" w:eastAsia="Aptos" w:hAnsi="Calibri" w:cs="Calibri"/>
                <w:color w:val="215E99" w:themeColor="text2" w:themeTint="BF"/>
                <w:sz w:val="22"/>
                <w:szCs w:val="22"/>
              </w:rPr>
              <w:t xml:space="preserve">I, CF /88 </w:t>
            </w:r>
          </w:p>
          <w:p w14:paraId="2BDD9241" w14:textId="77777777" w:rsidR="00792DD5" w:rsidRPr="00913237" w:rsidRDefault="00792DD5" w:rsidP="0076437E">
            <w:pPr>
              <w:spacing w:line="240" w:lineRule="auto"/>
              <w:ind w:left="457"/>
              <w:jc w:val="both"/>
              <w:rPr>
                <w:rFonts w:ascii="Calibri" w:eastAsia="Aptos" w:hAnsi="Calibri" w:cs="Calibri"/>
                <w:color w:val="215E99" w:themeColor="text2" w:themeTint="BF"/>
                <w:sz w:val="22"/>
                <w:szCs w:val="22"/>
              </w:rPr>
            </w:pPr>
            <w:r w:rsidRPr="00913237">
              <w:rPr>
                <w:rFonts w:ascii="Calibri" w:eastAsia="Aptos" w:hAnsi="Calibri" w:cs="Calibri"/>
                <w:color w:val="215E99" w:themeColor="text2" w:themeTint="BF"/>
                <w:sz w:val="22"/>
                <w:szCs w:val="22"/>
              </w:rPr>
              <w:t xml:space="preserve">BPC personalíssimo – Artigo </w:t>
            </w:r>
            <w:r w:rsidRPr="00913237">
              <w:rPr>
                <w:rFonts w:ascii="Calibri" w:hAnsi="Calibri" w:cs="Calibri"/>
                <w:color w:val="215E99" w:themeColor="text2" w:themeTint="BF"/>
                <w:sz w:val="22"/>
                <w:szCs w:val="22"/>
              </w:rPr>
              <w:t>203, V e VI,</w:t>
            </w:r>
            <w:r w:rsidRPr="00913237">
              <w:rPr>
                <w:rFonts w:ascii="Calibri" w:eastAsia="Aptos" w:hAnsi="Calibri" w:cs="Calibri"/>
                <w:color w:val="215E99" w:themeColor="text2" w:themeTint="BF"/>
                <w:sz w:val="22"/>
                <w:szCs w:val="22"/>
              </w:rPr>
              <w:t xml:space="preserve"> CF /88 </w:t>
            </w:r>
          </w:p>
          <w:p w14:paraId="6E409D42" w14:textId="77777777" w:rsidR="00792DD5" w:rsidRDefault="00792DD5" w:rsidP="0076437E">
            <w:pPr>
              <w:spacing w:line="240" w:lineRule="auto"/>
              <w:ind w:left="457"/>
              <w:jc w:val="both"/>
              <w:rPr>
                <w:rFonts w:ascii="Calibri" w:hAnsi="Calibri" w:cs="Calibri"/>
                <w:color w:val="215E99" w:themeColor="text2" w:themeTint="BF"/>
                <w:sz w:val="22"/>
                <w:szCs w:val="22"/>
              </w:rPr>
            </w:pPr>
            <w:r w:rsidRPr="00913237">
              <w:rPr>
                <w:rFonts w:ascii="Calibri" w:eastAsia="Aptos" w:hAnsi="Calibri" w:cs="Calibri"/>
                <w:color w:val="215E99" w:themeColor="text2" w:themeTint="BF"/>
                <w:sz w:val="22"/>
                <w:szCs w:val="22"/>
              </w:rPr>
              <w:t>Tema nº 312 do STF (</w:t>
            </w:r>
            <w:r w:rsidRPr="00913237">
              <w:rPr>
                <w:rFonts w:ascii="Calibri" w:hAnsi="Calibri" w:cs="Calibri"/>
                <w:color w:val="215E99" w:themeColor="text2" w:themeTint="BF"/>
                <w:sz w:val="22"/>
                <w:szCs w:val="22"/>
              </w:rPr>
              <w:t>RE 580.963)</w:t>
            </w:r>
          </w:p>
          <w:p w14:paraId="1391CA56" w14:textId="77777777" w:rsidR="00792DD5" w:rsidRPr="00913237" w:rsidRDefault="00792DD5" w:rsidP="0076437E">
            <w:pPr>
              <w:spacing w:line="240" w:lineRule="auto"/>
              <w:ind w:left="457"/>
              <w:jc w:val="both"/>
              <w:rPr>
                <w:rFonts w:ascii="Calibri" w:eastAsia="Aptos" w:hAnsi="Calibri" w:cs="Calibri"/>
                <w:color w:val="215E99" w:themeColor="text2" w:themeTint="BF"/>
                <w:sz w:val="22"/>
                <w:szCs w:val="22"/>
              </w:rPr>
            </w:pPr>
          </w:p>
          <w:p w14:paraId="03F153D2" w14:textId="18024D06" w:rsidR="00792DD5" w:rsidRPr="00913237" w:rsidRDefault="00792DD5" w:rsidP="00792DD5">
            <w:pPr>
              <w:spacing w:line="240" w:lineRule="auto"/>
              <w:jc w:val="both"/>
              <w:rPr>
                <w:rFonts w:ascii="Calibri" w:eastAsia="Aptos" w:hAnsi="Calibri" w:cs="Calibri"/>
                <w:b/>
                <w:bCs/>
                <w:i/>
                <w:iCs/>
                <w:color w:val="215E99" w:themeColor="text2" w:themeTint="BF"/>
                <w:sz w:val="22"/>
                <w:szCs w:val="22"/>
              </w:rPr>
            </w:pPr>
            <w:r w:rsidRPr="00913237">
              <w:rPr>
                <w:rFonts w:ascii="Calibri" w:eastAsia="Aptos" w:hAnsi="Calibri" w:cs="Calibri"/>
                <w:b/>
                <w:bCs/>
                <w:i/>
                <w:iCs/>
                <w:color w:val="215E99" w:themeColor="text2" w:themeTint="BF"/>
                <w:sz w:val="22"/>
                <w:szCs w:val="22"/>
              </w:rPr>
              <w:t>. Da Superação do Tema nº 296 TNU sob a ótica constitucional</w:t>
            </w:r>
          </w:p>
        </w:tc>
      </w:tr>
    </w:tbl>
    <w:p w14:paraId="366A911F" w14:textId="77777777" w:rsidR="00792DD5" w:rsidRPr="00913237" w:rsidRDefault="00792DD5" w:rsidP="00792DD5">
      <w:pPr>
        <w:jc w:val="both"/>
        <w:rPr>
          <w:rFonts w:ascii="Calibri" w:hAnsi="Calibri" w:cs="Calibri"/>
          <w:color w:val="215E99" w:themeColor="text2" w:themeTint="BF"/>
          <w:sz w:val="22"/>
          <w:szCs w:val="22"/>
        </w:rPr>
      </w:pPr>
    </w:p>
    <w:p w14:paraId="314E1792" w14:textId="77777777" w:rsidR="00792DD5" w:rsidRPr="00913237" w:rsidRDefault="00792DD5" w:rsidP="00792DD5">
      <w:pPr>
        <w:jc w:val="both"/>
        <w:rPr>
          <w:rFonts w:ascii="Calibri" w:hAnsi="Calibri" w:cs="Calibri"/>
          <w:b/>
          <w:bCs/>
          <w:color w:val="215E99" w:themeColor="text2" w:themeTint="BF"/>
          <w:sz w:val="22"/>
          <w:szCs w:val="22"/>
        </w:rPr>
      </w:pPr>
    </w:p>
    <w:p w14:paraId="1BEB168E"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NOME DO/A ASSISTIDO/A</w:t>
      </w:r>
      <w:r w:rsidRPr="00913237">
        <w:rPr>
          <w:rFonts w:ascii="Calibri" w:hAnsi="Calibri" w:cs="Calibri"/>
          <w:color w:val="215E99" w:themeColor="text2" w:themeTint="BF"/>
          <w:sz w:val="22"/>
          <w:szCs w:val="22"/>
        </w:rPr>
        <w:t xml:space="preserve">, qualificação, assistido/a pela </w:t>
      </w:r>
      <w:r w:rsidRPr="00913237">
        <w:rPr>
          <w:rFonts w:ascii="Calibri" w:hAnsi="Calibri" w:cs="Calibri"/>
          <w:b/>
          <w:bCs/>
          <w:color w:val="215E99" w:themeColor="text2" w:themeTint="BF"/>
          <w:sz w:val="22"/>
          <w:szCs w:val="22"/>
        </w:rPr>
        <w:t xml:space="preserve">DEFENSORIA PÚBLICA DA UNIÃO, </w:t>
      </w:r>
      <w:r w:rsidRPr="00913237">
        <w:rPr>
          <w:rFonts w:ascii="Calibri" w:hAnsi="Calibri" w:cs="Calibri"/>
          <w:color w:val="215E99" w:themeColor="text2" w:themeTint="BF"/>
          <w:sz w:val="22"/>
          <w:szCs w:val="22"/>
        </w:rPr>
        <w:t xml:space="preserve">por meio de seu/sua representante abaixo assinado/a, nos termos da LC nº 80/94, vem ajuizar </w:t>
      </w:r>
      <w:r w:rsidRPr="00913237">
        <w:rPr>
          <w:rFonts w:ascii="Calibri" w:hAnsi="Calibri" w:cs="Calibri"/>
          <w:b/>
          <w:bCs/>
          <w:color w:val="215E99" w:themeColor="text2" w:themeTint="BF"/>
          <w:sz w:val="22"/>
          <w:szCs w:val="22"/>
        </w:rPr>
        <w:t>AÇÃO PARA INCLUSÃO NO PROGRAMA BOLSA FAMÍLIA C/C PEDIDO DE ANTECIPAÇÃO DE TUTELA</w:t>
      </w:r>
      <w:r w:rsidRPr="00913237">
        <w:rPr>
          <w:rFonts w:ascii="Calibri" w:hAnsi="Calibri" w:cs="Calibri"/>
          <w:color w:val="215E99" w:themeColor="text2" w:themeTint="BF"/>
          <w:sz w:val="22"/>
          <w:szCs w:val="22"/>
        </w:rPr>
        <w:t xml:space="preserve"> em face da </w:t>
      </w:r>
      <w:r w:rsidRPr="00913237">
        <w:rPr>
          <w:rFonts w:ascii="Calibri" w:hAnsi="Calibri" w:cs="Calibri"/>
          <w:b/>
          <w:bCs/>
          <w:color w:val="215E99" w:themeColor="text2" w:themeTint="BF"/>
          <w:sz w:val="22"/>
          <w:szCs w:val="22"/>
        </w:rPr>
        <w:t xml:space="preserve">UNIÃO FEDERAL, </w:t>
      </w:r>
      <w:r w:rsidRPr="00913237">
        <w:rPr>
          <w:rFonts w:ascii="Calibri" w:hAnsi="Calibri" w:cs="Calibri"/>
          <w:color w:val="215E99" w:themeColor="text2" w:themeTint="BF"/>
          <w:sz w:val="22"/>
          <w:szCs w:val="22"/>
        </w:rPr>
        <w:t>por meio de sua procuradoria, com endereço conhecido por este juízo, pelas razões de fato e de direito a seguir.</w:t>
      </w:r>
    </w:p>
    <w:p w14:paraId="24CD0940" w14:textId="77777777" w:rsidR="00792DD5" w:rsidRPr="00913237" w:rsidRDefault="00792DD5" w:rsidP="00792DD5">
      <w:pPr>
        <w:numPr>
          <w:ilvl w:val="0"/>
          <w:numId w:val="1"/>
        </w:numPr>
        <w:tabs>
          <w:tab w:val="clear" w:pos="720"/>
          <w:tab w:val="num" w:pos="851"/>
        </w:tabs>
        <w:ind w:left="851" w:hanging="709"/>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GRATUIDADE DE JUSTIÇA </w:t>
      </w:r>
    </w:p>
    <w:p w14:paraId="68E8908C"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Inicialmente, a parte autora requer a concessão dos benefícios da justiça gratuita, com base no artigo 98 do Código de Processo Civil e no artigo 5º, inciso LXXIV, da Constituição Federal, por se tratar de pessoa hipossuficiente que não possui meios de arcar com as despesas processuais sem prejuízo do sustento próprio e de sua família.</w:t>
      </w:r>
    </w:p>
    <w:p w14:paraId="3CFE42D2" w14:textId="77777777" w:rsidR="00792DD5" w:rsidRPr="00913237" w:rsidRDefault="00792DD5" w:rsidP="00792DD5">
      <w:pPr>
        <w:numPr>
          <w:ilvl w:val="0"/>
          <w:numId w:val="2"/>
        </w:num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RESUMO DOS FATOS</w:t>
      </w:r>
    </w:p>
    <w:p w14:paraId="015644B7"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O/a autor/a é o </w:t>
      </w:r>
      <w:r>
        <w:rPr>
          <w:rFonts w:ascii="Calibri" w:hAnsi="Calibri" w:cs="Calibri"/>
          <w:color w:val="215E99" w:themeColor="text2" w:themeTint="BF"/>
          <w:sz w:val="22"/>
          <w:szCs w:val="22"/>
        </w:rPr>
        <w:t>R</w:t>
      </w:r>
      <w:r w:rsidRPr="00913237">
        <w:rPr>
          <w:rFonts w:ascii="Calibri" w:hAnsi="Calibri" w:cs="Calibri"/>
          <w:color w:val="215E99" w:themeColor="text2" w:themeTint="BF"/>
          <w:sz w:val="22"/>
          <w:szCs w:val="22"/>
        </w:rPr>
        <w:t xml:space="preserve">esponsável </w:t>
      </w:r>
      <w:r>
        <w:rPr>
          <w:rFonts w:ascii="Calibri" w:hAnsi="Calibri" w:cs="Calibri"/>
          <w:color w:val="215E99" w:themeColor="text2" w:themeTint="BF"/>
          <w:sz w:val="22"/>
          <w:szCs w:val="22"/>
        </w:rPr>
        <w:t>F</w:t>
      </w:r>
      <w:r w:rsidRPr="00913237">
        <w:rPr>
          <w:rFonts w:ascii="Calibri" w:hAnsi="Calibri" w:cs="Calibri"/>
          <w:color w:val="215E99" w:themeColor="text2" w:themeTint="BF"/>
          <w:sz w:val="22"/>
          <w:szCs w:val="22"/>
        </w:rPr>
        <w:t xml:space="preserve">amiliar, cujo núcleo é composto por _______________; ___________; __________; _____________ - Número de Inscrição no </w:t>
      </w:r>
      <w:proofErr w:type="spellStart"/>
      <w:r w:rsidRPr="00913237">
        <w:rPr>
          <w:rFonts w:ascii="Calibri" w:hAnsi="Calibri" w:cs="Calibri"/>
          <w:color w:val="215E99" w:themeColor="text2" w:themeTint="BF"/>
          <w:sz w:val="22"/>
          <w:szCs w:val="22"/>
        </w:rPr>
        <w:t>CadÚnico</w:t>
      </w:r>
      <w:proofErr w:type="spellEnd"/>
      <w:r w:rsidRPr="00913237">
        <w:rPr>
          <w:rFonts w:ascii="Calibri" w:hAnsi="Calibri" w:cs="Calibri"/>
          <w:color w:val="215E99" w:themeColor="text2" w:themeTint="BF"/>
          <w:sz w:val="22"/>
          <w:szCs w:val="22"/>
        </w:rPr>
        <w:t xml:space="preserve"> ____ e última atualização em _____, conforme documento anexo.</w:t>
      </w:r>
    </w:p>
    <w:p w14:paraId="6596CC76"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Por preencher todos os requisitos previstos pela Lei nº 14.601/2023, o grupo familiar foi incluído no Programa Bolsa Família (PBF) em ______, passando a receber o(s) benefício(s) de ________.</w:t>
      </w:r>
    </w:p>
    <w:p w14:paraId="652EBC9C" w14:textId="62DADCC5"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O integrante (NOME DO INTEGRANTE), (PARENTESCO) da parte autora, é</w:t>
      </w:r>
      <w:r w:rsidR="008D51C5">
        <w:rPr>
          <w:rFonts w:ascii="Calibri" w:hAnsi="Calibri" w:cs="Calibri"/>
          <w:color w:val="215E99" w:themeColor="text2" w:themeTint="BF"/>
          <w:sz w:val="22"/>
          <w:szCs w:val="22"/>
        </w:rPr>
        <w:t xml:space="preserve"> idoso/a, com ___ anos</w:t>
      </w:r>
      <w:r w:rsidRPr="00913237">
        <w:rPr>
          <w:rFonts w:ascii="Calibri" w:hAnsi="Calibri" w:cs="Calibri"/>
          <w:color w:val="215E99" w:themeColor="text2" w:themeTint="BF"/>
          <w:sz w:val="22"/>
          <w:szCs w:val="22"/>
        </w:rPr>
        <w:t xml:space="preserve">, razão pela qual realizou requerimento para a concessão do Benefício de Prestação Continuada (BPC), nos termos do artigo 203, V, da Constituição Federal e artigo 20 da Lei nº 8.742/93 - Lei Orgânica da Assistência Social (LOAS). O deferimento do BPC no valor de um </w:t>
      </w:r>
      <w:proofErr w:type="gramStart"/>
      <w:r w:rsidRPr="00913237">
        <w:rPr>
          <w:rFonts w:ascii="Calibri" w:hAnsi="Calibri" w:cs="Calibri"/>
          <w:color w:val="215E99" w:themeColor="text2" w:themeTint="BF"/>
          <w:sz w:val="22"/>
          <w:szCs w:val="22"/>
        </w:rPr>
        <w:t>salário mínimo</w:t>
      </w:r>
      <w:proofErr w:type="gramEnd"/>
      <w:r w:rsidRPr="00913237">
        <w:rPr>
          <w:rFonts w:ascii="Calibri" w:hAnsi="Calibri" w:cs="Calibri"/>
          <w:color w:val="215E99" w:themeColor="text2" w:themeTint="BF"/>
          <w:sz w:val="22"/>
          <w:szCs w:val="22"/>
        </w:rPr>
        <w:t xml:space="preserve"> mensal ocorreu no dia __________ (NB ____________).  </w:t>
      </w:r>
    </w:p>
    <w:p w14:paraId="4D0687A2" w14:textId="403A4093"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Apesar de caráter personalíssimo e intransferível do BPC, a ré incluiu no cômputo do cálculo da renda familiar o valor do BPC titularizado por ______ (NOME DO INTEGRANTE). Por consequência, passou a considerar que o grupo familiar não mais preenche o requisito da renda familiar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de R$ 218,00 para permanência no Programa Bolsa Família (artigo 5º, II, Lei nº 14.601/23). Por essa razão, incluiu o grupo familiar na regra de proteção, prevista no artigo 6º da Lei nº 14.601/2023, com a redução do valor mensal recebido </w:t>
      </w:r>
      <w:r>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u w:val="single"/>
        </w:rPr>
        <w:t>OU</w:t>
      </w:r>
      <w:r w:rsidRPr="00913237">
        <w:rPr>
          <w:rFonts w:ascii="Calibri" w:hAnsi="Calibri" w:cs="Calibri"/>
          <w:color w:val="215E99" w:themeColor="text2" w:themeTint="BF"/>
          <w:sz w:val="22"/>
          <w:szCs w:val="22"/>
        </w:rPr>
        <w:t xml:space="preserve"> exclui-o do Programa</w:t>
      </w:r>
      <w:r>
        <w:rPr>
          <w:rFonts w:ascii="Calibri" w:hAnsi="Calibri" w:cs="Calibri"/>
          <w:color w:val="215E99" w:themeColor="text2" w:themeTint="BF"/>
          <w:sz w:val="22"/>
          <w:szCs w:val="22"/>
        </w:rPr>
        <w:t>)</w:t>
      </w:r>
      <w:r w:rsidRPr="00913237">
        <w:rPr>
          <w:rFonts w:ascii="Calibri" w:hAnsi="Calibri" w:cs="Calibri"/>
          <w:color w:val="215E99" w:themeColor="text2" w:themeTint="BF"/>
          <w:sz w:val="22"/>
          <w:szCs w:val="22"/>
        </w:rPr>
        <w:t xml:space="preserve">, a partir do mês de ______ </w:t>
      </w:r>
      <w:proofErr w:type="spellStart"/>
      <w:r w:rsidRPr="00913237">
        <w:rPr>
          <w:rFonts w:ascii="Calibri" w:hAnsi="Calibri" w:cs="Calibri"/>
          <w:color w:val="215E99" w:themeColor="text2" w:themeTint="BF"/>
          <w:sz w:val="22"/>
          <w:szCs w:val="22"/>
        </w:rPr>
        <w:t>de</w:t>
      </w:r>
      <w:proofErr w:type="spellEnd"/>
      <w:r w:rsidRPr="00913237">
        <w:rPr>
          <w:rFonts w:ascii="Calibri" w:hAnsi="Calibri" w:cs="Calibri"/>
          <w:color w:val="215E99" w:themeColor="text2" w:themeTint="BF"/>
          <w:sz w:val="22"/>
          <w:szCs w:val="22"/>
        </w:rPr>
        <w:t xml:space="preserve"> _____. </w:t>
      </w:r>
    </w:p>
    <w:p w14:paraId="0E8E3F53"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Ocorre que, conforme restará demonstrado adiante, o artigo 4°, §2°, da Lei nº 14.601/2023, ao estabelecer que o valor de um </w:t>
      </w:r>
      <w:proofErr w:type="gramStart"/>
      <w:r w:rsidRPr="00913237">
        <w:rPr>
          <w:rFonts w:ascii="Calibri" w:hAnsi="Calibri" w:cs="Calibri"/>
          <w:color w:val="215E99" w:themeColor="text2" w:themeTint="BF"/>
          <w:sz w:val="22"/>
          <w:szCs w:val="22"/>
        </w:rPr>
        <w:t>salário mínimo</w:t>
      </w:r>
      <w:proofErr w:type="gramEnd"/>
      <w:r w:rsidRPr="00913237">
        <w:rPr>
          <w:rFonts w:ascii="Calibri" w:hAnsi="Calibri" w:cs="Calibri"/>
          <w:color w:val="215E99" w:themeColor="text2" w:themeTint="BF"/>
          <w:sz w:val="22"/>
          <w:szCs w:val="22"/>
        </w:rPr>
        <w:t xml:space="preserve"> do BPC titularizado por membro da família deve integrar o cálculo da renda para fins de ingresso e permanência no Programa Bolsa Família, padece de inconstitucionalidade, razão pela qual deve ser afastado no caso concreto.</w:t>
      </w:r>
    </w:p>
    <w:p w14:paraId="02201518" w14:textId="77777777" w:rsidR="00792DD5" w:rsidRPr="00913237" w:rsidRDefault="00792DD5" w:rsidP="00792DD5">
      <w:pPr>
        <w:jc w:val="both"/>
        <w:rPr>
          <w:rFonts w:ascii="Calibri" w:hAnsi="Calibri" w:cs="Calibri"/>
          <w:color w:val="215E99" w:themeColor="text2" w:themeTint="BF"/>
          <w:sz w:val="22"/>
          <w:szCs w:val="22"/>
        </w:rPr>
      </w:pPr>
    </w:p>
    <w:p w14:paraId="23D5E734"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 DOS FUNDAMENTOS JURÍDICOS</w:t>
      </w:r>
    </w:p>
    <w:p w14:paraId="6013732F"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III.1. DA INCONSTITUCIONALIDADE DO CÔMPUTO DOS VALORES DO BPC NA RENDA MENSAL FAMILIAR PARA FINS DE ELEGIBILIDADE NO PROGRAMA BOLSA FAMÍLIA</w:t>
      </w:r>
    </w:p>
    <w:p w14:paraId="6536B2E1"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artigo 6º, parágrafo único, da CF/88 previu entre os direitos fundamentais sociais o direito à </w:t>
      </w:r>
      <w:r w:rsidRPr="00913237">
        <w:rPr>
          <w:rFonts w:ascii="Calibri" w:hAnsi="Calibri" w:cs="Calibri"/>
          <w:i/>
          <w:iCs/>
          <w:color w:val="215E99" w:themeColor="text2" w:themeTint="BF"/>
          <w:sz w:val="22"/>
          <w:szCs w:val="22"/>
        </w:rPr>
        <w:t>renda básica</w:t>
      </w:r>
      <w:r w:rsidRPr="00913237">
        <w:rPr>
          <w:rFonts w:ascii="Calibri" w:hAnsi="Calibri" w:cs="Calibri"/>
          <w:color w:val="215E99" w:themeColor="text2" w:themeTint="BF"/>
          <w:sz w:val="22"/>
          <w:szCs w:val="22"/>
        </w:rPr>
        <w:t xml:space="preserve"> a todo brasileiro em situação de vulnerabilidade social. Veja-se:</w:t>
      </w:r>
    </w:p>
    <w:p w14:paraId="7E7955A6"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Art. 6º São direitos sociais a educação, a saúde, a alimentação, o trabalho, a moradia, o transporte, o lazer, a segurança, a previdência social, a proteção à maternidade e à infância, a assistência aos desamparados, na forma desta Constituição.</w:t>
      </w:r>
      <w:r w:rsidRPr="00913237">
        <w:rPr>
          <w:rFonts w:ascii="Calibri" w:hAnsi="Calibri" w:cs="Calibri"/>
          <w:color w:val="215E99" w:themeColor="text2" w:themeTint="BF"/>
          <w:sz w:val="20"/>
          <w:szCs w:val="20"/>
        </w:rPr>
        <w:br/>
        <w:t xml:space="preserve">Parágrafo único. </w:t>
      </w:r>
      <w:r w:rsidRPr="00913237">
        <w:rPr>
          <w:rFonts w:ascii="Calibri" w:hAnsi="Calibri" w:cs="Calibri"/>
          <w:b/>
          <w:bCs/>
          <w:color w:val="215E99" w:themeColor="text2" w:themeTint="BF"/>
          <w:sz w:val="20"/>
          <w:szCs w:val="20"/>
        </w:rPr>
        <w:t xml:space="preserve">Todo brasileiro em situação de vulnerabilidade social terá direito a uma </w:t>
      </w:r>
      <w:r w:rsidRPr="00913237">
        <w:rPr>
          <w:rFonts w:ascii="Calibri" w:hAnsi="Calibri" w:cs="Calibri"/>
          <w:b/>
          <w:bCs/>
          <w:color w:val="215E99" w:themeColor="text2" w:themeTint="BF"/>
          <w:sz w:val="20"/>
          <w:szCs w:val="20"/>
          <w:u w:val="single"/>
        </w:rPr>
        <w:t>renda básica familiar</w:t>
      </w:r>
      <w:r w:rsidRPr="00913237">
        <w:rPr>
          <w:rFonts w:ascii="Calibri" w:hAnsi="Calibri" w:cs="Calibri"/>
          <w:color w:val="215E99" w:themeColor="text2" w:themeTint="BF"/>
          <w:sz w:val="20"/>
          <w:szCs w:val="20"/>
        </w:rPr>
        <w:t>,</w:t>
      </w:r>
      <w:r w:rsidRPr="00913237">
        <w:rPr>
          <w:rFonts w:ascii="Calibri" w:hAnsi="Calibri" w:cs="Calibri"/>
          <w:b/>
          <w:bCs/>
          <w:color w:val="215E99" w:themeColor="text2" w:themeTint="BF"/>
          <w:sz w:val="20"/>
          <w:szCs w:val="20"/>
        </w:rPr>
        <w:t xml:space="preserve"> garantida pelo poder público em programa permanente de transferência de renda, cujas normas e requisitos de acesso serão determinados em lei,</w:t>
      </w:r>
      <w:r w:rsidRPr="00913237">
        <w:rPr>
          <w:rFonts w:ascii="Calibri" w:hAnsi="Calibri" w:cs="Calibri"/>
          <w:color w:val="215E99" w:themeColor="text2" w:themeTint="BF"/>
          <w:sz w:val="20"/>
          <w:szCs w:val="20"/>
        </w:rPr>
        <w:t xml:space="preserve"> observada a legislação fiscal e orçamentária.</w:t>
      </w:r>
    </w:p>
    <w:p w14:paraId="0FD7C16F"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Como etapa da erradicação da fome no país, a Lei nº 14.601/2023 restabeleceu o Programa Bolsa Família e previu em seu artigo 4º, §2º, que o valor recebido a título de Benefício de Prestação Continuada por qualquer membro do grupo familiar compõe o cálculo da renda familiar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para ingresso e permanência no PBF. Veja-se: </w:t>
      </w:r>
    </w:p>
    <w:p w14:paraId="63248A2D"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Art. 4º Para fins do disposto nesta Lei, considera-se:</w:t>
      </w:r>
    </w:p>
    <w:p w14:paraId="0BD5CBCC"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23F816B8"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 2º O benefício de prestação continuada, de que trata o </w:t>
      </w:r>
      <w:hyperlink r:id="rId7" w:anchor="art20" w:history="1">
        <w:r w:rsidRPr="00913237">
          <w:rPr>
            <w:rStyle w:val="LinkdaInternet"/>
            <w:rFonts w:ascii="Calibri" w:hAnsi="Calibri" w:cs="Calibri"/>
            <w:i/>
            <w:iCs/>
            <w:color w:val="215E99" w:themeColor="text2" w:themeTint="BF"/>
            <w:sz w:val="20"/>
            <w:szCs w:val="20"/>
          </w:rPr>
          <w:t>art. 20 da Lei nº 8.742, de 7 de dezembro de 1993</w:t>
        </w:r>
      </w:hyperlink>
      <w:r w:rsidRPr="00913237">
        <w:rPr>
          <w:rFonts w:ascii="Calibri" w:hAnsi="Calibri" w:cs="Calibri"/>
          <w:i/>
          <w:iCs/>
          <w:color w:val="215E99" w:themeColor="text2" w:themeTint="BF"/>
          <w:sz w:val="20"/>
          <w:szCs w:val="20"/>
        </w:rPr>
        <w:t xml:space="preserve"> (Lei Orgânica da Assistência Social), recebido por quaisquer dos integrantes da família, </w:t>
      </w:r>
      <w:r w:rsidRPr="00913237">
        <w:rPr>
          <w:rFonts w:ascii="Calibri" w:hAnsi="Calibri" w:cs="Calibri"/>
          <w:i/>
          <w:iCs/>
          <w:color w:val="215E99" w:themeColor="text2" w:themeTint="BF"/>
          <w:sz w:val="20"/>
          <w:szCs w:val="20"/>
          <w:u w:val="single"/>
        </w:rPr>
        <w:t>compõe o cálculo da renda familiar per capita mensal</w:t>
      </w:r>
      <w:r w:rsidRPr="00913237">
        <w:rPr>
          <w:rFonts w:ascii="Calibri" w:hAnsi="Calibri" w:cs="Calibri"/>
          <w:i/>
          <w:iCs/>
          <w:color w:val="215E99" w:themeColor="text2" w:themeTint="BF"/>
          <w:sz w:val="20"/>
          <w:szCs w:val="20"/>
        </w:rPr>
        <w:t>.</w:t>
      </w:r>
    </w:p>
    <w:p w14:paraId="7F8C60DD" w14:textId="77777777" w:rsidR="00792DD5" w:rsidRPr="00913237" w:rsidRDefault="00792DD5" w:rsidP="00792DD5">
      <w:pPr>
        <w:spacing w:line="240" w:lineRule="auto"/>
        <w:jc w:val="both"/>
        <w:rPr>
          <w:rFonts w:ascii="Calibri" w:hAnsi="Calibri" w:cs="Calibri"/>
          <w:color w:val="215E99" w:themeColor="text2" w:themeTint="BF"/>
          <w:sz w:val="20"/>
          <w:szCs w:val="20"/>
        </w:rPr>
      </w:pPr>
    </w:p>
    <w:p w14:paraId="476CFE30"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Tal previsão, entretanto, viola diretamente diversos dispositivos da Constituição Federal, conforme se demonstrará a seguir.</w:t>
      </w:r>
    </w:p>
    <w:p w14:paraId="3B6053AD"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Inicialmente, afronta o artigo 6º, parágrafo único, da Constituição Federal, que estabeleceu o direito à renda básica a todos os brasileiros que estejam em situação de vulnerabilidade socioeconômica. Além disso, viola o princípio da isonomia, consagrado no artigo 5º da Constituição Federal, pois ao excluir outros benefícios assistenciais do cômputo da renda, mas incluir o BPC, cria-se uma </w:t>
      </w:r>
      <w:r w:rsidRPr="00913237">
        <w:rPr>
          <w:rFonts w:ascii="Calibri" w:hAnsi="Calibri" w:cs="Calibri"/>
          <w:b/>
          <w:bCs/>
          <w:color w:val="215E99" w:themeColor="text2" w:themeTint="BF"/>
          <w:sz w:val="22"/>
          <w:szCs w:val="22"/>
        </w:rPr>
        <w:t>distinção injustificada</w:t>
      </w:r>
      <w:r w:rsidRPr="00913237">
        <w:rPr>
          <w:rFonts w:ascii="Calibri" w:hAnsi="Calibri" w:cs="Calibri"/>
          <w:color w:val="215E99" w:themeColor="text2" w:themeTint="BF"/>
          <w:sz w:val="22"/>
          <w:szCs w:val="22"/>
        </w:rPr>
        <w:t xml:space="preserve"> entre beneficiários de diferentes programas sociais, todos em situação de vulnerabilidade. Essa diferenciação pode resultar em tratamento desigual a pessoas em condições similares de necessidade, ferindo o princípio da igualdade material.</w:t>
      </w:r>
    </w:p>
    <w:p w14:paraId="7976DE53"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dispositivo questionado fere também frontalmente os objetivos do Benefício de Prestação Continuada, previsto no artigo 203, inciso V, da CF/88, que prevê expressamente a garantia de um </w:t>
      </w:r>
      <w:proofErr w:type="gramStart"/>
      <w:r w:rsidRPr="00913237">
        <w:rPr>
          <w:rFonts w:ascii="Calibri" w:hAnsi="Calibri" w:cs="Calibri"/>
          <w:color w:val="215E99" w:themeColor="text2" w:themeTint="BF"/>
          <w:sz w:val="22"/>
          <w:szCs w:val="22"/>
        </w:rPr>
        <w:t>salário mínimo</w:t>
      </w:r>
      <w:proofErr w:type="gramEnd"/>
      <w:r w:rsidRPr="00913237">
        <w:rPr>
          <w:rFonts w:ascii="Calibri" w:hAnsi="Calibri" w:cs="Calibri"/>
          <w:color w:val="215E99" w:themeColor="text2" w:themeTint="BF"/>
          <w:sz w:val="22"/>
          <w:szCs w:val="22"/>
        </w:rPr>
        <w:t xml:space="preserve"> mensal </w:t>
      </w:r>
      <w:r w:rsidRPr="00913237">
        <w:rPr>
          <w:rFonts w:ascii="Calibri" w:hAnsi="Calibri" w:cs="Calibri"/>
          <w:b/>
          <w:bCs/>
          <w:color w:val="215E99" w:themeColor="text2" w:themeTint="BF"/>
          <w:sz w:val="22"/>
          <w:szCs w:val="22"/>
        </w:rPr>
        <w:t>à pessoa</w:t>
      </w:r>
      <w:r w:rsidRPr="00913237">
        <w:rPr>
          <w:rFonts w:ascii="Calibri" w:hAnsi="Calibri" w:cs="Calibri"/>
          <w:color w:val="215E99" w:themeColor="text2" w:themeTint="BF"/>
          <w:sz w:val="22"/>
          <w:szCs w:val="22"/>
        </w:rPr>
        <w:t xml:space="preserve"> portadora de deficiência e ao idoso, conforme regulamentado na Lei Orgânica da Assistência Social. Veja-se o texto constitucional:</w:t>
      </w:r>
    </w:p>
    <w:p w14:paraId="603C051F" w14:textId="77777777" w:rsidR="00792DD5" w:rsidRPr="00913237" w:rsidRDefault="00792DD5" w:rsidP="00792DD5">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Art. 203. A assistência social será prestada a quem dela necessitar, independentemente de contribuição à seguridade social, e tem por objetivos:</w:t>
      </w:r>
    </w:p>
    <w:p w14:paraId="799D508C" w14:textId="77777777" w:rsidR="00792DD5" w:rsidRPr="00913237" w:rsidRDefault="00792DD5" w:rsidP="00792DD5">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23280658" w14:textId="77777777" w:rsidR="00792DD5" w:rsidRPr="00913237" w:rsidRDefault="00792DD5" w:rsidP="00792DD5">
      <w:pPr>
        <w:spacing w:line="240" w:lineRule="auto"/>
        <w:ind w:left="1134"/>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V - </w:t>
      </w:r>
      <w:proofErr w:type="gramStart"/>
      <w:r w:rsidRPr="00913237">
        <w:rPr>
          <w:rFonts w:ascii="Calibri" w:hAnsi="Calibri" w:cs="Calibri"/>
          <w:i/>
          <w:iCs/>
          <w:color w:val="215E99" w:themeColor="text2" w:themeTint="BF"/>
          <w:sz w:val="20"/>
          <w:szCs w:val="20"/>
        </w:rPr>
        <w:t>a</w:t>
      </w:r>
      <w:proofErr w:type="gramEnd"/>
      <w:r w:rsidRPr="00913237">
        <w:rPr>
          <w:rFonts w:ascii="Calibri" w:hAnsi="Calibri" w:cs="Calibri"/>
          <w:i/>
          <w:iCs/>
          <w:color w:val="215E99" w:themeColor="text2" w:themeTint="BF"/>
          <w:sz w:val="20"/>
          <w:szCs w:val="20"/>
        </w:rPr>
        <w:t xml:space="preserve"> </w:t>
      </w:r>
      <w:r w:rsidRPr="00913237">
        <w:rPr>
          <w:rFonts w:ascii="Calibri" w:hAnsi="Calibri" w:cs="Calibri"/>
          <w:b/>
          <w:bCs/>
          <w:i/>
          <w:iCs/>
          <w:color w:val="215E99" w:themeColor="text2" w:themeTint="BF"/>
          <w:sz w:val="20"/>
          <w:szCs w:val="20"/>
        </w:rPr>
        <w:t>garantia de um salário mínimo de benefício mensal à pessoa portadora de deficiência e ao idoso</w:t>
      </w:r>
      <w:r w:rsidRPr="00913237">
        <w:rPr>
          <w:rFonts w:ascii="Calibri" w:hAnsi="Calibri" w:cs="Calibri"/>
          <w:i/>
          <w:iCs/>
          <w:color w:val="215E99" w:themeColor="text2" w:themeTint="BF"/>
          <w:sz w:val="20"/>
          <w:szCs w:val="20"/>
        </w:rPr>
        <w:t xml:space="preserve"> que comprovem não possuir meios de prover à própria manutenção ou de tê-la provida por sua família, conforme dispuser a lei.</w:t>
      </w:r>
    </w:p>
    <w:p w14:paraId="51881EA2" w14:textId="77777777" w:rsidR="00792DD5" w:rsidRDefault="00792DD5" w:rsidP="00792DD5">
      <w:pPr>
        <w:ind w:firstLine="708"/>
        <w:jc w:val="both"/>
        <w:rPr>
          <w:rFonts w:ascii="Calibri" w:hAnsi="Calibri" w:cs="Calibri"/>
          <w:color w:val="215E99" w:themeColor="text2" w:themeTint="BF"/>
          <w:sz w:val="22"/>
          <w:szCs w:val="22"/>
        </w:rPr>
      </w:pPr>
    </w:p>
    <w:p w14:paraId="6E0BFD52" w14:textId="06720304"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Da leitura do artigo 203, V, da </w:t>
      </w:r>
      <w:r>
        <w:rPr>
          <w:rFonts w:ascii="Calibri" w:hAnsi="Calibri" w:cs="Calibri"/>
          <w:color w:val="215E99" w:themeColor="text2" w:themeTint="BF"/>
          <w:sz w:val="22"/>
          <w:szCs w:val="22"/>
        </w:rPr>
        <w:t>CF/88,</w:t>
      </w:r>
      <w:r w:rsidRPr="00913237">
        <w:rPr>
          <w:rFonts w:ascii="Calibri" w:hAnsi="Calibri" w:cs="Calibri"/>
          <w:color w:val="215E99" w:themeColor="text2" w:themeTint="BF"/>
          <w:sz w:val="22"/>
          <w:szCs w:val="22"/>
        </w:rPr>
        <w:t xml:space="preserve"> depreende-se que o valor do benefício assistencial é atribuído tão somente à pessoa – </w:t>
      </w:r>
      <w:r w:rsidRPr="00913237">
        <w:rPr>
          <w:rFonts w:ascii="Calibri" w:hAnsi="Calibri" w:cs="Calibri"/>
          <w:b/>
          <w:bCs/>
          <w:color w:val="215E99" w:themeColor="text2" w:themeTint="BF"/>
          <w:sz w:val="22"/>
          <w:szCs w:val="22"/>
          <w:u w:val="single"/>
        </w:rPr>
        <w:t>não se estendendo ao seu núcleo familiar</w:t>
      </w:r>
      <w:r w:rsidRPr="00913237">
        <w:rPr>
          <w:rFonts w:ascii="Calibri" w:hAnsi="Calibri" w:cs="Calibri"/>
          <w:color w:val="215E99" w:themeColor="text2" w:themeTint="BF"/>
          <w:sz w:val="22"/>
          <w:szCs w:val="22"/>
        </w:rPr>
        <w:t xml:space="preserve"> – quando esta estiver enquadrada nas hipóteses legais, revelando a sua </w:t>
      </w:r>
      <w:r w:rsidRPr="00913237">
        <w:rPr>
          <w:rFonts w:ascii="Calibri" w:hAnsi="Calibri" w:cs="Calibri"/>
          <w:b/>
          <w:bCs/>
          <w:color w:val="215E99" w:themeColor="text2" w:themeTint="BF"/>
          <w:sz w:val="22"/>
          <w:szCs w:val="22"/>
        </w:rPr>
        <w:t xml:space="preserve">natureza personalíssima e estritamente atrelada </w:t>
      </w:r>
      <w:r w:rsidR="002C7E5E">
        <w:rPr>
          <w:rFonts w:ascii="Calibri" w:hAnsi="Calibri" w:cs="Calibri"/>
          <w:b/>
          <w:bCs/>
          <w:color w:val="215E99" w:themeColor="text2" w:themeTint="BF"/>
          <w:sz w:val="22"/>
          <w:szCs w:val="22"/>
        </w:rPr>
        <w:t>a</w:t>
      </w:r>
      <w:r w:rsidRPr="00913237">
        <w:rPr>
          <w:rFonts w:ascii="Calibri" w:hAnsi="Calibri" w:cs="Calibri"/>
          <w:b/>
          <w:bCs/>
          <w:color w:val="215E99" w:themeColor="text2" w:themeTint="BF"/>
          <w:sz w:val="22"/>
          <w:szCs w:val="22"/>
        </w:rPr>
        <w:t>o beneficiário</w:t>
      </w:r>
      <w:r w:rsidRPr="00913237">
        <w:rPr>
          <w:rFonts w:ascii="Calibri" w:hAnsi="Calibri" w:cs="Calibri"/>
          <w:color w:val="215E99" w:themeColor="text2" w:themeTint="BF"/>
          <w:sz w:val="22"/>
          <w:szCs w:val="22"/>
        </w:rPr>
        <w:t>. Contabilizar este benefício personalíssimo como renda familiar é, em último grau, ignorar a norma constitucional e tornar obrigatória, na prática, a divisão do benefício</w:t>
      </w:r>
      <w:r>
        <w:rPr>
          <w:rFonts w:ascii="Calibri" w:hAnsi="Calibri" w:cs="Calibri"/>
          <w:color w:val="215E99" w:themeColor="text2" w:themeTint="BF"/>
          <w:sz w:val="22"/>
          <w:szCs w:val="22"/>
        </w:rPr>
        <w:t xml:space="preserve"> personalíssimo</w:t>
      </w:r>
      <w:r w:rsidRPr="00913237">
        <w:rPr>
          <w:rFonts w:ascii="Calibri" w:hAnsi="Calibri" w:cs="Calibri"/>
          <w:color w:val="215E99" w:themeColor="text2" w:themeTint="BF"/>
          <w:sz w:val="22"/>
          <w:szCs w:val="22"/>
        </w:rPr>
        <w:t xml:space="preserve"> entre os membros da família da pessoa </w:t>
      </w:r>
      <w:r w:rsidR="000C4F79">
        <w:rPr>
          <w:rFonts w:ascii="Calibri" w:hAnsi="Calibri" w:cs="Calibri"/>
          <w:color w:val="215E99" w:themeColor="text2" w:themeTint="BF"/>
          <w:sz w:val="22"/>
          <w:szCs w:val="22"/>
        </w:rPr>
        <w:t>idosa</w:t>
      </w:r>
      <w:r w:rsidRPr="00913237">
        <w:rPr>
          <w:rFonts w:ascii="Calibri" w:hAnsi="Calibri" w:cs="Calibri"/>
          <w:color w:val="215E99" w:themeColor="text2" w:themeTint="BF"/>
          <w:sz w:val="22"/>
          <w:szCs w:val="22"/>
        </w:rPr>
        <w:t xml:space="preserve"> em razão da vulnerabilidade econômica existente.</w:t>
      </w:r>
    </w:p>
    <w:p w14:paraId="5D023623"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Ao considerar o BPC como renda familiar, desconsidera-se sua finalidade específica e individual, potencialmente privando outros membros da família do acesso a programas complementares de assistência social, como o Programa Bolsa Família.</w:t>
      </w:r>
    </w:p>
    <w:p w14:paraId="38E3C697"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Outrossim, reconhecendo que se trata de benefício </w:t>
      </w:r>
      <w:r w:rsidRPr="00913237">
        <w:rPr>
          <w:rFonts w:ascii="Calibri" w:hAnsi="Calibri" w:cs="Calibri"/>
          <w:b/>
          <w:bCs/>
          <w:color w:val="215E99" w:themeColor="text2" w:themeTint="BF"/>
          <w:sz w:val="22"/>
          <w:szCs w:val="22"/>
        </w:rPr>
        <w:t>personalíssimo,</w:t>
      </w:r>
      <w:r w:rsidRPr="00913237">
        <w:rPr>
          <w:rFonts w:ascii="Calibri" w:hAnsi="Calibri" w:cs="Calibri"/>
          <w:color w:val="215E99" w:themeColor="text2" w:themeTint="BF"/>
          <w:sz w:val="22"/>
          <w:szCs w:val="22"/>
        </w:rPr>
        <w:t xml:space="preserve"> o legislador estabeleceu, anteriormente, que o BPC recebido por um idoso não pode ser computado como renda familiar para concessão de BPC para outro idoso, conforme disposição expressa do</w:t>
      </w:r>
      <w:r w:rsidRPr="00913237">
        <w:rPr>
          <w:rFonts w:ascii="Calibri" w:hAnsi="Calibri" w:cs="Calibri"/>
          <w:b/>
          <w:bCs/>
          <w:color w:val="215E99" w:themeColor="text2" w:themeTint="BF"/>
          <w:sz w:val="22"/>
          <w:szCs w:val="22"/>
        </w:rPr>
        <w:t xml:space="preserve"> </w:t>
      </w:r>
      <w:r w:rsidRPr="00913237">
        <w:rPr>
          <w:rFonts w:ascii="Calibri" w:hAnsi="Calibri" w:cs="Calibri"/>
          <w:color w:val="215E99" w:themeColor="text2" w:themeTint="BF"/>
          <w:sz w:val="22"/>
          <w:szCs w:val="22"/>
        </w:rPr>
        <w:t>Estatuto do Idoso. Vejamos:</w:t>
      </w:r>
    </w:p>
    <w:p w14:paraId="15465B96"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Art. 34. Às pessoas idosas, a partir de 65 (sessenta e cinco) anos, que não possuam meios para prover sua subsistência, nem de tê-la provida por sua família, é assegurado o benefício mensal de 1 (um) </w:t>
      </w:r>
      <w:proofErr w:type="gramStart"/>
      <w:r w:rsidRPr="00913237">
        <w:rPr>
          <w:rFonts w:ascii="Calibri" w:hAnsi="Calibri" w:cs="Calibri"/>
          <w:i/>
          <w:iCs/>
          <w:color w:val="215E99" w:themeColor="text2" w:themeTint="BF"/>
          <w:sz w:val="20"/>
          <w:szCs w:val="20"/>
        </w:rPr>
        <w:t>salário mínimo</w:t>
      </w:r>
      <w:proofErr w:type="gramEnd"/>
      <w:r w:rsidRPr="00913237">
        <w:rPr>
          <w:rFonts w:ascii="Calibri" w:hAnsi="Calibri" w:cs="Calibri"/>
          <w:i/>
          <w:iCs/>
          <w:color w:val="215E99" w:themeColor="text2" w:themeTint="BF"/>
          <w:sz w:val="20"/>
          <w:szCs w:val="20"/>
        </w:rPr>
        <w:t>, nos termos da Loas. (Vide Decreto nº 6.214, de 2007) (Redação dada pela Lei nº 14.423, de 2022)</w:t>
      </w:r>
    </w:p>
    <w:p w14:paraId="47343CF8" w14:textId="77777777" w:rsidR="00792DD5" w:rsidRPr="00913237" w:rsidRDefault="00792DD5" w:rsidP="00792DD5">
      <w:pPr>
        <w:spacing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Parágrafo único. O </w:t>
      </w:r>
      <w:r w:rsidRPr="00913237">
        <w:rPr>
          <w:rFonts w:ascii="Calibri" w:hAnsi="Calibri" w:cs="Calibri"/>
          <w:b/>
          <w:bCs/>
          <w:i/>
          <w:iCs/>
          <w:color w:val="215E99" w:themeColor="text2" w:themeTint="BF"/>
          <w:sz w:val="20"/>
          <w:szCs w:val="20"/>
        </w:rPr>
        <w:t>benefício já concedido a qualquer membro da família</w:t>
      </w:r>
      <w:r w:rsidRPr="00913237">
        <w:rPr>
          <w:rFonts w:ascii="Calibri" w:hAnsi="Calibri" w:cs="Calibri"/>
          <w:i/>
          <w:iCs/>
          <w:color w:val="215E99" w:themeColor="text2" w:themeTint="BF"/>
          <w:sz w:val="20"/>
          <w:szCs w:val="20"/>
        </w:rPr>
        <w:t xml:space="preserve"> nos termos do caput </w:t>
      </w:r>
      <w:r w:rsidRPr="00913237">
        <w:rPr>
          <w:rFonts w:ascii="Calibri" w:hAnsi="Calibri" w:cs="Calibri"/>
          <w:b/>
          <w:bCs/>
          <w:i/>
          <w:iCs/>
          <w:color w:val="215E99" w:themeColor="text2" w:themeTint="BF"/>
          <w:sz w:val="20"/>
          <w:szCs w:val="20"/>
        </w:rPr>
        <w:t>não será computado para os fins do cálculo da renda familiar per capita</w:t>
      </w:r>
      <w:r w:rsidRPr="00913237">
        <w:rPr>
          <w:rFonts w:ascii="Calibri" w:hAnsi="Calibri" w:cs="Calibri"/>
          <w:i/>
          <w:iCs/>
          <w:color w:val="215E99" w:themeColor="text2" w:themeTint="BF"/>
          <w:sz w:val="20"/>
          <w:szCs w:val="20"/>
        </w:rPr>
        <w:t xml:space="preserve"> a que se refere a Loas.</w:t>
      </w:r>
    </w:p>
    <w:p w14:paraId="3A13C7C4" w14:textId="77777777" w:rsidR="00792DD5" w:rsidRDefault="00792DD5" w:rsidP="00792DD5">
      <w:pPr>
        <w:ind w:firstLine="708"/>
        <w:jc w:val="both"/>
        <w:rPr>
          <w:rFonts w:ascii="Calibri" w:hAnsi="Calibri" w:cs="Calibri"/>
          <w:color w:val="215E99" w:themeColor="text2" w:themeTint="BF"/>
          <w:sz w:val="22"/>
          <w:szCs w:val="22"/>
        </w:rPr>
      </w:pPr>
    </w:p>
    <w:p w14:paraId="23E38398"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Ao editar o referido dispositivo, o legislador reconheceu a exacerbada vulnerabilidade dos núcleos familiares que contam com mais de uma pessoa idosa e que são aptos a receber o BPC, de forma que o recebimento do BPC por um dos idosos não interfira no cálculo de renda familiar para que outro idoso receba o mesmo benefício, evidenciando o caráter personalíssimo que se discute.</w:t>
      </w:r>
    </w:p>
    <w:p w14:paraId="6A3C2C71"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Supremo Tribunal Federal (STF) conferiu interpretação extensiva ao dispositivo transcrito no julgamento do </w:t>
      </w:r>
      <w:r w:rsidRPr="00913237">
        <w:rPr>
          <w:rFonts w:ascii="Calibri" w:hAnsi="Calibri" w:cs="Calibri"/>
          <w:b/>
          <w:bCs/>
          <w:color w:val="215E99" w:themeColor="text2" w:themeTint="BF"/>
          <w:sz w:val="22"/>
          <w:szCs w:val="22"/>
        </w:rPr>
        <w:t>Tema nº 312 de Repercussão Geral</w:t>
      </w:r>
      <w:r w:rsidRPr="00913237">
        <w:rPr>
          <w:rFonts w:ascii="Calibri" w:hAnsi="Calibri" w:cs="Calibri"/>
          <w:color w:val="215E99" w:themeColor="text2" w:themeTint="BF"/>
          <w:sz w:val="22"/>
          <w:szCs w:val="22"/>
        </w:rPr>
        <w:t xml:space="preserve"> (</w:t>
      </w:r>
      <w:r w:rsidRPr="00913237">
        <w:rPr>
          <w:rFonts w:ascii="Calibri" w:hAnsi="Calibri" w:cs="Calibri"/>
          <w:b/>
          <w:bCs/>
          <w:color w:val="215E99" w:themeColor="text2" w:themeTint="BF"/>
          <w:sz w:val="22"/>
          <w:szCs w:val="22"/>
        </w:rPr>
        <w:t>RE nº 580.963)</w:t>
      </w:r>
      <w:r w:rsidRPr="00913237">
        <w:rPr>
          <w:rFonts w:ascii="Calibri" w:hAnsi="Calibri" w:cs="Calibri"/>
          <w:color w:val="215E99" w:themeColor="text2" w:themeTint="BF"/>
          <w:sz w:val="22"/>
          <w:szCs w:val="22"/>
        </w:rPr>
        <w:t xml:space="preserve">. Neste precedente vinculante, o STF reconheceu possibilidade de esse dispositivo produzir efeitos para os benefícios previdenciários e assistenciais de até um </w:t>
      </w:r>
      <w:proofErr w:type="gramStart"/>
      <w:r w:rsidRPr="00913237">
        <w:rPr>
          <w:rFonts w:ascii="Calibri" w:hAnsi="Calibri" w:cs="Calibri"/>
          <w:color w:val="215E99" w:themeColor="text2" w:themeTint="BF"/>
          <w:sz w:val="22"/>
          <w:szCs w:val="22"/>
        </w:rPr>
        <w:t>salário mínimo</w:t>
      </w:r>
      <w:proofErr w:type="gramEnd"/>
      <w:r w:rsidRPr="00913237">
        <w:rPr>
          <w:rFonts w:ascii="Calibri" w:hAnsi="Calibri" w:cs="Calibri"/>
          <w:color w:val="215E99" w:themeColor="text2" w:themeTint="BF"/>
          <w:sz w:val="22"/>
          <w:szCs w:val="22"/>
        </w:rPr>
        <w:t>, fundado na isonomia que deve nortear a aplicação desta norma, sob o risco de proceder com um tratamento de cunho discriminatório. Este entendimento restou reproduzido e consolidado, também, na jurisprudência do STJ (REsp nº 1.832.289/PE).</w:t>
      </w:r>
    </w:p>
    <w:p w14:paraId="2181DD2B"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Como se vê, </w:t>
      </w:r>
      <w:r w:rsidRPr="00913237">
        <w:rPr>
          <w:rFonts w:ascii="Calibri" w:hAnsi="Calibri" w:cs="Calibri"/>
          <w:b/>
          <w:bCs/>
          <w:color w:val="215E99" w:themeColor="text2" w:themeTint="BF"/>
          <w:sz w:val="22"/>
          <w:szCs w:val="22"/>
        </w:rPr>
        <w:t xml:space="preserve">a aplicação direta do artigo 4º, § 2º, da Lei 14.601/2023 traz uma incongruência na proteção dos direitos sociais e viola a igualdade material, pois a família estava incluída no PBF e, por ter entre os membros uma pessoa com deficiência ou idosa que faz jus ao BPC (de caráter personalíssimo e intransferível), foi excluída do Programa de transferência de renda. </w:t>
      </w:r>
    </w:p>
    <w:p w14:paraId="0E0E869A" w14:textId="7089C7FE"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No caso concreto, </w:t>
      </w:r>
      <w:r w:rsidRPr="00913237">
        <w:rPr>
          <w:rFonts w:ascii="Calibri" w:hAnsi="Calibri" w:cs="Calibri"/>
          <w:b/>
          <w:bCs/>
          <w:color w:val="215E99" w:themeColor="text2" w:themeTint="BF"/>
          <w:sz w:val="22"/>
          <w:szCs w:val="22"/>
        </w:rPr>
        <w:t xml:space="preserve">além do prejuízo para o grupo familiar, que ficou sem a renda básica, o membro </w:t>
      </w:r>
      <w:r w:rsidR="00066E9C">
        <w:rPr>
          <w:rFonts w:ascii="Calibri" w:hAnsi="Calibri" w:cs="Calibri"/>
          <w:b/>
          <w:bCs/>
          <w:color w:val="215E99" w:themeColor="text2" w:themeTint="BF"/>
          <w:sz w:val="22"/>
          <w:szCs w:val="22"/>
        </w:rPr>
        <w:t xml:space="preserve">idoso </w:t>
      </w:r>
      <w:r w:rsidRPr="00913237">
        <w:rPr>
          <w:rFonts w:ascii="Calibri" w:hAnsi="Calibri" w:cs="Calibri"/>
          <w:b/>
          <w:bCs/>
          <w:color w:val="215E99" w:themeColor="text2" w:themeTint="BF"/>
          <w:sz w:val="22"/>
          <w:szCs w:val="22"/>
        </w:rPr>
        <w:t xml:space="preserve">é também prejudicado, pois inevitavelmente terá parte do seu benefício no valor de um </w:t>
      </w:r>
      <w:proofErr w:type="gramStart"/>
      <w:r w:rsidRPr="00913237">
        <w:rPr>
          <w:rFonts w:ascii="Calibri" w:hAnsi="Calibri" w:cs="Calibri"/>
          <w:b/>
          <w:bCs/>
          <w:color w:val="215E99" w:themeColor="text2" w:themeTint="BF"/>
          <w:sz w:val="22"/>
          <w:szCs w:val="22"/>
        </w:rPr>
        <w:t>salário mínimo</w:t>
      </w:r>
      <w:proofErr w:type="gramEnd"/>
      <w:r w:rsidRPr="00913237">
        <w:rPr>
          <w:rFonts w:ascii="Calibri" w:hAnsi="Calibri" w:cs="Calibri"/>
          <w:b/>
          <w:bCs/>
          <w:color w:val="215E99" w:themeColor="text2" w:themeTint="BF"/>
          <w:sz w:val="22"/>
          <w:szCs w:val="22"/>
        </w:rPr>
        <w:t xml:space="preserve"> destinada à manutenção dos demais membros do grupo familiar.</w:t>
      </w:r>
      <w:r w:rsidRPr="00913237">
        <w:rPr>
          <w:rFonts w:ascii="Calibri" w:hAnsi="Calibri" w:cs="Calibri"/>
          <w:color w:val="215E99" w:themeColor="text2" w:themeTint="BF"/>
          <w:sz w:val="22"/>
          <w:szCs w:val="22"/>
        </w:rPr>
        <w:t xml:space="preserve"> </w:t>
      </w:r>
    </w:p>
    <w:p w14:paraId="5E4E7C76"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De fato, caso prevaleça o entendimento de que o BPC possui caráter de renda familiar, haverá necessidade de renúncia de parcela significativa dos valores pagos ao beneficiário, promovendo a integração deste </w:t>
      </w:r>
      <w:r w:rsidRPr="00913237">
        <w:rPr>
          <w:rFonts w:ascii="Calibri" w:hAnsi="Calibri" w:cs="Calibri"/>
          <w:i/>
          <w:iCs/>
          <w:color w:val="215E99" w:themeColor="text2" w:themeTint="BF"/>
          <w:sz w:val="22"/>
          <w:szCs w:val="22"/>
        </w:rPr>
        <w:t>quantum</w:t>
      </w:r>
      <w:r w:rsidRPr="00913237">
        <w:rPr>
          <w:rFonts w:ascii="Calibri" w:hAnsi="Calibri" w:cs="Calibri"/>
          <w:color w:val="215E99" w:themeColor="text2" w:themeTint="BF"/>
          <w:sz w:val="22"/>
          <w:szCs w:val="22"/>
        </w:rPr>
        <w:t xml:space="preserve"> ao orçamento familiar, comprometendo o desenvolvimento da pessoa com deficiência ou idosa pela destinação do valor ao grupo em detrimento do titular. Haverá, pois, uma maior vulnerabilidade socioeconômica em contraposição ao objetivo constante do art. 203, VI, da CF/88.</w:t>
      </w:r>
    </w:p>
    <w:p w14:paraId="0409B5C1"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Em suma, a aplicação literal do artigo 4º, § 2º, da Lei 14.601/23 acarreta evidente prejuízo para a família que, apesar de se enquadrar em situação de vulnerabilidade social e possuir renda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inferior a R$ 218,00 (art. 5º, II, da Lei nº 14.601/23) terá suprimido o direito ao recebimento da renda básica quando possuir algum integrante portador de deficiência ou idoso com direito ao BPC. Da mesma forma, causa prejuízo ao próprio beneficiário, que não poderá ver o seu benefício de valor mínimo destinado a suprir suas necessidades especiais.</w:t>
      </w:r>
    </w:p>
    <w:p w14:paraId="038E5C66" w14:textId="77777777" w:rsidR="00792DD5" w:rsidRPr="00913237" w:rsidRDefault="00792DD5" w:rsidP="00792DD5">
      <w:pPr>
        <w:ind w:firstLine="708"/>
        <w:jc w:val="both"/>
        <w:rPr>
          <w:rFonts w:ascii="Calibri" w:hAnsi="Calibri" w:cs="Calibri"/>
          <w:b/>
          <w:bCs/>
          <w:color w:val="215E99" w:themeColor="text2" w:themeTint="BF"/>
          <w:sz w:val="22"/>
          <w:szCs w:val="22"/>
        </w:rPr>
      </w:pPr>
      <w:r w:rsidRPr="00913237">
        <w:rPr>
          <w:rFonts w:ascii="Calibri" w:hAnsi="Calibri" w:cs="Calibri"/>
          <w:b/>
          <w:bCs/>
          <w:color w:val="215E99" w:themeColor="text2" w:themeTint="BF"/>
          <w:sz w:val="22"/>
          <w:szCs w:val="22"/>
        </w:rPr>
        <w:t xml:space="preserve">Ao assim proceder, viola-se, ao mesmo tempo, o direito à renda básica cidadania, à isonomia e o direito à assistência social, previstos nos artigos 6º, 5º, </w:t>
      </w:r>
      <w:r w:rsidRPr="00913237">
        <w:rPr>
          <w:rFonts w:ascii="Calibri" w:hAnsi="Calibri" w:cs="Calibri"/>
          <w:b/>
          <w:bCs/>
          <w:i/>
          <w:iCs/>
          <w:color w:val="215E99" w:themeColor="text2" w:themeTint="BF"/>
          <w:sz w:val="22"/>
          <w:szCs w:val="22"/>
        </w:rPr>
        <w:t xml:space="preserve">caput, </w:t>
      </w:r>
      <w:r w:rsidRPr="00913237">
        <w:rPr>
          <w:rFonts w:ascii="Calibri" w:hAnsi="Calibri" w:cs="Calibri"/>
          <w:b/>
          <w:bCs/>
          <w:color w:val="215E99" w:themeColor="text2" w:themeTint="BF"/>
          <w:sz w:val="22"/>
          <w:szCs w:val="22"/>
        </w:rPr>
        <w:t>I, e 203, V e VI, todos da Constituição Federal.</w:t>
      </w:r>
    </w:p>
    <w:p w14:paraId="077B59C6"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b/>
          <w:bCs/>
          <w:color w:val="215E99" w:themeColor="text2" w:themeTint="BF"/>
          <w:sz w:val="22"/>
          <w:szCs w:val="22"/>
        </w:rPr>
        <w:t xml:space="preserve">Ora, </w:t>
      </w:r>
      <w:r w:rsidRPr="00913237">
        <w:rPr>
          <w:rFonts w:ascii="Calibri" w:hAnsi="Calibri" w:cs="Calibri"/>
          <w:b/>
          <w:bCs/>
          <w:color w:val="215E99" w:themeColor="text2" w:themeTint="BF"/>
          <w:sz w:val="22"/>
          <w:szCs w:val="22"/>
          <w:u w:val="single"/>
        </w:rPr>
        <w:t>se o referido Tema 312 do STF estabelece que os benefícios (assistenciais ou previdenciários) recebidos por outro membro componente do núcleo familiar não devem ser contabilizados como renda familiar mensal para a concessão de BPC, pelos mesmos critérios de isonomia e proteção aos direitos sociais utilizados no RE 580.963 é que se deve estender tal entendimento ao Programa Bolsa Família</w:t>
      </w:r>
      <w:r w:rsidRPr="00913237">
        <w:rPr>
          <w:rFonts w:ascii="Calibri" w:hAnsi="Calibri" w:cs="Calibri"/>
          <w:b/>
          <w:bCs/>
          <w:color w:val="215E99" w:themeColor="text2" w:themeTint="BF"/>
          <w:sz w:val="22"/>
          <w:szCs w:val="22"/>
        </w:rPr>
        <w:t>.</w:t>
      </w:r>
      <w:r w:rsidRPr="00913237">
        <w:rPr>
          <w:rFonts w:ascii="Calibri" w:hAnsi="Calibri" w:cs="Calibri"/>
          <w:color w:val="215E99" w:themeColor="text2" w:themeTint="BF"/>
          <w:sz w:val="22"/>
          <w:szCs w:val="22"/>
        </w:rPr>
        <w:t> </w:t>
      </w:r>
    </w:p>
    <w:p w14:paraId="222FB48F"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Inclusive, recentemente, foram proferidas decisões judiciais – tanto liminares quanto sentenças de mérito transitadas em julgado – que afastaram o cômputo do BPC para o cálculo da renda familiar do PBF. Foi reconhecida a inconstitucionalidade incidental do dispositivo legal em comento (artigo 4º, §2º, da Lei nº 14.601/23), prevalecendo as disposições presentes na Constituição:</w:t>
      </w:r>
    </w:p>
    <w:p w14:paraId="1B2E8B32" w14:textId="77777777" w:rsidR="00792DD5" w:rsidRPr="00913237" w:rsidRDefault="00792DD5" w:rsidP="00792DD5">
      <w:pPr>
        <w:pStyle w:val="Corpodetexto"/>
        <w:spacing w:line="240" w:lineRule="auto"/>
        <w:ind w:left="851"/>
        <w:jc w:val="both"/>
        <w:rPr>
          <w:rFonts w:ascii="Calibri" w:hAnsi="Calibri" w:cs="Calibri"/>
          <w:color w:val="215E99" w:themeColor="text2" w:themeTint="BF"/>
          <w:sz w:val="20"/>
          <w:szCs w:val="20"/>
        </w:rPr>
      </w:pPr>
      <w:bookmarkStart w:id="0" w:name="docs-internal-guid-0b876def-7fff-47b3-17"/>
      <w:bookmarkEnd w:id="0"/>
      <w:r w:rsidRPr="00913237">
        <w:rPr>
          <w:rFonts w:ascii="Calibri" w:hAnsi="Calibri" w:cs="Calibri"/>
          <w:b/>
          <w:i/>
          <w:iCs/>
          <w:color w:val="215E99" w:themeColor="text2" w:themeTint="BF"/>
          <w:sz w:val="20"/>
          <w:szCs w:val="20"/>
          <w:u w:val="single"/>
        </w:rPr>
        <w:t>Processo nº 5004681-10.2023.4.04.7101, 2ª Vara Federal da Seção Judiciária do Rio Grande do Sul</w:t>
      </w:r>
    </w:p>
    <w:p w14:paraId="639ECE4F"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“Ou seja, </w:t>
      </w:r>
      <w:r w:rsidRPr="00913237">
        <w:rPr>
          <w:rFonts w:ascii="Calibri" w:hAnsi="Calibri" w:cs="Calibri"/>
          <w:b/>
          <w:i/>
          <w:iCs/>
          <w:color w:val="215E99" w:themeColor="text2" w:themeTint="BF"/>
          <w:sz w:val="20"/>
          <w:szCs w:val="20"/>
        </w:rPr>
        <w:t>pode-se dizer que está diante de um paradoxo: o benefício de prestação continuada faz parte do cálculo da renda familiar do Bolsa Família, mas o Bolsa Família não faz do cálculo da renda familiar do benefício de prestação continuada.</w:t>
      </w:r>
    </w:p>
    <w:p w14:paraId="5E5DA209"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De um lado, o §4º do art. 20 da Lei nº 8.742/93, na redação que lhe foi dada pela Lei nº 14.601/2023, confere proteção jurídica adequada tanto àqueles a quem destinado o benefício de prestação continuada, quanto àqueles a quem destinado o Bolsa Família.</w:t>
      </w:r>
    </w:p>
    <w:p w14:paraId="491E1E58"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De outro, o art. 4º, §2º, da Lei 14.601/2023, realiza exatamente o contrário: confere proteção jurídica deficiente tanto àqueles a quem destinado o benefício de prestação continuada, quanto àqueles a quem destinado o Bolsa Família</w:t>
      </w:r>
    </w:p>
    <w:p w14:paraId="237EDF1A"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E tudo realizado pelo mesmo diploma legal (a Lei 14.601/2023).</w:t>
      </w:r>
    </w:p>
    <w:p w14:paraId="5541A6B6"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u w:val="single"/>
        </w:rPr>
      </w:pPr>
      <w:r w:rsidRPr="00913237">
        <w:rPr>
          <w:rFonts w:ascii="Calibri" w:hAnsi="Calibri" w:cs="Calibri"/>
          <w:i/>
          <w:iCs/>
          <w:color w:val="215E99" w:themeColor="text2" w:themeTint="BF"/>
          <w:sz w:val="20"/>
          <w:szCs w:val="20"/>
          <w:u w:val="single"/>
        </w:rPr>
        <w:t xml:space="preserve">Tenho que, para o caso concreto, </w:t>
      </w:r>
      <w:r w:rsidRPr="00913237">
        <w:rPr>
          <w:rFonts w:ascii="Calibri" w:hAnsi="Calibri" w:cs="Calibri"/>
          <w:b/>
          <w:i/>
          <w:iCs/>
          <w:color w:val="215E99" w:themeColor="text2" w:themeTint="BF"/>
          <w:sz w:val="20"/>
          <w:szCs w:val="20"/>
          <w:u w:val="single"/>
        </w:rPr>
        <w:t>deva ser empregado o raciocínio jurídico exposto pelo Supremo Tribunal Federal (STF) ao julgar o Recurso Extraordinário 580.963/PR.</w:t>
      </w:r>
    </w:p>
    <w:p w14:paraId="52A56BC8"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2F24C56D"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 xml:space="preserve">Em face desse julgado, no cálculo da renda familiar per capita, passou a ser excluído o valor auferido por idoso, com 65 anos ou mais, a título de benefício de prestação continuada ou de benefício previdenciário de renda mínima (ou de benefício previdenciário de valor superior ao mínimo, até o limite de um </w:t>
      </w:r>
      <w:proofErr w:type="gramStart"/>
      <w:r w:rsidRPr="00913237">
        <w:rPr>
          <w:rFonts w:ascii="Calibri" w:hAnsi="Calibri" w:cs="Calibri"/>
          <w:b/>
          <w:i/>
          <w:iCs/>
          <w:color w:val="215E99" w:themeColor="text2" w:themeTint="BF"/>
          <w:sz w:val="20"/>
          <w:szCs w:val="20"/>
        </w:rPr>
        <w:t>salário mínimo</w:t>
      </w:r>
      <w:proofErr w:type="gramEnd"/>
      <w:r w:rsidRPr="00913237">
        <w:rPr>
          <w:rFonts w:ascii="Calibri" w:hAnsi="Calibri" w:cs="Calibri"/>
          <w:b/>
          <w:i/>
          <w:iCs/>
          <w:color w:val="215E99" w:themeColor="text2" w:themeTint="BF"/>
          <w:sz w:val="20"/>
          <w:szCs w:val="20"/>
        </w:rPr>
        <w:t>), bem como o valor auferido a título de benefício por incapacidade ou assistencial em razão de deficiência, independentemente de idade.</w:t>
      </w:r>
      <w:r w:rsidRPr="00913237">
        <w:rPr>
          <w:rFonts w:ascii="Calibri" w:hAnsi="Calibri" w:cs="Calibri"/>
          <w:i/>
          <w:iCs/>
          <w:color w:val="215E99" w:themeColor="text2" w:themeTint="BF"/>
          <w:sz w:val="20"/>
          <w:szCs w:val="20"/>
        </w:rPr>
        <w:t> </w:t>
      </w:r>
    </w:p>
    <w:p w14:paraId="30B6C469"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Aqui, também tal fenômeno discriminatório e de proteção deficiente se faz presente, merecendo o mesmo encaminhamento jurídico conferido pelo STF.</w:t>
      </w:r>
    </w:p>
    <w:p w14:paraId="6E99B381"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t xml:space="preserve">O art. 4º, § 2º, da Lei 14.601/2023, indo de encontro à norma também estabelecida nesse diploma legal (como visto), gera proteção jurídica deficiente tanto àqueles a quem destinado o benefício de prestação continuada, quanto àqueles a quem destinado o Bolsa Família. De um lado, pelo prisma daquele que recebe o benefício de prestação continuada, pressupõe que os valores recebidos de forma personalíssima sejam utilizados para o sustento de todo o grupo familiar; de outro, pelo prisma daquele que teria direito ao Bolsa Família, alija-o </w:t>
      </w:r>
      <w:proofErr w:type="spellStart"/>
      <w:r w:rsidRPr="00913237">
        <w:rPr>
          <w:rFonts w:ascii="Calibri" w:hAnsi="Calibri" w:cs="Calibri"/>
          <w:b/>
          <w:i/>
          <w:iCs/>
          <w:color w:val="215E99" w:themeColor="text2" w:themeTint="BF"/>
          <w:sz w:val="20"/>
          <w:szCs w:val="20"/>
        </w:rPr>
        <w:t>complementamente</w:t>
      </w:r>
      <w:proofErr w:type="spellEnd"/>
      <w:r w:rsidRPr="00913237">
        <w:rPr>
          <w:rFonts w:ascii="Calibri" w:hAnsi="Calibri" w:cs="Calibri"/>
          <w:b/>
          <w:i/>
          <w:iCs/>
          <w:color w:val="215E99" w:themeColor="text2" w:themeTint="BF"/>
          <w:sz w:val="20"/>
          <w:szCs w:val="20"/>
        </w:rPr>
        <w:t xml:space="preserve"> da política pública social.</w:t>
      </w:r>
    </w:p>
    <w:p w14:paraId="19884105"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u w:val="single"/>
        </w:rPr>
        <w:t>Portanto, art. 4º, § 2º, da Lei 14.601/2023, pela grave proteção deficiente que engendra, acaba por violar os princípios constitucionais da dignidade da pessoa humana e da isonomia, menosprezando o caráter de essencialidade de que se revestem os benefícios de valor mínimo e o direito de acesso às políticas públicas sociais, inclusive sendo antinômico e contraditório à proteção legal-constitucional dada</w:t>
      </w:r>
      <w:r w:rsidRPr="00913237">
        <w:rPr>
          <w:rFonts w:ascii="Calibri" w:hAnsi="Calibri" w:cs="Calibri"/>
          <w:b/>
          <w:i/>
          <w:iCs/>
          <w:color w:val="215E99" w:themeColor="text2" w:themeTint="BF"/>
          <w:sz w:val="20"/>
          <w:szCs w:val="20"/>
        </w:rPr>
        <w:t>, no mesmo diploma legal, aos benefícios de prestação continuada (estatuída na forma do § 4º do art. 20 da Lei nº 8.742/93, na redação que lhe foi dada pela Lei 14.601/2023).</w:t>
      </w:r>
    </w:p>
    <w:p w14:paraId="1B3318B0" w14:textId="77777777" w:rsidR="00792DD5" w:rsidRDefault="00792DD5" w:rsidP="00792DD5">
      <w:pPr>
        <w:pStyle w:val="Corpodetexto"/>
        <w:spacing w:before="280" w:after="280" w:line="240" w:lineRule="auto"/>
        <w:ind w:left="851"/>
        <w:jc w:val="both"/>
        <w:rPr>
          <w:rFonts w:ascii="Calibri" w:hAnsi="Calibri" w:cs="Calibri"/>
          <w:i/>
          <w:iCs/>
          <w:color w:val="215E99" w:themeColor="text2" w:themeTint="BF"/>
          <w:sz w:val="20"/>
          <w:szCs w:val="20"/>
        </w:rPr>
      </w:pPr>
      <w:r w:rsidRPr="00913237">
        <w:rPr>
          <w:rFonts w:ascii="Calibri" w:hAnsi="Calibri" w:cs="Calibri"/>
          <w:i/>
          <w:iCs/>
          <w:color w:val="215E99" w:themeColor="text2" w:themeTint="BF"/>
          <w:sz w:val="20"/>
          <w:szCs w:val="20"/>
        </w:rPr>
        <w:lastRenderedPageBreak/>
        <w:t xml:space="preserve">Portanto, </w:t>
      </w:r>
      <w:r w:rsidRPr="00913237">
        <w:rPr>
          <w:rFonts w:ascii="Calibri" w:hAnsi="Calibri" w:cs="Calibri"/>
          <w:b/>
          <w:i/>
          <w:iCs/>
          <w:color w:val="215E99" w:themeColor="text2" w:themeTint="BF"/>
          <w:sz w:val="20"/>
          <w:szCs w:val="20"/>
        </w:rPr>
        <w:t>afastando por inconstitucionalidade o art. 4º, § 2º, da Lei 14.601/2023</w:t>
      </w:r>
      <w:r w:rsidRPr="00913237">
        <w:rPr>
          <w:rFonts w:ascii="Calibri" w:hAnsi="Calibri" w:cs="Calibri"/>
          <w:i/>
          <w:iCs/>
          <w:color w:val="215E99" w:themeColor="text2" w:themeTint="BF"/>
          <w:sz w:val="20"/>
          <w:szCs w:val="20"/>
        </w:rPr>
        <w:t>, a demanda deve ser julgada procedente.”</w:t>
      </w:r>
    </w:p>
    <w:p w14:paraId="1246D070" w14:textId="77777777" w:rsidR="00792DD5" w:rsidRPr="00913237" w:rsidRDefault="00792DD5" w:rsidP="00792DD5">
      <w:pPr>
        <w:pStyle w:val="Corpodetexto"/>
        <w:spacing w:before="280" w:after="280" w:line="240" w:lineRule="auto"/>
        <w:ind w:left="851"/>
        <w:jc w:val="both"/>
        <w:rPr>
          <w:rFonts w:ascii="Calibri" w:hAnsi="Calibri" w:cs="Calibri"/>
          <w:i/>
          <w:iCs/>
          <w:color w:val="215E99" w:themeColor="text2" w:themeTint="BF"/>
          <w:sz w:val="20"/>
          <w:szCs w:val="20"/>
        </w:rPr>
      </w:pPr>
    </w:p>
    <w:p w14:paraId="41B70A84" w14:textId="77777777" w:rsidR="00792DD5" w:rsidRPr="00913237" w:rsidRDefault="00792DD5" w:rsidP="00792DD5">
      <w:pPr>
        <w:pStyle w:val="Corpodetexto"/>
        <w:spacing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u w:val="single"/>
        </w:rPr>
        <w:t>Processo nº 0003232-76.2023.4.05.8200, 3ª Vara Federal da Seção Judiciária da Paraíba</w:t>
      </w:r>
    </w:p>
    <w:p w14:paraId="261B3BC7"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“Dessa forma, </w:t>
      </w:r>
      <w:r w:rsidRPr="00913237">
        <w:rPr>
          <w:rFonts w:ascii="Calibri" w:hAnsi="Calibri" w:cs="Calibri"/>
          <w:b/>
          <w:i/>
          <w:iCs/>
          <w:color w:val="215E99" w:themeColor="text2" w:themeTint="BF"/>
          <w:sz w:val="20"/>
          <w:szCs w:val="20"/>
          <w:u w:val="single"/>
        </w:rPr>
        <w:t>a inclusão do BPC na renda mensal do Bolsa Família pode ser considerada inconstitucional por contrariar os princípios da universalidade e da exclusividade da assistência social previstos na Constituição Federal. Além disso, a inclusão do BPC na renda mensal do Bolsa Família pode resultar em uma redução dos valores recebidos pelos beneficiários, prejudicando aqueles que mais precisam do benefício. </w:t>
      </w:r>
    </w:p>
    <w:p w14:paraId="7DD10241"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565063F5"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Em sendo assim, </w:t>
      </w:r>
      <w:r w:rsidRPr="00913237">
        <w:rPr>
          <w:rFonts w:ascii="Calibri" w:hAnsi="Calibri" w:cs="Calibri"/>
          <w:bCs/>
          <w:i/>
          <w:iCs/>
          <w:color w:val="215E99" w:themeColor="text2" w:themeTint="BF"/>
          <w:sz w:val="20"/>
          <w:szCs w:val="20"/>
          <w:u w:val="single"/>
        </w:rPr>
        <w:t>é pacífico que o BPC de um salário-mínimo recebido por idosos – ou pessoas com deficiências, ante a isonomia garantida e a vedação da discriminação injustificada – não devem integrar na renda mensal per capita da família para cálculo de recebimento de benefício distinto</w:t>
      </w:r>
      <w:r w:rsidRPr="00913237">
        <w:rPr>
          <w:rFonts w:ascii="Calibri" w:hAnsi="Calibri" w:cs="Calibri"/>
          <w:i/>
          <w:iCs/>
          <w:color w:val="215E99" w:themeColor="text2" w:themeTint="BF"/>
          <w:sz w:val="20"/>
          <w:szCs w:val="20"/>
        </w:rPr>
        <w:t xml:space="preserve">. O </w:t>
      </w:r>
      <w:proofErr w:type="spellStart"/>
      <w:r w:rsidRPr="00913237">
        <w:rPr>
          <w:rFonts w:ascii="Calibri" w:hAnsi="Calibri" w:cs="Calibri"/>
          <w:i/>
          <w:iCs/>
          <w:color w:val="215E99" w:themeColor="text2" w:themeTint="BF"/>
          <w:sz w:val="20"/>
          <w:szCs w:val="20"/>
        </w:rPr>
        <w:t>rationale</w:t>
      </w:r>
      <w:proofErr w:type="spellEnd"/>
      <w:r w:rsidRPr="00913237">
        <w:rPr>
          <w:rFonts w:ascii="Calibri" w:hAnsi="Calibri" w:cs="Calibri"/>
          <w:i/>
          <w:iCs/>
          <w:color w:val="215E99" w:themeColor="text2" w:themeTint="BF"/>
          <w:sz w:val="20"/>
          <w:szCs w:val="20"/>
        </w:rPr>
        <w:t xml:space="preserve"> da jurisprudência exposta, a qual </w:t>
      </w:r>
      <w:proofErr w:type="spellStart"/>
      <w:r w:rsidRPr="00913237">
        <w:rPr>
          <w:rFonts w:ascii="Calibri" w:hAnsi="Calibri" w:cs="Calibri"/>
          <w:i/>
          <w:iCs/>
          <w:color w:val="215E99" w:themeColor="text2" w:themeTint="BF"/>
          <w:sz w:val="20"/>
          <w:szCs w:val="20"/>
        </w:rPr>
        <w:t>esta</w:t>
      </w:r>
      <w:proofErr w:type="spellEnd"/>
      <w:r w:rsidRPr="00913237">
        <w:rPr>
          <w:rFonts w:ascii="Calibri" w:hAnsi="Calibri" w:cs="Calibri"/>
          <w:i/>
          <w:iCs/>
          <w:color w:val="215E99" w:themeColor="text2" w:themeTint="BF"/>
          <w:sz w:val="20"/>
          <w:szCs w:val="20"/>
        </w:rPr>
        <w:t xml:space="preserve"> magistrada se filia, é justamente que o auxílio se destina a sanar o risco social de vulnerabilidade em que a pessoa naquela condição (idoso ou pessoa com deficiência) se encontra. </w:t>
      </w:r>
    </w:p>
    <w:p w14:paraId="6517A104"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É dizer que </w:t>
      </w:r>
      <w:r w:rsidRPr="00913237">
        <w:rPr>
          <w:rFonts w:ascii="Calibri" w:hAnsi="Calibri" w:cs="Calibri"/>
          <w:i/>
          <w:iCs/>
          <w:color w:val="215E99" w:themeColor="text2" w:themeTint="BF"/>
          <w:sz w:val="20"/>
          <w:szCs w:val="20"/>
          <w:u w:val="single"/>
        </w:rPr>
        <w:t>cada benefício visa a atender um objetivo específico da assistência social: no caso do BPC, o inciso V do Art. 203 da CRFB/88; já no caso do Bolsa Família, o inciso VI do mesmo comando constitucional</w:t>
      </w:r>
      <w:r w:rsidRPr="00913237">
        <w:rPr>
          <w:rFonts w:ascii="Calibri" w:hAnsi="Calibri" w:cs="Calibri"/>
          <w:i/>
          <w:iCs/>
          <w:color w:val="215E99" w:themeColor="text2" w:themeTint="BF"/>
          <w:sz w:val="20"/>
          <w:szCs w:val="20"/>
        </w:rPr>
        <w:t>. Logo, não poderia a percepção do BPC obstar o recebimento de benefício com objetivo diverso, inclusive sob pena de afrontar princípio da assistência social, alhures apontado, consagrado na LOAS (Art. 4º, II). </w:t>
      </w:r>
    </w:p>
    <w:p w14:paraId="56890FB0"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632BA8BB"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Ora, </w:t>
      </w:r>
      <w:r w:rsidRPr="00913237">
        <w:rPr>
          <w:rFonts w:ascii="Calibri" w:hAnsi="Calibri" w:cs="Calibri"/>
          <w:b/>
          <w:i/>
          <w:iCs/>
          <w:color w:val="215E99" w:themeColor="text2" w:themeTint="BF"/>
          <w:sz w:val="20"/>
          <w:szCs w:val="20"/>
          <w:u w:val="single"/>
        </w:rPr>
        <w:t>se o Bolsa Família não deve ser computado na renda mensal familiar para fins de recebimento do BPC, a recíproca deve ser verdadeira sob o mesmo fundamento lógico. Até porque o pensamento contrário implica em discriminação injustificada entre as famílias alvo da assistência social por motivos distintos, ferindo-se o princípio da isonomia.</w:t>
      </w:r>
      <w:r w:rsidRPr="00913237">
        <w:rPr>
          <w:rFonts w:ascii="Calibri" w:hAnsi="Calibri" w:cs="Calibri"/>
          <w:i/>
          <w:iCs/>
          <w:color w:val="215E99" w:themeColor="text2" w:themeTint="BF"/>
          <w:sz w:val="20"/>
          <w:szCs w:val="20"/>
        </w:rPr>
        <w:t> </w:t>
      </w:r>
    </w:p>
    <w:p w14:paraId="1CF4E6F3"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Dessa forma, </w:t>
      </w:r>
      <w:r w:rsidRPr="00913237">
        <w:rPr>
          <w:rFonts w:ascii="Calibri" w:hAnsi="Calibri" w:cs="Calibri"/>
          <w:b/>
          <w:i/>
          <w:iCs/>
          <w:color w:val="215E99" w:themeColor="text2" w:themeTint="BF"/>
          <w:sz w:val="20"/>
          <w:szCs w:val="20"/>
        </w:rPr>
        <w:t>considerando a hermenêutica teleológica e sistemática aplicada e a fim de preservar os direitos garantidos pela Constituição Federal e pela LOAS às pessoas idosas e com deficiência e às famílias em situação de pobreza que necessitam de assistência social, deve ser excluído da renda familiar per capita mensal, para fins de Bolsa Família, o BPC que porventura receba algum membro familiar.</w:t>
      </w:r>
      <w:r w:rsidRPr="00913237">
        <w:rPr>
          <w:rFonts w:ascii="Calibri" w:hAnsi="Calibri" w:cs="Calibri"/>
          <w:i/>
          <w:iCs/>
          <w:color w:val="215E99" w:themeColor="text2" w:themeTint="BF"/>
          <w:sz w:val="20"/>
          <w:szCs w:val="20"/>
        </w:rPr>
        <w:t> </w:t>
      </w:r>
    </w:p>
    <w:p w14:paraId="7A4CCA05"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w:t>
      </w:r>
    </w:p>
    <w:p w14:paraId="6EEF2889"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Todavia, consonante já asseverado, </w:t>
      </w:r>
      <w:r w:rsidRPr="00913237">
        <w:rPr>
          <w:rFonts w:ascii="Calibri" w:hAnsi="Calibri" w:cs="Calibri"/>
          <w:b/>
          <w:i/>
          <w:iCs/>
          <w:color w:val="215E99" w:themeColor="text2" w:themeTint="BF"/>
          <w:sz w:val="20"/>
          <w:szCs w:val="20"/>
          <w:u w:val="single"/>
        </w:rPr>
        <w:t>o BPC deve ser excluído do cômputo da renda familiar per capita mensal para auferir o Bolsa Família</w:t>
      </w:r>
      <w:r w:rsidRPr="00913237">
        <w:rPr>
          <w:rFonts w:ascii="Calibri" w:hAnsi="Calibri" w:cs="Calibri"/>
          <w:i/>
          <w:iCs/>
          <w:color w:val="215E99" w:themeColor="text2" w:themeTint="BF"/>
          <w:sz w:val="20"/>
          <w:szCs w:val="20"/>
        </w:rPr>
        <w:t>. Sendo assim, diante da inexistência de outros fatores impeditivos, enxergo a probabilidade do direito invocado. </w:t>
      </w:r>
    </w:p>
    <w:p w14:paraId="67F30062"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No que toca ao perigo da demora, também </w:t>
      </w:r>
      <w:proofErr w:type="gramStart"/>
      <w:r w:rsidRPr="00913237">
        <w:rPr>
          <w:rFonts w:ascii="Calibri" w:hAnsi="Calibri" w:cs="Calibri"/>
          <w:i/>
          <w:iCs/>
          <w:color w:val="215E99" w:themeColor="text2" w:themeTint="BF"/>
          <w:sz w:val="20"/>
          <w:szCs w:val="20"/>
        </w:rPr>
        <w:t>entendo-o</w:t>
      </w:r>
      <w:proofErr w:type="gramEnd"/>
      <w:r w:rsidRPr="00913237">
        <w:rPr>
          <w:rFonts w:ascii="Calibri" w:hAnsi="Calibri" w:cs="Calibri"/>
          <w:i/>
          <w:iCs/>
          <w:color w:val="215E99" w:themeColor="text2" w:themeTint="BF"/>
          <w:sz w:val="20"/>
          <w:szCs w:val="20"/>
        </w:rPr>
        <w:t xml:space="preserve"> presente, tendo em vista a natureza urgente do pleito, que </w:t>
      </w:r>
      <w:r w:rsidRPr="00913237">
        <w:rPr>
          <w:rFonts w:ascii="Calibri" w:hAnsi="Calibri" w:cs="Calibri"/>
          <w:b/>
          <w:i/>
          <w:iCs/>
          <w:color w:val="215E99" w:themeColor="text2" w:themeTint="BF"/>
          <w:sz w:val="20"/>
          <w:szCs w:val="20"/>
        </w:rPr>
        <w:t>envolve pagamento de verba alimentar de família que se encontra em vulnerabilidade social.</w:t>
      </w:r>
      <w:r w:rsidRPr="00913237">
        <w:rPr>
          <w:rFonts w:ascii="Calibri" w:hAnsi="Calibri" w:cs="Calibri"/>
          <w:i/>
          <w:iCs/>
          <w:color w:val="215E99" w:themeColor="text2" w:themeTint="BF"/>
          <w:sz w:val="20"/>
          <w:szCs w:val="20"/>
        </w:rPr>
        <w:t> </w:t>
      </w:r>
    </w:p>
    <w:p w14:paraId="7062B01A"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Isto posto, DEFIRO o pedido de tutela de urgência para determinar à União que restabeleça, no prazo de 15 (quinze) dias, o benefício assistencial de transferência de renda (Bolsa Família) em favor da parte autora, (...)</w:t>
      </w:r>
    </w:p>
    <w:p w14:paraId="150AC2FE"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b/>
          <w:i/>
          <w:iCs/>
          <w:color w:val="215E99" w:themeColor="text2" w:themeTint="BF"/>
          <w:sz w:val="20"/>
          <w:szCs w:val="20"/>
        </w:rPr>
        <w:lastRenderedPageBreak/>
        <w:t xml:space="preserve">Não tendo ocorrido qualquer fato, argumento, modificação legislativa ou jurisprudencial superveniente a justificar alteração dos fundamentos esgrimidos na decisão que apreciou a medida de urgência, </w:t>
      </w:r>
      <w:proofErr w:type="gramStart"/>
      <w:r w:rsidRPr="00913237">
        <w:rPr>
          <w:rFonts w:ascii="Calibri" w:hAnsi="Calibri" w:cs="Calibri"/>
          <w:b/>
          <w:i/>
          <w:iCs/>
          <w:color w:val="215E99" w:themeColor="text2" w:themeTint="BF"/>
          <w:sz w:val="20"/>
          <w:szCs w:val="20"/>
        </w:rPr>
        <w:t>mantenho o mesmo</w:t>
      </w:r>
      <w:proofErr w:type="gramEnd"/>
      <w:r w:rsidRPr="00913237">
        <w:rPr>
          <w:rFonts w:ascii="Calibri" w:hAnsi="Calibri" w:cs="Calibri"/>
          <w:b/>
          <w:i/>
          <w:iCs/>
          <w:color w:val="215E99" w:themeColor="text2" w:themeTint="BF"/>
          <w:sz w:val="20"/>
          <w:szCs w:val="20"/>
        </w:rPr>
        <w:t xml:space="preserve"> entendimento</w:t>
      </w:r>
      <w:r w:rsidRPr="00913237">
        <w:rPr>
          <w:rFonts w:ascii="Calibri" w:hAnsi="Calibri" w:cs="Calibri"/>
          <w:i/>
          <w:iCs/>
          <w:color w:val="215E99" w:themeColor="text2" w:themeTint="BF"/>
          <w:sz w:val="20"/>
          <w:szCs w:val="20"/>
        </w:rPr>
        <w:t>. </w:t>
      </w:r>
    </w:p>
    <w:p w14:paraId="58E75354" w14:textId="77777777" w:rsidR="00792DD5" w:rsidRPr="00913237" w:rsidRDefault="00792DD5" w:rsidP="00792DD5">
      <w:pPr>
        <w:pStyle w:val="Corpodetexto"/>
        <w:spacing w:before="280" w:after="280" w:line="240" w:lineRule="auto"/>
        <w:ind w:left="851"/>
        <w:jc w:val="both"/>
        <w:rPr>
          <w:rFonts w:ascii="Calibri" w:hAnsi="Calibri" w:cs="Calibri"/>
          <w:color w:val="215E99" w:themeColor="text2" w:themeTint="BF"/>
          <w:sz w:val="20"/>
          <w:szCs w:val="20"/>
        </w:rPr>
      </w:pPr>
      <w:r w:rsidRPr="00913237">
        <w:rPr>
          <w:rFonts w:ascii="Calibri" w:hAnsi="Calibri" w:cs="Calibri"/>
          <w:i/>
          <w:iCs/>
          <w:color w:val="215E99" w:themeColor="text2" w:themeTint="BF"/>
          <w:sz w:val="20"/>
          <w:szCs w:val="20"/>
        </w:rPr>
        <w:t xml:space="preserve">Isto posto, </w:t>
      </w:r>
      <w:r w:rsidRPr="00913237">
        <w:rPr>
          <w:rFonts w:ascii="Calibri" w:hAnsi="Calibri" w:cs="Calibri"/>
          <w:b/>
          <w:i/>
          <w:iCs/>
          <w:color w:val="215E99" w:themeColor="text2" w:themeTint="BF"/>
          <w:sz w:val="20"/>
          <w:szCs w:val="20"/>
          <w:u w:val="single"/>
        </w:rPr>
        <w:t xml:space="preserve">confirmo a tutela de urgência e julgo procedente o pedido para determinar que a UNIÃO restabeleça o benefício de transferência de renda da autora, vinculado ao Programa Auxílio Brasil, previsto na Lei nº 14.284/2021, que sucedeu o programa Bolsa Família, </w:t>
      </w:r>
      <w:proofErr w:type="spellStart"/>
      <w:r w:rsidRPr="00913237">
        <w:rPr>
          <w:rFonts w:ascii="Calibri" w:hAnsi="Calibri" w:cs="Calibri"/>
          <w:b/>
          <w:i/>
          <w:iCs/>
          <w:color w:val="215E99" w:themeColor="text2" w:themeTint="BF"/>
          <w:sz w:val="20"/>
          <w:szCs w:val="20"/>
          <w:u w:val="single"/>
        </w:rPr>
        <w:t>abstendose</w:t>
      </w:r>
      <w:proofErr w:type="spellEnd"/>
      <w:r w:rsidRPr="00913237">
        <w:rPr>
          <w:rFonts w:ascii="Calibri" w:hAnsi="Calibri" w:cs="Calibri"/>
          <w:b/>
          <w:i/>
          <w:iCs/>
          <w:color w:val="215E99" w:themeColor="text2" w:themeTint="BF"/>
          <w:sz w:val="20"/>
          <w:szCs w:val="20"/>
          <w:u w:val="single"/>
        </w:rPr>
        <w:t xml:space="preserve"> de incluir os valores percebidos a título de Benefício Assistencial de Prestação Continuada (BPC/LOAS) no cômputo da renda per capita familiar do referido núcleo registrado no </w:t>
      </w:r>
      <w:proofErr w:type="spellStart"/>
      <w:r w:rsidRPr="00913237">
        <w:rPr>
          <w:rFonts w:ascii="Calibri" w:hAnsi="Calibri" w:cs="Calibri"/>
          <w:b/>
          <w:i/>
          <w:iCs/>
          <w:color w:val="215E99" w:themeColor="text2" w:themeTint="BF"/>
          <w:sz w:val="20"/>
          <w:szCs w:val="20"/>
          <w:u w:val="single"/>
        </w:rPr>
        <w:t>CadÚnico</w:t>
      </w:r>
      <w:proofErr w:type="spellEnd"/>
      <w:r w:rsidRPr="00913237">
        <w:rPr>
          <w:rFonts w:ascii="Calibri" w:hAnsi="Calibri" w:cs="Calibri"/>
          <w:i/>
          <w:iCs/>
          <w:color w:val="215E99" w:themeColor="text2" w:themeTint="BF"/>
          <w:sz w:val="20"/>
          <w:szCs w:val="20"/>
        </w:rPr>
        <w:t>.” </w:t>
      </w:r>
    </w:p>
    <w:p w14:paraId="3D749B2D" w14:textId="77777777" w:rsidR="00792DD5" w:rsidRPr="00913237" w:rsidRDefault="00792DD5" w:rsidP="00792DD5">
      <w:pPr>
        <w:spacing w:beforeAutospacing="1" w:afterAutospacing="1"/>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Por fim, importante ressaltar a decisão do Supremo Tribunal Federal nos autos do </w:t>
      </w:r>
      <w:r w:rsidRPr="00913237">
        <w:rPr>
          <w:rFonts w:ascii="Calibri" w:hAnsi="Calibri" w:cs="Calibri"/>
          <w:b/>
          <w:bCs/>
          <w:color w:val="215E99" w:themeColor="text2" w:themeTint="BF"/>
          <w:sz w:val="22"/>
          <w:szCs w:val="22"/>
        </w:rPr>
        <w:t>Mandado de Injunção nº 7.300/DF</w:t>
      </w:r>
      <w:r w:rsidRPr="00913237">
        <w:rPr>
          <w:rFonts w:ascii="Calibri" w:hAnsi="Calibri" w:cs="Calibri"/>
          <w:color w:val="215E99" w:themeColor="text2" w:themeTint="BF"/>
          <w:sz w:val="22"/>
          <w:szCs w:val="22"/>
        </w:rPr>
        <w:t>, ajuizado pela Defensoria Pública da União, que determinou a ampliação do escopo do PBF, rejeitando o retrocesso no combate à pobreza. Na ocasião, buscou-se tutelar o direito fundamental à renda básica de cidadania, disciplinada na Lei nº 10.835/04:</w:t>
      </w:r>
    </w:p>
    <w:p w14:paraId="3D71E923" w14:textId="77777777" w:rsidR="00792DD5" w:rsidRPr="00913237" w:rsidRDefault="00792DD5" w:rsidP="00792DD5">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Art. 1º É instituída, a partir de 2005, a </w:t>
      </w:r>
      <w:r w:rsidRPr="00913237">
        <w:rPr>
          <w:rFonts w:ascii="Calibri" w:hAnsi="Calibri" w:cs="Calibri"/>
          <w:b/>
          <w:bCs/>
          <w:color w:val="215E99" w:themeColor="text2" w:themeTint="BF"/>
          <w:sz w:val="20"/>
          <w:szCs w:val="20"/>
          <w:u w:val="single"/>
        </w:rPr>
        <w:t>renda básica de cidadania</w:t>
      </w:r>
      <w:r w:rsidRPr="00913237">
        <w:rPr>
          <w:rFonts w:ascii="Calibri" w:hAnsi="Calibri" w:cs="Calibri"/>
          <w:color w:val="215E99" w:themeColor="text2" w:themeTint="BF"/>
          <w:sz w:val="20"/>
          <w:szCs w:val="20"/>
        </w:rPr>
        <w:t>, que se constituirá no direito de todos os brasileiros residentes no País e estrangeiros residentes há pelo menos 5 (cinco) anos no Brasil, não importando sua condição socioeconômica, receberem, anualmente, um benefício monetário.</w:t>
      </w:r>
    </w:p>
    <w:p w14:paraId="5609AABF" w14:textId="77777777" w:rsidR="00792DD5" w:rsidRPr="00913237" w:rsidRDefault="00792DD5" w:rsidP="00792DD5">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 1º A abrangência mencionada no caput deste artigo deverá ser alcançada em etapas, a critério do Poder Executivo, </w:t>
      </w:r>
      <w:r w:rsidRPr="00913237">
        <w:rPr>
          <w:rFonts w:ascii="Calibri" w:hAnsi="Calibri" w:cs="Calibri"/>
          <w:b/>
          <w:bCs/>
          <w:color w:val="215E99" w:themeColor="text2" w:themeTint="BF"/>
          <w:sz w:val="20"/>
          <w:szCs w:val="20"/>
          <w:u w:val="single"/>
        </w:rPr>
        <w:t>priorizando-se as camadas mais necessitadas da população.</w:t>
      </w:r>
    </w:p>
    <w:p w14:paraId="4BE842B8" w14:textId="77777777" w:rsidR="00792DD5" w:rsidRPr="00913237" w:rsidRDefault="00792DD5" w:rsidP="00792DD5">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xml:space="preserve">§ 2º O pagamento do benefício deverá ser de igual valor para todos, e </w:t>
      </w:r>
      <w:r w:rsidRPr="00913237">
        <w:rPr>
          <w:rFonts w:ascii="Calibri" w:hAnsi="Calibri" w:cs="Calibri"/>
          <w:b/>
          <w:bCs/>
          <w:color w:val="215E99" w:themeColor="text2" w:themeTint="BF"/>
          <w:sz w:val="20"/>
          <w:szCs w:val="20"/>
        </w:rPr>
        <w:t>suficiente para atender às despesas mínimas de cada pessoa com alimentação, educação e saúde, considerando para isso o grau de desenvolvimento do País</w:t>
      </w:r>
      <w:r w:rsidRPr="00913237">
        <w:rPr>
          <w:rFonts w:ascii="Calibri" w:hAnsi="Calibri" w:cs="Calibri"/>
          <w:color w:val="215E99" w:themeColor="text2" w:themeTint="BF"/>
          <w:sz w:val="20"/>
          <w:szCs w:val="20"/>
        </w:rPr>
        <w:t xml:space="preserve"> e as possibilidades orçamentárias.</w:t>
      </w:r>
    </w:p>
    <w:p w14:paraId="285464D0" w14:textId="77777777" w:rsidR="00792DD5" w:rsidRPr="00913237" w:rsidRDefault="00792DD5" w:rsidP="00792DD5">
      <w:pPr>
        <w:spacing w:after="0" w:line="240" w:lineRule="auto"/>
        <w:ind w:left="851"/>
        <w:jc w:val="both"/>
        <w:rPr>
          <w:rFonts w:ascii="Calibri" w:hAnsi="Calibri" w:cs="Calibri"/>
          <w:color w:val="215E99" w:themeColor="text2" w:themeTint="BF"/>
          <w:sz w:val="20"/>
          <w:szCs w:val="20"/>
        </w:rPr>
      </w:pPr>
      <w:r w:rsidRPr="00913237">
        <w:rPr>
          <w:rFonts w:ascii="Calibri" w:hAnsi="Calibri" w:cs="Calibri"/>
          <w:color w:val="215E99" w:themeColor="text2" w:themeTint="BF"/>
          <w:sz w:val="20"/>
          <w:szCs w:val="20"/>
        </w:rPr>
        <w:t>§ 3º O pagamento deste benefício poderá ser feito em parcelas iguais e mensais.</w:t>
      </w:r>
    </w:p>
    <w:p w14:paraId="48AC3C7B" w14:textId="77777777" w:rsidR="00792DD5" w:rsidRPr="00913237" w:rsidRDefault="00792DD5" w:rsidP="00792DD5">
      <w:pPr>
        <w:spacing w:beforeAutospacing="1" w:afterAutospacing="1"/>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O Plenário do STF julgou parcialmente procedente o Mandado de Injunção 7.300 e reconheceu que houve omissão na regulamentação do benefício, previsto na Lei 10.835/2004. </w:t>
      </w:r>
      <w:r w:rsidRPr="00913237">
        <w:rPr>
          <w:rFonts w:ascii="Calibri" w:hAnsi="Calibri" w:cs="Calibri"/>
          <w:b/>
          <w:bCs/>
          <w:color w:val="215E99" w:themeColor="text2" w:themeTint="BF"/>
          <w:sz w:val="22"/>
          <w:szCs w:val="22"/>
        </w:rPr>
        <w:t xml:space="preserve">O STF consagrou no referido julgamento o entendimento de que o combate à pobreza não admite retrocesso social e limitações injustificáveis que acarretem proteção insuficiente ao direito fundamental de uma vida digna. </w:t>
      </w:r>
      <w:r w:rsidRPr="00913237">
        <w:rPr>
          <w:rFonts w:ascii="Calibri" w:hAnsi="Calibri" w:cs="Calibri"/>
          <w:color w:val="215E99" w:themeColor="text2" w:themeTint="BF"/>
          <w:sz w:val="22"/>
          <w:szCs w:val="22"/>
        </w:rPr>
        <w:t>A tutela insuficiente não se configura apenas quando o Estado nada faz para atingir dado objetivo para o qual deva envidar esforços, mas também quando os instrumentos de tutela existentes não se afiguram aptos a garantir o exercício de direitos e liberdades fundamentais, como é a hipótese dos autos.</w:t>
      </w:r>
    </w:p>
    <w:p w14:paraId="12990803"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III.2. DA SUPERAÇÃO DO TEMA Nº 296 DA TNU SOB A ÓTICA CONSTITUCIONAL</w:t>
      </w:r>
    </w:p>
    <w:p w14:paraId="13D51FF4"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presente ação funda-se na declaração incidental de inconstitucionalidade do artigo 4º, § 2º, da Lei nº 14.601/23, bem como na superação do precedente firmado pela Turma Nacional de Uniformização dos Juizados Especiais Federais no Tema nº 296. </w:t>
      </w:r>
    </w:p>
    <w:p w14:paraId="72378457"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Sabe-se que o Programa Auxílio Brasil (PAB), substituiu o Programa Bolsa Família, por meio da Lei nº 14.284/2021. O artigo 3º, §2º, II da referida lei previa que o valor recebido a título de BPC por um dos membros do grupo familiar deveria ser computado no cálculo da renda familiar para fins de elegibilidade no PAB.</w:t>
      </w:r>
      <w:r>
        <w:rPr>
          <w:rFonts w:ascii="Calibri" w:hAnsi="Calibri" w:cs="Calibri"/>
          <w:color w:val="215E99" w:themeColor="text2" w:themeTint="BF"/>
          <w:sz w:val="22"/>
          <w:szCs w:val="22"/>
        </w:rPr>
        <w:t xml:space="preserve"> </w:t>
      </w:r>
      <w:r w:rsidRPr="00913237">
        <w:rPr>
          <w:rFonts w:ascii="Calibri" w:hAnsi="Calibri" w:cs="Calibri"/>
          <w:color w:val="215E99" w:themeColor="text2" w:themeTint="BF"/>
          <w:sz w:val="22"/>
          <w:szCs w:val="22"/>
        </w:rPr>
        <w:t xml:space="preserve">No cenário normativo da Lei nº 14.284/2021, a Turma Nacional de Uniformização dos Juizados Especiais Federais fixou a seguinte tese no Tema nº 296: </w:t>
      </w:r>
      <w:r w:rsidRPr="00913237">
        <w:rPr>
          <w:rFonts w:ascii="Calibri" w:hAnsi="Calibri" w:cs="Calibri"/>
          <w:i/>
          <w:iCs/>
          <w:color w:val="215E99" w:themeColor="text2" w:themeTint="BF"/>
          <w:sz w:val="22"/>
          <w:szCs w:val="22"/>
        </w:rPr>
        <w:t>“O BPC/LOAS (idoso ou deficiente) integra os conceitos de renda familiar mensal e renda familiar per capita para fins de aferição dos critérios de acesso ao programa Bolsa-família.”</w:t>
      </w:r>
      <w:r w:rsidRPr="00913237">
        <w:rPr>
          <w:rFonts w:ascii="Calibri" w:hAnsi="Calibri" w:cs="Calibri"/>
          <w:color w:val="215E99" w:themeColor="text2" w:themeTint="BF"/>
          <w:sz w:val="22"/>
          <w:szCs w:val="22"/>
        </w:rPr>
        <w:t xml:space="preserve"> </w:t>
      </w:r>
    </w:p>
    <w:p w14:paraId="56DD005B" w14:textId="77777777" w:rsidR="00792DD5" w:rsidRPr="00913237" w:rsidRDefault="00792DD5" w:rsidP="00792DD5">
      <w:pPr>
        <w:ind w:firstLine="708"/>
        <w:jc w:val="both"/>
        <w:rPr>
          <w:rFonts w:ascii="Calibri" w:hAnsi="Calibri" w:cs="Calibri"/>
          <w:color w:val="215E99" w:themeColor="text2" w:themeTint="BF"/>
          <w:sz w:val="22"/>
          <w:szCs w:val="22"/>
          <w:u w:val="single"/>
        </w:rPr>
      </w:pPr>
      <w:r w:rsidRPr="00913237">
        <w:rPr>
          <w:rFonts w:ascii="Calibri" w:hAnsi="Calibri" w:cs="Calibri"/>
          <w:b/>
          <w:bCs/>
          <w:color w:val="215E99" w:themeColor="text2" w:themeTint="BF"/>
          <w:sz w:val="22"/>
          <w:szCs w:val="22"/>
          <w:u w:val="single"/>
        </w:rPr>
        <w:lastRenderedPageBreak/>
        <w:t>Deve-se ressaltar que a análise da TNU, naquela ocasião, deu-se sob o prisma de eventual (i)legalidade, tendo em vista faltar-lhe competência para declarar com eficácia vinculante a (in)constitucionalidade do dispositivo da Lei nº 14.284/2021</w:t>
      </w:r>
      <w:r w:rsidRPr="00913237">
        <w:rPr>
          <w:rFonts w:ascii="Calibri" w:hAnsi="Calibri" w:cs="Calibri"/>
          <w:color w:val="215E99" w:themeColor="text2" w:themeTint="BF"/>
          <w:sz w:val="22"/>
          <w:szCs w:val="22"/>
          <w:u w:val="single"/>
        </w:rPr>
        <w:t xml:space="preserve">. </w:t>
      </w:r>
      <w:r w:rsidRPr="00913237">
        <w:rPr>
          <w:rFonts w:ascii="Calibri" w:hAnsi="Calibri" w:cs="Calibri"/>
          <w:b/>
          <w:bCs/>
          <w:color w:val="215E99" w:themeColor="text2" w:themeTint="BF"/>
          <w:sz w:val="22"/>
          <w:szCs w:val="22"/>
          <w:u w:val="single"/>
        </w:rPr>
        <w:t>Além de tal precedente encontrar-se em descompasso com a ordem constitucional, conforme exposto no item anterior, a Lei nº 14.284/2021 foi revogada pela Lei nº 14.601/2023, que (</w:t>
      </w:r>
      <w:proofErr w:type="spellStart"/>
      <w:r w:rsidRPr="00913237">
        <w:rPr>
          <w:rFonts w:ascii="Calibri" w:hAnsi="Calibri" w:cs="Calibri"/>
          <w:b/>
          <w:bCs/>
          <w:color w:val="215E99" w:themeColor="text2" w:themeTint="BF"/>
          <w:sz w:val="22"/>
          <w:szCs w:val="22"/>
          <w:u w:val="single"/>
        </w:rPr>
        <w:t>re</w:t>
      </w:r>
      <w:proofErr w:type="spellEnd"/>
      <w:r w:rsidRPr="00913237">
        <w:rPr>
          <w:rFonts w:ascii="Calibri" w:hAnsi="Calibri" w:cs="Calibri"/>
          <w:b/>
          <w:bCs/>
          <w:color w:val="215E99" w:themeColor="text2" w:themeTint="BF"/>
          <w:sz w:val="22"/>
          <w:szCs w:val="22"/>
          <w:u w:val="single"/>
        </w:rPr>
        <w:t>)instituiu o Programa Bolsa Família.</w:t>
      </w:r>
    </w:p>
    <w:p w14:paraId="77637B8C"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Em uma primeira análise, é importante destacar que a Constituição Federal tratou nos artigos 102, §2º e no 103-A do efeito vinculante e </w:t>
      </w:r>
      <w:r w:rsidRPr="00913237">
        <w:rPr>
          <w:rFonts w:ascii="Calibri" w:hAnsi="Calibri" w:cs="Calibri"/>
          <w:i/>
          <w:iCs/>
          <w:color w:val="215E99" w:themeColor="text2" w:themeTint="BF"/>
          <w:sz w:val="22"/>
          <w:szCs w:val="22"/>
        </w:rPr>
        <w:t>erga omnes</w:t>
      </w:r>
      <w:r w:rsidRPr="00913237">
        <w:rPr>
          <w:rFonts w:ascii="Calibri" w:hAnsi="Calibri" w:cs="Calibri"/>
          <w:color w:val="215E99" w:themeColor="text2" w:themeTint="BF"/>
          <w:sz w:val="22"/>
          <w:szCs w:val="22"/>
        </w:rPr>
        <w:t xml:space="preserve"> das decisões proferidas pelo STF. Com o advento do CPC de 2015, houve a previsão expressa dos precedentes vinculantes no artigo 927. Entretanto, apesar da TNU ter como competência, dentre outras, o processamento e julgamento dos pedidos de uniformização de interpretação de lei federal (art. 6º, I, Resolução CNJ nº 586/2019), suas decisões não possuem rigorosamente caráter vinculante, tendo efeito norteador, mas não de observância obrigatória. Inclusive, este é o entendimento da própria TNU, </w:t>
      </w:r>
      <w:r w:rsidRPr="00913237">
        <w:rPr>
          <w:rFonts w:ascii="Calibri" w:hAnsi="Calibri" w:cs="Calibri"/>
          <w:i/>
          <w:iCs/>
          <w:color w:val="215E99" w:themeColor="text2" w:themeTint="BF"/>
          <w:sz w:val="22"/>
          <w:szCs w:val="22"/>
        </w:rPr>
        <w:t xml:space="preserve">in </w:t>
      </w:r>
      <w:proofErr w:type="spellStart"/>
      <w:r w:rsidRPr="00913237">
        <w:rPr>
          <w:rFonts w:ascii="Calibri" w:hAnsi="Calibri" w:cs="Calibri"/>
          <w:i/>
          <w:iCs/>
          <w:color w:val="215E99" w:themeColor="text2" w:themeTint="BF"/>
          <w:sz w:val="22"/>
          <w:szCs w:val="22"/>
        </w:rPr>
        <w:t>verbis</w:t>
      </w:r>
      <w:proofErr w:type="spellEnd"/>
      <w:r w:rsidRPr="00913237">
        <w:rPr>
          <w:rFonts w:ascii="Calibri" w:hAnsi="Calibri" w:cs="Calibri"/>
          <w:color w:val="215E99" w:themeColor="text2" w:themeTint="BF"/>
          <w:sz w:val="22"/>
          <w:szCs w:val="22"/>
        </w:rPr>
        <w:t>:</w:t>
      </w:r>
    </w:p>
    <w:p w14:paraId="3E87978E" w14:textId="77777777" w:rsidR="00792DD5" w:rsidRPr="00913237" w:rsidRDefault="00792DD5" w:rsidP="00792DD5">
      <w:pPr>
        <w:ind w:left="851"/>
        <w:jc w:val="both"/>
        <w:rPr>
          <w:rFonts w:ascii="Calibri" w:hAnsi="Calibri" w:cs="Calibri"/>
          <w:color w:val="215E99" w:themeColor="text2" w:themeTint="BF"/>
          <w:sz w:val="22"/>
          <w:szCs w:val="22"/>
        </w:rPr>
      </w:pPr>
      <w:r w:rsidRPr="00913237">
        <w:rPr>
          <w:rFonts w:ascii="Calibri" w:hAnsi="Calibri" w:cs="Calibri"/>
          <w:i/>
          <w:iCs/>
          <w:color w:val="215E99" w:themeColor="text2" w:themeTint="BF"/>
          <w:sz w:val="22"/>
          <w:szCs w:val="22"/>
        </w:rPr>
        <w:t xml:space="preserve">EMBARGOS DE DECLARAÇÃO. AUSÊNCIA DOS REQUISITOS PREVISTOS NO ARTIGO 1.022 DO CÓDIGO DE PROCESSO CIVIL. CONTRADIÇÃO. EMBARGOS CONHECIDOS E DESPROVIDOS. OS ARTS. 1039, 1040 E 1041, DO CÓDIGO DE PROCESSO CIVIL, DISCIPLINAM O JULGAMENTO DOS RECURSOS ESPECIAIS E EXTRAORDINÁRIOS, SEM QUE SEJA FEITA MENÇÃO AO PEDIDO DE UNIFORMIZAÇÃO JULGADO POR ESTA TURMA NACIONAL. </w:t>
      </w:r>
      <w:r w:rsidRPr="00913237">
        <w:rPr>
          <w:rFonts w:ascii="Calibri" w:hAnsi="Calibri" w:cs="Calibri"/>
          <w:b/>
          <w:bCs/>
          <w:i/>
          <w:iCs/>
          <w:color w:val="215E99" w:themeColor="text2" w:themeTint="BF"/>
          <w:sz w:val="22"/>
          <w:szCs w:val="22"/>
        </w:rPr>
        <w:t>A EFICÁCIA VINCULANTE DE PRECEDENTE É EFEITO EXCEPCIONAL DE DECISÃO JUDICIAL, QUE DEVE SER EXPRESSAMENTE PREVISTA NA CONSTITUIÇÃO DA REPÚBLICA (ARTS. 102, §2°, 103-A) OU EM LEI, AINDA QUE TOMADA POR ÓRGÃO JURISDICIONAL COM COMPETÊNCIA RELACIONADA À UNIFORMIZAÇÃO DE JURISPRUDÊNCIA, POR CONSUBSTANCIAR RESSALVA AO PRINCÍPIO DA LIVRE COGNIÇÃO MOTIVADA DO MAGISTRADO</w:t>
      </w:r>
      <w:r w:rsidRPr="00913237">
        <w:rPr>
          <w:rFonts w:ascii="Calibri" w:hAnsi="Calibri" w:cs="Calibri"/>
          <w:i/>
          <w:iCs/>
          <w:color w:val="215E99" w:themeColor="text2" w:themeTint="BF"/>
          <w:sz w:val="22"/>
          <w:szCs w:val="22"/>
        </w:rPr>
        <w:t>. NESSE SENTIDO, O DISPOSTO NO ART. 17, INCISO VII, DO REGIMENTO INTERNO DA TURMA NACIONAL DE UNIFORMIZAÇÃO,</w:t>
      </w:r>
      <w:r w:rsidRPr="00913237">
        <w:rPr>
          <w:rFonts w:ascii="Calibri" w:hAnsi="Calibri" w:cs="Calibri"/>
          <w:b/>
          <w:bCs/>
          <w:i/>
          <w:iCs/>
          <w:color w:val="215E99" w:themeColor="text2" w:themeTint="BF"/>
          <w:sz w:val="22"/>
          <w:szCs w:val="22"/>
        </w:rPr>
        <w:t xml:space="preserve"> ABRANGE A EFICÁCIA OBSTATIVA E PERSUASIVA DO PRECEDENTE FORMADO EM JULGAMENTO DE REPRESENTATIVO DE CONTROVÉRSIA, O QUE </w:t>
      </w:r>
      <w:r w:rsidRPr="00913237">
        <w:rPr>
          <w:rFonts w:ascii="Calibri" w:hAnsi="Calibri" w:cs="Calibri"/>
          <w:b/>
          <w:bCs/>
          <w:i/>
          <w:iCs/>
          <w:color w:val="215E99" w:themeColor="text2" w:themeTint="BF"/>
          <w:sz w:val="22"/>
          <w:szCs w:val="22"/>
          <w:u w:val="single"/>
        </w:rPr>
        <w:t>NÃO É SUFICIENTE PARA CONFERIR-LHE EFEITO VINCULANTE</w:t>
      </w:r>
      <w:r w:rsidRPr="00913237">
        <w:rPr>
          <w:rFonts w:ascii="Calibri" w:hAnsi="Calibri" w:cs="Calibri"/>
          <w:b/>
          <w:bCs/>
          <w:i/>
          <w:iCs/>
          <w:color w:val="215E99" w:themeColor="text2" w:themeTint="BF"/>
          <w:sz w:val="22"/>
          <w:szCs w:val="22"/>
        </w:rPr>
        <w:t>,</w:t>
      </w:r>
      <w:r w:rsidRPr="00913237">
        <w:rPr>
          <w:rFonts w:ascii="Calibri" w:hAnsi="Calibri" w:cs="Calibri"/>
          <w:i/>
          <w:iCs/>
          <w:color w:val="215E99" w:themeColor="text2" w:themeTint="BF"/>
          <w:sz w:val="22"/>
          <w:szCs w:val="22"/>
        </w:rPr>
        <w:t xml:space="preserve"> CONFORME ORIENTAÇÃO ADOTADA POR ESTE COLEGIADO AO CANCELAR A SUA QUESTÃO DE ORDEM N. 16. (TNU. Reclamação nº 0000005-49.2018.4.90.0000/DF. Relator: JUIZ FEDERAL FABIO CESAR DOS SANTOS OLIVEIRA. Data do julgamento: 17/08/2018).</w:t>
      </w:r>
      <w:r w:rsidRPr="00913237">
        <w:rPr>
          <w:rFonts w:ascii="Calibri" w:hAnsi="Calibri" w:cs="Calibri"/>
          <w:color w:val="215E99" w:themeColor="text2" w:themeTint="BF"/>
          <w:sz w:val="22"/>
          <w:szCs w:val="22"/>
        </w:rPr>
        <w:t> </w:t>
      </w:r>
      <w:r w:rsidRPr="00913237">
        <w:rPr>
          <w:rFonts w:ascii="Calibri" w:hAnsi="Calibri" w:cs="Calibri"/>
          <w:b/>
          <w:bCs/>
          <w:i/>
          <w:iCs/>
          <w:color w:val="215E99" w:themeColor="text2" w:themeTint="BF"/>
          <w:sz w:val="22"/>
          <w:szCs w:val="22"/>
        </w:rPr>
        <w:t>(Grifos nossos)</w:t>
      </w:r>
    </w:p>
    <w:p w14:paraId="72CDF96D"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Ademais, ainda que houvesse o caráter vinculante do entendimento desta natureza firmado pela TNU, o sistema de precedentes não denota caráter imutável, de forma que pode ser influenciado por fatores externos que fundamentam, de maneira adequada, a possibilidade de superação da tese outrora fixada, conforme preconiza o §4º do artigo 927 do CPC. </w:t>
      </w:r>
    </w:p>
    <w:p w14:paraId="62E6B871" w14:textId="77777777" w:rsidR="00792DD5" w:rsidRPr="00913237" w:rsidRDefault="00792DD5" w:rsidP="00792DD5">
      <w:pPr>
        <w:ind w:firstLine="708"/>
        <w:jc w:val="both"/>
        <w:rPr>
          <w:rFonts w:ascii="Calibri" w:hAnsi="Calibri" w:cs="Calibri"/>
          <w:b/>
          <w:bCs/>
          <w:color w:val="215E99" w:themeColor="text2" w:themeTint="BF"/>
          <w:sz w:val="22"/>
          <w:szCs w:val="22"/>
        </w:rPr>
      </w:pPr>
      <w:r w:rsidRPr="00913237">
        <w:rPr>
          <w:rFonts w:ascii="Calibri" w:hAnsi="Calibri" w:cs="Calibri"/>
          <w:b/>
          <w:bCs/>
          <w:color w:val="215E99" w:themeColor="text2" w:themeTint="BF"/>
          <w:sz w:val="22"/>
          <w:szCs w:val="22"/>
        </w:rPr>
        <w:t>É com base na violação dos dispositivos constitucionais e na edição de lei posterior (14.601/2023) que se respalda a necessidade de realizar o</w:t>
      </w:r>
      <w:r w:rsidRPr="00913237">
        <w:rPr>
          <w:rFonts w:ascii="Calibri" w:hAnsi="Calibri" w:cs="Calibri"/>
          <w:b/>
          <w:bCs/>
          <w:i/>
          <w:iCs/>
          <w:color w:val="215E99" w:themeColor="text2" w:themeTint="BF"/>
          <w:sz w:val="22"/>
          <w:szCs w:val="22"/>
        </w:rPr>
        <w:t xml:space="preserve"> </w:t>
      </w:r>
      <w:proofErr w:type="spellStart"/>
      <w:r w:rsidRPr="00913237">
        <w:rPr>
          <w:rFonts w:ascii="Calibri" w:hAnsi="Calibri" w:cs="Calibri"/>
          <w:b/>
          <w:bCs/>
          <w:i/>
          <w:iCs/>
          <w:color w:val="215E99" w:themeColor="text2" w:themeTint="BF"/>
          <w:sz w:val="22"/>
          <w:szCs w:val="22"/>
        </w:rPr>
        <w:t>overruling</w:t>
      </w:r>
      <w:proofErr w:type="spellEnd"/>
      <w:r w:rsidRPr="00913237">
        <w:rPr>
          <w:rFonts w:ascii="Calibri" w:hAnsi="Calibri" w:cs="Calibri"/>
          <w:b/>
          <w:bCs/>
          <w:color w:val="215E99" w:themeColor="text2" w:themeTint="BF"/>
          <w:sz w:val="22"/>
          <w:szCs w:val="22"/>
        </w:rPr>
        <w:t xml:space="preserve"> da questão discutida no Tema nº 296 da TNU.</w:t>
      </w:r>
    </w:p>
    <w:p w14:paraId="483EABFB"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Ainda que a Lei nº 14.601/2023, que reinstituiu o Programa Bolsa Família, também tenha previsto o cômputo do BPC no cálculo do PBF, impõe-se a realização do controle difuso de constitucionalidade no caso concreto. </w:t>
      </w:r>
    </w:p>
    <w:p w14:paraId="2758895D"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 xml:space="preserve">Desta forma, considerando a inconstitucionalidade anteriormente discutida do artigo 4º, §2º, da Lei nº 14.601/2023, requer-se que seja reconhecida a sua inconstitucionalidade e, por conseguinte, a superação do Tema 296 TNU, diante do evidente descompasso com a Constituição Federal (artigos 6º, 5º, </w:t>
      </w:r>
      <w:r w:rsidRPr="00913237">
        <w:rPr>
          <w:rFonts w:ascii="Calibri" w:hAnsi="Calibri" w:cs="Calibri"/>
          <w:i/>
          <w:iCs/>
          <w:color w:val="215E99" w:themeColor="text2" w:themeTint="BF"/>
          <w:sz w:val="22"/>
          <w:szCs w:val="22"/>
        </w:rPr>
        <w:t xml:space="preserve">caput, </w:t>
      </w:r>
      <w:r w:rsidRPr="00913237">
        <w:rPr>
          <w:rFonts w:ascii="Calibri" w:hAnsi="Calibri" w:cs="Calibri"/>
          <w:color w:val="215E99" w:themeColor="text2" w:themeTint="BF"/>
          <w:sz w:val="22"/>
          <w:szCs w:val="22"/>
        </w:rPr>
        <w:t>I, e 203, V e VI).</w:t>
      </w:r>
    </w:p>
    <w:p w14:paraId="0A9A6BB6" w14:textId="77777777" w:rsidR="00792DD5" w:rsidRPr="00913237" w:rsidRDefault="00792DD5" w:rsidP="00792DD5">
      <w:pPr>
        <w:jc w:val="both"/>
        <w:rPr>
          <w:rFonts w:ascii="Calibri" w:hAnsi="Calibri" w:cs="Calibri"/>
          <w:color w:val="215E99" w:themeColor="text2" w:themeTint="BF"/>
          <w:sz w:val="22"/>
          <w:szCs w:val="22"/>
        </w:rPr>
      </w:pPr>
    </w:p>
    <w:p w14:paraId="3369CEAA"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III.5 – DO PREENCHIMENTOS DOS REQUISITOS DO BOLSA FAMÍLIA</w:t>
      </w:r>
      <w:r w:rsidRPr="00913237">
        <w:rPr>
          <w:rFonts w:ascii="Calibri" w:hAnsi="Calibri" w:cs="Calibri"/>
          <w:color w:val="215E99" w:themeColor="text2" w:themeTint="BF"/>
          <w:sz w:val="22"/>
          <w:szCs w:val="22"/>
        </w:rPr>
        <w:tab/>
      </w:r>
    </w:p>
    <w:p w14:paraId="7D2A1D9B" w14:textId="77777777" w:rsidR="00792DD5" w:rsidRPr="00913237" w:rsidRDefault="00792DD5" w:rsidP="00792DD5">
      <w:pPr>
        <w:pStyle w:val="Corpodetexto"/>
        <w:ind w:firstLine="567"/>
        <w:jc w:val="both"/>
        <w:rPr>
          <w:rFonts w:ascii="Calibri" w:hAnsi="Calibri" w:cs="Calibri"/>
          <w:color w:val="215E99" w:themeColor="text2" w:themeTint="BF"/>
          <w:sz w:val="22"/>
          <w:szCs w:val="22"/>
        </w:rPr>
      </w:pPr>
      <w:r w:rsidRPr="00913237">
        <w:rPr>
          <w:rFonts w:ascii="Calibri" w:hAnsi="Calibri" w:cs="Calibri"/>
          <w:bCs/>
          <w:iCs/>
          <w:color w:val="215E99" w:themeColor="text2" w:themeTint="BF"/>
          <w:sz w:val="22"/>
          <w:szCs w:val="22"/>
        </w:rPr>
        <w:t xml:space="preserve">De acordo com o artigo 5º da Lei nº 14.601, são requisitos de elegibilidade para atendimento de famílias no PBF, a inscrição no </w:t>
      </w:r>
      <w:proofErr w:type="spellStart"/>
      <w:r w:rsidRPr="00913237">
        <w:rPr>
          <w:rFonts w:ascii="Calibri" w:hAnsi="Calibri" w:cs="Calibri"/>
          <w:bCs/>
          <w:iCs/>
          <w:color w:val="215E99" w:themeColor="text2" w:themeTint="BF"/>
          <w:sz w:val="22"/>
          <w:szCs w:val="22"/>
        </w:rPr>
        <w:t>CadÚnico</w:t>
      </w:r>
      <w:proofErr w:type="spellEnd"/>
      <w:r w:rsidRPr="00913237">
        <w:rPr>
          <w:rFonts w:ascii="Calibri" w:hAnsi="Calibri" w:cs="Calibri"/>
          <w:bCs/>
          <w:iCs/>
          <w:color w:val="215E99" w:themeColor="text2" w:themeTint="BF"/>
          <w:sz w:val="22"/>
          <w:szCs w:val="22"/>
        </w:rPr>
        <w:t xml:space="preserve"> e renda familiar </w:t>
      </w:r>
      <w:r w:rsidRPr="00913237">
        <w:rPr>
          <w:rFonts w:ascii="Calibri" w:hAnsi="Calibri" w:cs="Calibri"/>
          <w:bCs/>
          <w:i/>
          <w:color w:val="215E99" w:themeColor="text2" w:themeTint="BF"/>
          <w:sz w:val="22"/>
          <w:szCs w:val="22"/>
        </w:rPr>
        <w:t>per capita</w:t>
      </w:r>
      <w:r w:rsidRPr="00913237">
        <w:rPr>
          <w:rFonts w:ascii="Calibri" w:hAnsi="Calibri" w:cs="Calibri"/>
          <w:bCs/>
          <w:iCs/>
          <w:color w:val="215E99" w:themeColor="text2" w:themeTint="BF"/>
          <w:sz w:val="22"/>
          <w:szCs w:val="22"/>
        </w:rPr>
        <w:t xml:space="preserve"> mensal igual ou inferior a R$ 218,00 (duzentos e dezoito reais). Veja-se:</w:t>
      </w:r>
    </w:p>
    <w:p w14:paraId="53BEB8F2" w14:textId="77777777" w:rsidR="00792DD5" w:rsidRPr="007E59D1" w:rsidRDefault="00792DD5" w:rsidP="00792DD5">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 xml:space="preserve">Art. 5º São elegíveis ao Programa Bolsa Família as famílias: </w:t>
      </w:r>
    </w:p>
    <w:p w14:paraId="56C9FCA5" w14:textId="77777777" w:rsidR="00792DD5" w:rsidRPr="007E59D1" w:rsidRDefault="00792DD5" w:rsidP="00792DD5">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 xml:space="preserve">I - Inscritas no </w:t>
      </w:r>
      <w:proofErr w:type="spellStart"/>
      <w:r w:rsidRPr="007E59D1">
        <w:rPr>
          <w:rFonts w:ascii="Calibri" w:hAnsi="Calibri" w:cs="Calibri"/>
          <w:bCs/>
          <w:iCs/>
          <w:color w:val="215E99" w:themeColor="text2" w:themeTint="BF"/>
          <w:sz w:val="20"/>
          <w:szCs w:val="20"/>
        </w:rPr>
        <w:t>CadÚnico</w:t>
      </w:r>
      <w:proofErr w:type="spellEnd"/>
      <w:r w:rsidRPr="007E59D1">
        <w:rPr>
          <w:rFonts w:ascii="Calibri" w:hAnsi="Calibri" w:cs="Calibri"/>
          <w:bCs/>
          <w:iCs/>
          <w:color w:val="215E99" w:themeColor="text2" w:themeTint="BF"/>
          <w:sz w:val="20"/>
          <w:szCs w:val="20"/>
        </w:rPr>
        <w:t xml:space="preserve">; e </w:t>
      </w:r>
    </w:p>
    <w:p w14:paraId="1DEE32E4" w14:textId="77777777" w:rsidR="00792DD5" w:rsidRPr="007E59D1" w:rsidRDefault="00792DD5" w:rsidP="00792DD5">
      <w:pPr>
        <w:pStyle w:val="Corpodetexto"/>
        <w:spacing w:after="0" w:line="240" w:lineRule="auto"/>
        <w:ind w:left="567"/>
        <w:jc w:val="both"/>
        <w:rPr>
          <w:rFonts w:ascii="Calibri" w:hAnsi="Calibri" w:cs="Calibri"/>
          <w:bCs/>
          <w:iCs/>
          <w:color w:val="215E99" w:themeColor="text2" w:themeTint="BF"/>
          <w:sz w:val="20"/>
          <w:szCs w:val="20"/>
        </w:rPr>
      </w:pPr>
      <w:r w:rsidRPr="007E59D1">
        <w:rPr>
          <w:rFonts w:ascii="Calibri" w:hAnsi="Calibri" w:cs="Calibri"/>
          <w:bCs/>
          <w:iCs/>
          <w:color w:val="215E99" w:themeColor="text2" w:themeTint="BF"/>
          <w:sz w:val="20"/>
          <w:szCs w:val="20"/>
        </w:rPr>
        <w:t>II - Cuja renda familiar per capita mensal seja igual ou inferior a R$ 218,00 (duzentos e dezoito reais).</w:t>
      </w:r>
    </w:p>
    <w:p w14:paraId="56230C59" w14:textId="77777777" w:rsidR="00792DD5" w:rsidRPr="007E59D1" w:rsidRDefault="00792DD5" w:rsidP="00792DD5">
      <w:pPr>
        <w:pStyle w:val="Corpodetexto"/>
        <w:spacing w:line="240" w:lineRule="auto"/>
        <w:jc w:val="both"/>
        <w:rPr>
          <w:rFonts w:ascii="Calibri" w:hAnsi="Calibri" w:cs="Calibri"/>
          <w:bCs/>
          <w:iCs/>
          <w:color w:val="215E99" w:themeColor="text2" w:themeTint="BF"/>
          <w:sz w:val="20"/>
          <w:szCs w:val="20"/>
        </w:rPr>
      </w:pPr>
      <w:bookmarkStart w:id="1" w:name="docs-internal-guid-d2b82c60-7fff-4587-67"/>
      <w:bookmarkEnd w:id="1"/>
    </w:p>
    <w:p w14:paraId="199DA307" w14:textId="23458288" w:rsidR="00792DD5" w:rsidRPr="00913237" w:rsidRDefault="00792DD5" w:rsidP="00792DD5">
      <w:pPr>
        <w:pStyle w:val="Corpodetexto"/>
        <w:ind w:firstLine="567"/>
        <w:jc w:val="both"/>
        <w:rPr>
          <w:rFonts w:ascii="Calibri" w:hAnsi="Calibri" w:cs="Calibri"/>
          <w:bCs/>
          <w:iCs/>
          <w:color w:val="215E99" w:themeColor="text2" w:themeTint="BF"/>
          <w:sz w:val="22"/>
          <w:szCs w:val="22"/>
        </w:rPr>
      </w:pPr>
      <w:r w:rsidRPr="00913237">
        <w:rPr>
          <w:rFonts w:ascii="Calibri" w:hAnsi="Calibri" w:cs="Calibri"/>
          <w:bCs/>
          <w:iCs/>
          <w:color w:val="215E99" w:themeColor="text2" w:themeTint="BF"/>
          <w:sz w:val="22"/>
          <w:szCs w:val="22"/>
        </w:rPr>
        <w:t xml:space="preserve">No caso concreto, excluindo-se o valor de BPC concedido para o membro da família (NOME), </w:t>
      </w:r>
      <w:r w:rsidR="00E150FD">
        <w:rPr>
          <w:rFonts w:ascii="Calibri" w:hAnsi="Calibri" w:cs="Calibri"/>
          <w:bCs/>
          <w:iCs/>
          <w:color w:val="215E99" w:themeColor="text2" w:themeTint="BF"/>
          <w:sz w:val="22"/>
          <w:szCs w:val="22"/>
        </w:rPr>
        <w:t>idoso/ de</w:t>
      </w:r>
      <w:r w:rsidRPr="00913237">
        <w:rPr>
          <w:rFonts w:ascii="Calibri" w:hAnsi="Calibri" w:cs="Calibri"/>
          <w:bCs/>
          <w:iCs/>
          <w:color w:val="215E99" w:themeColor="text2" w:themeTint="BF"/>
          <w:sz w:val="22"/>
          <w:szCs w:val="22"/>
        </w:rPr>
        <w:t xml:space="preserve"> ____</w:t>
      </w:r>
      <w:r w:rsidR="00E150FD">
        <w:rPr>
          <w:rFonts w:ascii="Calibri" w:hAnsi="Calibri" w:cs="Calibri"/>
          <w:bCs/>
          <w:iCs/>
          <w:color w:val="215E99" w:themeColor="text2" w:themeTint="BF"/>
          <w:sz w:val="22"/>
          <w:szCs w:val="22"/>
        </w:rPr>
        <w:t xml:space="preserve"> anos</w:t>
      </w:r>
      <w:r w:rsidRPr="00913237">
        <w:rPr>
          <w:rFonts w:ascii="Calibri" w:hAnsi="Calibri" w:cs="Calibri"/>
          <w:bCs/>
          <w:iCs/>
          <w:color w:val="215E99" w:themeColor="text2" w:themeTint="BF"/>
          <w:sz w:val="22"/>
          <w:szCs w:val="22"/>
        </w:rPr>
        <w:t xml:space="preserve">, conforme argumentos anteriormente descritos, a renda familiar </w:t>
      </w:r>
      <w:r w:rsidRPr="00913237">
        <w:rPr>
          <w:rFonts w:ascii="Calibri" w:hAnsi="Calibri" w:cs="Calibri"/>
          <w:bCs/>
          <w:i/>
          <w:color w:val="215E99" w:themeColor="text2" w:themeTint="BF"/>
          <w:sz w:val="22"/>
          <w:szCs w:val="22"/>
        </w:rPr>
        <w:t>per capita</w:t>
      </w:r>
      <w:r w:rsidRPr="00913237">
        <w:rPr>
          <w:rFonts w:ascii="Calibri" w:hAnsi="Calibri" w:cs="Calibri"/>
          <w:bCs/>
          <w:iCs/>
          <w:color w:val="215E99" w:themeColor="text2" w:themeTint="BF"/>
          <w:sz w:val="22"/>
          <w:szCs w:val="22"/>
        </w:rPr>
        <w:t xml:space="preserve"> corresponde a R$ ____, e por isso atende aos critérios legais de elegibilidade ao PBF. Sendo assim, o grupo familiar da parte autora faz jus a ser (</w:t>
      </w:r>
      <w:proofErr w:type="spellStart"/>
      <w:r w:rsidRPr="00913237">
        <w:rPr>
          <w:rFonts w:ascii="Calibri" w:hAnsi="Calibri" w:cs="Calibri"/>
          <w:bCs/>
          <w:iCs/>
          <w:color w:val="215E99" w:themeColor="text2" w:themeTint="BF"/>
          <w:sz w:val="22"/>
          <w:szCs w:val="22"/>
        </w:rPr>
        <w:t>re</w:t>
      </w:r>
      <w:proofErr w:type="spellEnd"/>
      <w:r w:rsidRPr="00913237">
        <w:rPr>
          <w:rFonts w:ascii="Calibri" w:hAnsi="Calibri" w:cs="Calibri"/>
          <w:bCs/>
          <w:iCs/>
          <w:color w:val="215E99" w:themeColor="text2" w:themeTint="BF"/>
          <w:sz w:val="22"/>
          <w:szCs w:val="22"/>
        </w:rPr>
        <w:t>)incluído no Programa Bolsa Família, com o recebimento dos benefícios _______, previstos do artigo 7º, §1º, da Lei nº 14.601/23.</w:t>
      </w:r>
    </w:p>
    <w:p w14:paraId="4F83FE36" w14:textId="77777777" w:rsidR="00792DD5" w:rsidRPr="00913237" w:rsidRDefault="00792DD5" w:rsidP="00792DD5">
      <w:pPr>
        <w:pStyle w:val="Corpodetexto"/>
        <w:jc w:val="both"/>
        <w:rPr>
          <w:rFonts w:ascii="Calibri" w:hAnsi="Calibri" w:cs="Calibri"/>
          <w:color w:val="215E99" w:themeColor="text2" w:themeTint="BF"/>
          <w:sz w:val="22"/>
          <w:szCs w:val="22"/>
        </w:rPr>
      </w:pPr>
    </w:p>
    <w:p w14:paraId="15BC4013" w14:textId="77777777" w:rsidR="00792DD5" w:rsidRPr="00913237" w:rsidRDefault="00792DD5" w:rsidP="00792DD5">
      <w:pPr>
        <w:pStyle w:val="Corpodetexto"/>
        <w:jc w:val="both"/>
        <w:rPr>
          <w:rFonts w:ascii="Calibri" w:hAnsi="Calibri" w:cs="Calibri"/>
          <w:color w:val="215E99" w:themeColor="text2" w:themeTint="BF"/>
          <w:sz w:val="22"/>
          <w:szCs w:val="22"/>
        </w:rPr>
      </w:pPr>
      <w:r w:rsidRPr="00913237">
        <w:rPr>
          <w:rFonts w:ascii="Calibri" w:hAnsi="Calibri" w:cs="Calibri"/>
          <w:b/>
          <w:i/>
          <w:color w:val="215E99" w:themeColor="text2" w:themeTint="BF"/>
          <w:sz w:val="22"/>
          <w:szCs w:val="22"/>
        </w:rPr>
        <w:t>IV - DA NECESSIDADE DE CONCESSÃO DA TUTELA DE URGÊNCIA</w:t>
      </w:r>
    </w:p>
    <w:p w14:paraId="71F2E64D" w14:textId="77777777" w:rsidR="00792DD5" w:rsidRPr="00913237" w:rsidRDefault="00792DD5" w:rsidP="00792DD5">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Conforme determina o artigo 300 do CPC, a tutela de urgência será concedida quando houver elementos que evidenciem a </w:t>
      </w:r>
      <w:r w:rsidRPr="00913237">
        <w:rPr>
          <w:rFonts w:ascii="Calibri" w:hAnsi="Calibri" w:cs="Calibri"/>
          <w:b/>
          <w:color w:val="215E99" w:themeColor="text2" w:themeTint="BF"/>
          <w:sz w:val="22"/>
          <w:szCs w:val="22"/>
        </w:rPr>
        <w:t>probabilidade do direito e o perigo de dano ou risco ao resultado útil do processo</w:t>
      </w:r>
      <w:r w:rsidRPr="00913237">
        <w:rPr>
          <w:rFonts w:ascii="Calibri" w:hAnsi="Calibri" w:cs="Calibri"/>
          <w:color w:val="215E99" w:themeColor="text2" w:themeTint="BF"/>
          <w:sz w:val="22"/>
          <w:szCs w:val="22"/>
        </w:rPr>
        <w:t xml:space="preserve">. Ambos os requisitos da antecipação de tutela estão preenchidos nos autos, </w:t>
      </w:r>
      <w:r>
        <w:rPr>
          <w:rFonts w:ascii="Calibri" w:hAnsi="Calibri" w:cs="Calibri"/>
          <w:color w:val="215E99" w:themeColor="text2" w:themeTint="BF"/>
          <w:sz w:val="22"/>
          <w:szCs w:val="22"/>
        </w:rPr>
        <w:t>pois</w:t>
      </w:r>
      <w:r w:rsidRPr="00913237">
        <w:rPr>
          <w:rFonts w:ascii="Calibri" w:hAnsi="Calibri" w:cs="Calibri"/>
          <w:color w:val="215E99" w:themeColor="text2" w:themeTint="BF"/>
          <w:sz w:val="22"/>
          <w:szCs w:val="22"/>
        </w:rPr>
        <w:t xml:space="preserve"> o grupo familiar da parte autora encontra-se em situação de vulnerabilidade econômica.</w:t>
      </w:r>
    </w:p>
    <w:p w14:paraId="0E7A0A2B" w14:textId="77777777" w:rsidR="00792DD5" w:rsidRPr="00913237" w:rsidRDefault="00792DD5" w:rsidP="00792DD5">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finalidade da Seguridade Social – onde se insere o dever estatal de garantir a Assistência Social (art. 194, CF) – é remediar ou ajudar a superar situações que, produzidas por contingências sociais, criam problemas para o indivíduo. Nos feitos envolvendo a tutela do direito à proteção assistencial, esta deve operar imediatamente e amparar de pronto a pessoa agravada por uma contingência social, de maneira a suprir as suas necessidades basilares.</w:t>
      </w:r>
    </w:p>
    <w:p w14:paraId="7AE4C033" w14:textId="77777777" w:rsidR="00792DD5" w:rsidRPr="00913237" w:rsidRDefault="00792DD5" w:rsidP="00792DD5">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Logo, a probabilidade do direito se respalda diante da </w:t>
      </w:r>
      <w:r w:rsidRPr="00913237">
        <w:rPr>
          <w:rFonts w:ascii="Calibri" w:hAnsi="Calibri" w:cs="Calibri"/>
          <w:b/>
          <w:bCs/>
          <w:color w:val="215E99" w:themeColor="text2" w:themeTint="BF"/>
          <w:sz w:val="22"/>
          <w:szCs w:val="22"/>
        </w:rPr>
        <w:t>evidente inconstitucionalidade</w:t>
      </w:r>
      <w:r w:rsidRPr="00913237">
        <w:rPr>
          <w:rFonts w:ascii="Calibri" w:hAnsi="Calibri" w:cs="Calibri"/>
          <w:color w:val="215E99" w:themeColor="text2" w:themeTint="BF"/>
          <w:sz w:val="22"/>
          <w:szCs w:val="22"/>
        </w:rPr>
        <w:t xml:space="preserve"> na inclusão do valor do BPC no cálculo da renda familiar </w:t>
      </w:r>
      <w:r w:rsidRPr="00913237">
        <w:rPr>
          <w:rFonts w:ascii="Calibri" w:hAnsi="Calibri" w:cs="Calibri"/>
          <w:i/>
          <w:iCs/>
          <w:color w:val="215E99" w:themeColor="text2" w:themeTint="BF"/>
          <w:sz w:val="22"/>
          <w:szCs w:val="22"/>
        </w:rPr>
        <w:t>per capita</w:t>
      </w:r>
      <w:r w:rsidRPr="00913237">
        <w:rPr>
          <w:rFonts w:ascii="Calibri" w:hAnsi="Calibri" w:cs="Calibri"/>
          <w:color w:val="215E99" w:themeColor="text2" w:themeTint="BF"/>
          <w:sz w:val="22"/>
          <w:szCs w:val="22"/>
        </w:rPr>
        <w:t xml:space="preserve"> para a elegibilidade ao Programa Bolsa Família, pelos fundamentos já expostos.</w:t>
      </w:r>
    </w:p>
    <w:p w14:paraId="34AE67A7" w14:textId="77777777" w:rsidR="00792DD5" w:rsidRPr="00913237" w:rsidRDefault="00792DD5" w:rsidP="00792DD5">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No que tange à urgência, considerando o caráter alimentar da respectiva verba e a extrema vulnerabilidade econômica do grupo familiar, resta evidente o perigo ao resultado útil do processo. A renda familiar atual – composta pelo BPC e ____ (indicar renda, se houver) – não é suficiente para atender às necessidades básicas do núcleo, composto por ___ pessoas, dentre as quais (indicar deficiente, criança, idoso, gestante, nutriz...). Além disso, a verba oriunda do </w:t>
      </w:r>
      <w:r w:rsidRPr="00913237">
        <w:rPr>
          <w:rFonts w:ascii="Calibri" w:hAnsi="Calibri" w:cs="Calibri"/>
          <w:color w:val="215E99" w:themeColor="text2" w:themeTint="BF"/>
          <w:sz w:val="22"/>
          <w:szCs w:val="22"/>
        </w:rPr>
        <w:lastRenderedPageBreak/>
        <w:t>BPC deve-se direcionar para o atendimento das necessidades próprias do seu beneficiário, não podendo ser considerada como renda para sustento de todo o núcleo familiar.</w:t>
      </w:r>
    </w:p>
    <w:p w14:paraId="21CB46B7" w14:textId="77777777" w:rsidR="00792DD5" w:rsidRPr="00913237" w:rsidRDefault="00792DD5" w:rsidP="00792DD5">
      <w:pPr>
        <w:pStyle w:val="Corpodetexto"/>
        <w:spacing w:before="280" w:after="280"/>
        <w:ind w:firstLine="708"/>
        <w:jc w:val="both"/>
        <w:rPr>
          <w:rFonts w:ascii="Calibri" w:hAnsi="Calibri" w:cs="Calibri"/>
          <w:i/>
          <w:iCs/>
          <w:color w:val="215E99" w:themeColor="text2" w:themeTint="BF"/>
          <w:sz w:val="22"/>
          <w:szCs w:val="22"/>
        </w:rPr>
      </w:pPr>
      <w:r w:rsidRPr="00913237">
        <w:rPr>
          <w:rFonts w:ascii="Calibri" w:hAnsi="Calibri" w:cs="Calibri"/>
          <w:color w:val="215E99" w:themeColor="text2" w:themeTint="BF"/>
          <w:sz w:val="22"/>
          <w:szCs w:val="22"/>
        </w:rPr>
        <w:t xml:space="preserve">Inclusive, o </w:t>
      </w:r>
      <w:r w:rsidRPr="00913237">
        <w:rPr>
          <w:rFonts w:ascii="Calibri" w:hAnsi="Calibri" w:cs="Calibri"/>
          <w:i/>
          <w:iCs/>
          <w:color w:val="215E99" w:themeColor="text2" w:themeTint="BF"/>
          <w:sz w:val="22"/>
          <w:szCs w:val="22"/>
        </w:rPr>
        <w:t>periculum in mora</w:t>
      </w:r>
      <w:r w:rsidRPr="00913237">
        <w:rPr>
          <w:rFonts w:ascii="Calibri" w:hAnsi="Calibri" w:cs="Calibri"/>
          <w:color w:val="215E99" w:themeColor="text2" w:themeTint="BF"/>
          <w:sz w:val="22"/>
          <w:szCs w:val="22"/>
        </w:rPr>
        <w:t xml:space="preserve"> aplicável ao caso foi reconhecido em decisão recente da 1ª Vara Federal de Gravataí-RS, no âmbito do Poder Judiciário Federal da 4ª Região, em que seu deferimento foi respaldado pelo </w:t>
      </w:r>
      <w:r w:rsidRPr="00913237">
        <w:rPr>
          <w:rFonts w:ascii="Calibri" w:hAnsi="Calibri" w:cs="Calibri"/>
          <w:i/>
          <w:iCs/>
          <w:color w:val="215E99" w:themeColor="text2" w:themeTint="BF"/>
          <w:sz w:val="22"/>
          <w:szCs w:val="22"/>
        </w:rPr>
        <w:t>“(...) caráter alimentar direcionado à parcela sensivelmente desfavorecida economicamente da população brasileira, valores estes que são imprescindíveis para a garantia de condições minimamente dignas de vida” (Processo nº 5004681-10.2023.4.04.7101).</w:t>
      </w:r>
    </w:p>
    <w:p w14:paraId="0E64942E" w14:textId="77777777" w:rsidR="00792DD5" w:rsidRDefault="00792DD5" w:rsidP="00792DD5">
      <w:pPr>
        <w:pStyle w:val="Corpodetexto"/>
        <w:spacing w:before="280" w:after="280"/>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Nesse contexto, deve ser deferida a tutela de urgência, em caráter liminar, para determinar à parte ré que inclua/reinclua o grupo familiar no Programa Bolsa Família, excluindo o BPC do cômputo da renda familiar, na forma anteriormente descrita nesta peça.</w:t>
      </w:r>
    </w:p>
    <w:p w14:paraId="439556F1"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V. DOS DISPOSITIVOS A SEREM PREQUESTIONADOS</w:t>
      </w:r>
    </w:p>
    <w:p w14:paraId="53353829" w14:textId="5F9F7326"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parte autora, desde já, indica os dispositivos constitucionais para fins de prequestionamento. São eles: artigo 1º, III; artigo 5º, </w:t>
      </w:r>
      <w:r w:rsidRPr="00913237">
        <w:rPr>
          <w:rFonts w:ascii="Calibri" w:hAnsi="Calibri" w:cs="Calibri"/>
          <w:i/>
          <w:iCs/>
          <w:color w:val="215E99" w:themeColor="text2" w:themeTint="BF"/>
          <w:sz w:val="22"/>
          <w:szCs w:val="22"/>
        </w:rPr>
        <w:t>caput</w:t>
      </w:r>
      <w:r>
        <w:rPr>
          <w:rFonts w:ascii="Calibri" w:hAnsi="Calibri" w:cs="Calibri"/>
          <w:color w:val="215E99" w:themeColor="text2" w:themeTint="BF"/>
          <w:sz w:val="22"/>
          <w:szCs w:val="22"/>
        </w:rPr>
        <w:t xml:space="preserve"> e inciso</w:t>
      </w:r>
      <w:r w:rsidRPr="00913237">
        <w:rPr>
          <w:rFonts w:ascii="Calibri" w:hAnsi="Calibri" w:cs="Calibri"/>
          <w:color w:val="215E99" w:themeColor="text2" w:themeTint="BF"/>
          <w:sz w:val="22"/>
          <w:szCs w:val="22"/>
        </w:rPr>
        <w:t xml:space="preserve"> I; artigo 6º, </w:t>
      </w:r>
      <w:r w:rsidRPr="00913237">
        <w:rPr>
          <w:rFonts w:ascii="Calibri" w:hAnsi="Calibri" w:cs="Calibri"/>
          <w:i/>
          <w:iCs/>
          <w:color w:val="215E99" w:themeColor="text2" w:themeTint="BF"/>
          <w:sz w:val="22"/>
          <w:szCs w:val="22"/>
        </w:rPr>
        <w:t xml:space="preserve">caput </w:t>
      </w:r>
      <w:r w:rsidRPr="00913237">
        <w:rPr>
          <w:rFonts w:ascii="Calibri" w:hAnsi="Calibri" w:cs="Calibri"/>
          <w:color w:val="215E99" w:themeColor="text2" w:themeTint="BF"/>
          <w:sz w:val="22"/>
          <w:szCs w:val="22"/>
        </w:rPr>
        <w:t>e parágrafo único; artigo 194, parágrafo único, I; artigo 203, V e VI, todos da Constituição Federal; violação à decisão proferida pelo Supremo Tribunal Federal no Mandado de Injunção nº 7.300/DF e no RE nº 580.963 (Tema 312 STF)</w:t>
      </w:r>
    </w:p>
    <w:p w14:paraId="3BB86A37"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Da mesma forma, indica os dispositivos legais para fins de prequestionamento: artigo 4º, §§ 2º e 3º e artigo 5º, ambos da Lei nº 14.601/23; artigo 1º da Lei nº 10.835/2004.</w:t>
      </w:r>
    </w:p>
    <w:p w14:paraId="2CCF9A58" w14:textId="77777777" w:rsidR="00792DD5" w:rsidRPr="00913237" w:rsidRDefault="00792DD5" w:rsidP="00792DD5">
      <w:pPr>
        <w:jc w:val="both"/>
        <w:rPr>
          <w:rFonts w:ascii="Calibri" w:hAnsi="Calibri" w:cs="Calibri"/>
          <w:color w:val="215E99" w:themeColor="text2" w:themeTint="BF"/>
          <w:sz w:val="22"/>
          <w:szCs w:val="22"/>
        </w:rPr>
      </w:pPr>
    </w:p>
    <w:p w14:paraId="3360FE0F" w14:textId="77777777" w:rsidR="00792DD5" w:rsidRPr="00913237" w:rsidRDefault="00792DD5" w:rsidP="00792DD5">
      <w:pPr>
        <w:jc w:val="both"/>
        <w:rPr>
          <w:rFonts w:ascii="Calibri" w:hAnsi="Calibri" w:cs="Calibri"/>
          <w:color w:val="215E99" w:themeColor="text2" w:themeTint="BF"/>
          <w:sz w:val="22"/>
          <w:szCs w:val="22"/>
        </w:rPr>
      </w:pPr>
      <w:r w:rsidRPr="00913237">
        <w:rPr>
          <w:rFonts w:ascii="Calibri" w:hAnsi="Calibri" w:cs="Calibri"/>
          <w:b/>
          <w:bCs/>
          <w:i/>
          <w:iCs/>
          <w:color w:val="215E99" w:themeColor="text2" w:themeTint="BF"/>
          <w:sz w:val="22"/>
          <w:szCs w:val="22"/>
        </w:rPr>
        <w:t>VI. DOS PEDIDOS</w:t>
      </w:r>
    </w:p>
    <w:p w14:paraId="2AFF41FE" w14:textId="77777777" w:rsidR="00792DD5" w:rsidRPr="00913237" w:rsidRDefault="00792DD5" w:rsidP="00792DD5">
      <w:pPr>
        <w:ind w:firstLine="708"/>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Diante do exposto, respeitosamente requer:</w:t>
      </w:r>
    </w:p>
    <w:p w14:paraId="1D937E20"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concessão de gratuidade de justiça, haja vista a parte requerente ser hipossuficiente, em conformidade com o disposto no art. 98 e seguintes do Código de Processo Civil; </w:t>
      </w:r>
    </w:p>
    <w:p w14:paraId="3E5A44BA"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Pr>
          <w:rFonts w:ascii="Calibri" w:hAnsi="Calibri" w:cs="Calibri"/>
          <w:color w:val="215E99" w:themeColor="text2" w:themeTint="BF"/>
          <w:sz w:val="22"/>
          <w:szCs w:val="22"/>
        </w:rPr>
        <w:t>Liminarmente, a</w:t>
      </w:r>
      <w:r w:rsidRPr="00913237">
        <w:rPr>
          <w:rFonts w:ascii="Calibri" w:hAnsi="Calibri" w:cs="Calibri"/>
          <w:color w:val="215E99" w:themeColor="text2" w:themeTint="BF"/>
          <w:sz w:val="22"/>
          <w:szCs w:val="22"/>
        </w:rPr>
        <w:t xml:space="preserve"> concessão da </w:t>
      </w:r>
      <w:r w:rsidRPr="007E59D1">
        <w:rPr>
          <w:rFonts w:ascii="Calibri" w:hAnsi="Calibri" w:cs="Calibri"/>
          <w:b/>
          <w:bCs/>
          <w:color w:val="215E99" w:themeColor="text2" w:themeTint="BF"/>
          <w:sz w:val="22"/>
          <w:szCs w:val="22"/>
        </w:rPr>
        <w:t>tutela de urgência</w:t>
      </w:r>
      <w:r>
        <w:rPr>
          <w:rFonts w:ascii="Calibri" w:hAnsi="Calibri" w:cs="Calibri"/>
          <w:b/>
          <w:bCs/>
          <w:color w:val="215E99" w:themeColor="text2" w:themeTint="BF"/>
          <w:sz w:val="22"/>
          <w:szCs w:val="22"/>
        </w:rPr>
        <w:t xml:space="preserve"> antecipada</w:t>
      </w:r>
      <w:r w:rsidRPr="00913237">
        <w:rPr>
          <w:rFonts w:ascii="Calibri" w:hAnsi="Calibri" w:cs="Calibri"/>
          <w:color w:val="215E99" w:themeColor="text2" w:themeTint="BF"/>
          <w:sz w:val="22"/>
          <w:szCs w:val="22"/>
        </w:rPr>
        <w:t xml:space="preserve"> para determinar a imediata (</w:t>
      </w:r>
      <w:proofErr w:type="spellStart"/>
      <w:r w:rsidRPr="00913237">
        <w:rPr>
          <w:rFonts w:ascii="Calibri" w:hAnsi="Calibri" w:cs="Calibri"/>
          <w:color w:val="215E99" w:themeColor="text2" w:themeTint="BF"/>
          <w:sz w:val="22"/>
          <w:szCs w:val="22"/>
        </w:rPr>
        <w:t>re</w:t>
      </w:r>
      <w:proofErr w:type="spellEnd"/>
      <w:r w:rsidRPr="00913237">
        <w:rPr>
          <w:rFonts w:ascii="Calibri" w:hAnsi="Calibri" w:cs="Calibri"/>
          <w:color w:val="215E99" w:themeColor="text2" w:themeTint="BF"/>
          <w:sz w:val="22"/>
          <w:szCs w:val="22"/>
        </w:rPr>
        <w:t>)inclusão do grupo familiar no Programa Bolsa Família, com o pagamento dos benefícios ____, previstos no artigo 7º da Lei 14.601/23</w:t>
      </w:r>
      <w:r>
        <w:rPr>
          <w:rFonts w:ascii="Calibri" w:hAnsi="Calibri" w:cs="Calibri"/>
          <w:color w:val="215E99" w:themeColor="text2" w:themeTint="BF"/>
          <w:sz w:val="22"/>
          <w:szCs w:val="22"/>
        </w:rPr>
        <w:t>, sob pena de multa diária</w:t>
      </w:r>
      <w:r w:rsidRPr="00913237">
        <w:rPr>
          <w:rFonts w:ascii="Calibri" w:hAnsi="Calibri" w:cs="Calibri"/>
          <w:color w:val="215E99" w:themeColor="text2" w:themeTint="BF"/>
          <w:sz w:val="22"/>
          <w:szCs w:val="22"/>
        </w:rPr>
        <w:t xml:space="preserve">; </w:t>
      </w:r>
    </w:p>
    <w:p w14:paraId="280B68C4"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A citação da ré por meio de seus procuradores, para, querendo, contestar os termos da presente demanda, desde já manifestando o (</w:t>
      </w:r>
      <w:proofErr w:type="spellStart"/>
      <w:r w:rsidRPr="00913237">
        <w:rPr>
          <w:rFonts w:ascii="Calibri" w:hAnsi="Calibri" w:cs="Calibri"/>
          <w:color w:val="215E99" w:themeColor="text2" w:themeTint="BF"/>
          <w:sz w:val="22"/>
          <w:szCs w:val="22"/>
        </w:rPr>
        <w:t>des</w:t>
      </w:r>
      <w:proofErr w:type="spellEnd"/>
      <w:r w:rsidRPr="00913237">
        <w:rPr>
          <w:rFonts w:ascii="Calibri" w:hAnsi="Calibri" w:cs="Calibri"/>
          <w:color w:val="215E99" w:themeColor="text2" w:themeTint="BF"/>
          <w:sz w:val="22"/>
          <w:szCs w:val="22"/>
        </w:rPr>
        <w:t xml:space="preserve">)interesse na participação em audiência de conciliação ulterior; </w:t>
      </w:r>
    </w:p>
    <w:p w14:paraId="58BEEED5"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Ao final, que sejam julgados inteiramente </w:t>
      </w:r>
      <w:r w:rsidRPr="007E59D1">
        <w:rPr>
          <w:rFonts w:ascii="Calibri" w:hAnsi="Calibri" w:cs="Calibri"/>
          <w:b/>
          <w:bCs/>
          <w:color w:val="215E99" w:themeColor="text2" w:themeTint="BF"/>
          <w:sz w:val="22"/>
          <w:szCs w:val="22"/>
        </w:rPr>
        <w:t xml:space="preserve">procedentes </w:t>
      </w:r>
      <w:r w:rsidRPr="00913237">
        <w:rPr>
          <w:rFonts w:ascii="Calibri" w:hAnsi="Calibri" w:cs="Calibri"/>
          <w:color w:val="215E99" w:themeColor="text2" w:themeTint="BF"/>
          <w:sz w:val="22"/>
          <w:szCs w:val="22"/>
        </w:rPr>
        <w:t xml:space="preserve">os pedidos da presente demanda, com declaração incidental de inconstitucionalidade do artigo 4º, §2º, da Lei nº 14.601/2023, e a consequente </w:t>
      </w:r>
      <w:r w:rsidRPr="007E59D1">
        <w:rPr>
          <w:rFonts w:ascii="Calibri" w:hAnsi="Calibri" w:cs="Calibri"/>
          <w:b/>
          <w:bCs/>
          <w:color w:val="215E99" w:themeColor="text2" w:themeTint="BF"/>
          <w:sz w:val="22"/>
          <w:szCs w:val="22"/>
        </w:rPr>
        <w:t>(</w:t>
      </w:r>
      <w:proofErr w:type="spellStart"/>
      <w:r w:rsidRPr="007E59D1">
        <w:rPr>
          <w:rFonts w:ascii="Calibri" w:hAnsi="Calibri" w:cs="Calibri"/>
          <w:b/>
          <w:bCs/>
          <w:color w:val="215E99" w:themeColor="text2" w:themeTint="BF"/>
          <w:sz w:val="22"/>
          <w:szCs w:val="22"/>
        </w:rPr>
        <w:t>re</w:t>
      </w:r>
      <w:proofErr w:type="spellEnd"/>
      <w:r w:rsidRPr="007E59D1">
        <w:rPr>
          <w:rFonts w:ascii="Calibri" w:hAnsi="Calibri" w:cs="Calibri"/>
          <w:b/>
          <w:bCs/>
          <w:color w:val="215E99" w:themeColor="text2" w:themeTint="BF"/>
          <w:sz w:val="22"/>
          <w:szCs w:val="22"/>
        </w:rPr>
        <w:t>)inclusão do grupo familiar no Programa Bolsa Família</w:t>
      </w:r>
      <w:r w:rsidRPr="00913237">
        <w:rPr>
          <w:rFonts w:ascii="Calibri" w:hAnsi="Calibri" w:cs="Calibri"/>
          <w:color w:val="215E99" w:themeColor="text2" w:themeTint="BF"/>
          <w:sz w:val="22"/>
          <w:szCs w:val="22"/>
        </w:rPr>
        <w:t xml:space="preserve">, com pagamento das parcelas vencidas e vincendas a partir de __ (mês) de __ (ano) dos benefícios ____, previstos no artigo 7º da Lei 14.601/23, com juros e correção monetária; </w:t>
      </w:r>
    </w:p>
    <w:p w14:paraId="58EFFA14"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 xml:space="preserve">A condenação da Ré ao pagamento das custas e despesas processuais, bem como os honorários sucumbenciais em favor da Defensoria Pública da União (Tema 1.002 STF); </w:t>
      </w:r>
    </w:p>
    <w:p w14:paraId="0959B78C" w14:textId="77777777" w:rsidR="00792DD5" w:rsidRPr="00913237" w:rsidRDefault="00792DD5" w:rsidP="00792DD5">
      <w:pPr>
        <w:pStyle w:val="PargrafodaLista"/>
        <w:numPr>
          <w:ilvl w:val="1"/>
          <w:numId w:val="2"/>
        </w:numPr>
        <w:tabs>
          <w:tab w:val="clear" w:pos="1440"/>
        </w:tabs>
        <w:ind w:left="0" w:firstLine="0"/>
        <w:jc w:val="both"/>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Requer provar o alegado por todos os meios de prova em direito admitidos, em especial a prova pericial socioeconômica.</w:t>
      </w:r>
    </w:p>
    <w:p w14:paraId="51E32703" w14:textId="77777777" w:rsidR="00792DD5" w:rsidRPr="00913237" w:rsidRDefault="00792DD5" w:rsidP="00792DD5">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lastRenderedPageBreak/>
        <w:t>Atribui-se à causa o valor de R$ ___________</w:t>
      </w:r>
    </w:p>
    <w:p w14:paraId="125C7DED" w14:textId="77777777" w:rsidR="00792DD5" w:rsidRPr="00913237" w:rsidRDefault="00792DD5" w:rsidP="00792DD5">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Nestes termos, pede deferimento.</w:t>
      </w:r>
    </w:p>
    <w:p w14:paraId="0157ACCA" w14:textId="77777777" w:rsidR="00792DD5" w:rsidRPr="00913237" w:rsidRDefault="00792DD5" w:rsidP="00792DD5">
      <w:pPr>
        <w:spacing w:after="0"/>
        <w:jc w:val="center"/>
        <w:rPr>
          <w:rFonts w:ascii="Calibri" w:hAnsi="Calibri" w:cs="Calibri"/>
          <w:color w:val="215E99" w:themeColor="text2" w:themeTint="BF"/>
          <w:sz w:val="22"/>
          <w:szCs w:val="22"/>
        </w:rPr>
      </w:pPr>
    </w:p>
    <w:p w14:paraId="1B8C83FF" w14:textId="77777777" w:rsidR="00792DD5" w:rsidRPr="00913237" w:rsidRDefault="00792DD5" w:rsidP="00792DD5">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LOCAL, DATA.</w:t>
      </w:r>
    </w:p>
    <w:p w14:paraId="78B09378" w14:textId="77777777" w:rsidR="00792DD5" w:rsidRPr="00913237" w:rsidRDefault="00792DD5" w:rsidP="00792DD5">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___________________________</w:t>
      </w:r>
    </w:p>
    <w:p w14:paraId="29165306" w14:textId="77777777" w:rsidR="00792DD5" w:rsidRPr="00913237" w:rsidRDefault="00792DD5" w:rsidP="00792DD5">
      <w:pPr>
        <w:jc w:val="center"/>
        <w:rPr>
          <w:rFonts w:ascii="Calibri" w:hAnsi="Calibri" w:cs="Calibri"/>
          <w:color w:val="215E99" w:themeColor="text2" w:themeTint="BF"/>
          <w:sz w:val="22"/>
          <w:szCs w:val="22"/>
        </w:rPr>
      </w:pPr>
      <w:r w:rsidRPr="00913237">
        <w:rPr>
          <w:rFonts w:ascii="Calibri" w:hAnsi="Calibri" w:cs="Calibri"/>
          <w:color w:val="215E99" w:themeColor="text2" w:themeTint="BF"/>
          <w:sz w:val="22"/>
          <w:szCs w:val="22"/>
        </w:rPr>
        <w:t>Defensor(a) Público(a) Federal</w:t>
      </w:r>
    </w:p>
    <w:tbl>
      <w:tblPr>
        <w:tblStyle w:val="TableNormal1"/>
        <w:tblW w:w="10775" w:type="dxa"/>
        <w:tblInd w:w="-1134" w:type="dxa"/>
        <w:tblLayout w:type="fixed"/>
        <w:tblLook w:val="01E0" w:firstRow="1" w:lastRow="1" w:firstColumn="1" w:lastColumn="1" w:noHBand="0" w:noVBand="0"/>
      </w:tblPr>
      <w:tblGrid>
        <w:gridCol w:w="7253"/>
        <w:gridCol w:w="3522"/>
      </w:tblGrid>
      <w:tr w:rsidR="00792DD5" w:rsidRPr="007E59D1" w14:paraId="6F74AF84" w14:textId="77777777" w:rsidTr="0076437E">
        <w:trPr>
          <w:trHeight w:val="20"/>
        </w:trPr>
        <w:tc>
          <w:tcPr>
            <w:tcW w:w="7253" w:type="dxa"/>
            <w:shd w:val="clear" w:color="auto" w:fill="B8CCE1"/>
          </w:tcPr>
          <w:p w14:paraId="587BE91E" w14:textId="77777777" w:rsidR="00792DD5" w:rsidRPr="007E59D1" w:rsidRDefault="00792DD5" w:rsidP="0076437E">
            <w:pPr>
              <w:spacing w:line="240" w:lineRule="auto"/>
              <w:ind w:right="126"/>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Membros/as</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Câmara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Coordenação</w:t>
            </w:r>
            <w:r w:rsidRPr="007E59D1">
              <w:rPr>
                <w:rFonts w:ascii="Calibri" w:eastAsia="Segoe UI" w:hAnsi="Calibri" w:cs="Calibri"/>
                <w:b/>
                <w:color w:val="215E99" w:themeColor="text2" w:themeTint="BF"/>
                <w:spacing w:val="-11"/>
                <w:sz w:val="20"/>
                <w:szCs w:val="20"/>
                <w:lang w:val="pt-PT"/>
              </w:rPr>
              <w:t xml:space="preserve"> </w:t>
            </w:r>
            <w:r w:rsidRPr="007E59D1">
              <w:rPr>
                <w:rFonts w:ascii="Calibri" w:eastAsia="Segoe UI" w:hAnsi="Calibri" w:cs="Calibri"/>
                <w:b/>
                <w:color w:val="215E99" w:themeColor="text2" w:themeTint="BF"/>
                <w:sz w:val="20"/>
                <w:szCs w:val="20"/>
                <w:lang w:val="pt-PT"/>
              </w:rPr>
              <w:t>e</w:t>
            </w:r>
            <w:r w:rsidRPr="007E59D1">
              <w:rPr>
                <w:rFonts w:ascii="Calibri" w:eastAsia="Segoe UI" w:hAnsi="Calibri" w:cs="Calibri"/>
                <w:b/>
                <w:color w:val="215E99" w:themeColor="text2" w:themeTint="BF"/>
                <w:spacing w:val="-16"/>
                <w:sz w:val="20"/>
                <w:szCs w:val="20"/>
                <w:lang w:val="pt-PT"/>
              </w:rPr>
              <w:t xml:space="preserve"> </w:t>
            </w:r>
            <w:r w:rsidRPr="007E59D1">
              <w:rPr>
                <w:rFonts w:ascii="Calibri" w:eastAsia="Segoe UI" w:hAnsi="Calibri" w:cs="Calibri"/>
                <w:b/>
                <w:color w:val="215E99" w:themeColor="text2" w:themeTint="BF"/>
                <w:sz w:val="20"/>
                <w:szCs w:val="20"/>
                <w:lang w:val="pt-PT"/>
              </w:rPr>
              <w:t>Revisão</w:t>
            </w:r>
            <w:r w:rsidRPr="007E59D1">
              <w:rPr>
                <w:rFonts w:ascii="Calibri" w:eastAsia="Segoe UI" w:hAnsi="Calibri" w:cs="Calibri"/>
                <w:b/>
                <w:color w:val="215E99" w:themeColor="text2" w:themeTint="BF"/>
                <w:spacing w:val="-11"/>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24AAF8DE" w14:textId="77777777" w:rsidR="00792DD5" w:rsidRPr="007E59D1" w:rsidRDefault="00792DD5" w:rsidP="0076437E">
            <w:pPr>
              <w:spacing w:line="240" w:lineRule="auto"/>
              <w:ind w:left="4577" w:right="127" w:hanging="153"/>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Charles</w:t>
            </w:r>
            <w:r w:rsidRPr="007E59D1">
              <w:rPr>
                <w:rFonts w:ascii="Calibri" w:eastAsia="Segoe UI" w:hAnsi="Calibri" w:cs="Calibri"/>
                <w:color w:val="215E99" w:themeColor="text2" w:themeTint="BF"/>
                <w:spacing w:val="-16"/>
                <w:sz w:val="20"/>
                <w:szCs w:val="20"/>
                <w:lang w:val="pt-PT"/>
              </w:rPr>
              <w:t xml:space="preserve"> </w:t>
            </w:r>
            <w:r w:rsidRPr="007E59D1">
              <w:rPr>
                <w:rFonts w:ascii="Calibri" w:eastAsia="Segoe UI" w:hAnsi="Calibri" w:cs="Calibri"/>
                <w:color w:val="215E99" w:themeColor="text2" w:themeTint="BF"/>
                <w:spacing w:val="-2"/>
                <w:sz w:val="20"/>
                <w:szCs w:val="20"/>
                <w:lang w:val="pt-PT"/>
              </w:rPr>
              <w:t>Pachciarek</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Frajdenberg </w:t>
            </w:r>
            <w:r w:rsidRPr="007E59D1">
              <w:rPr>
                <w:rFonts w:ascii="Calibri" w:eastAsia="Segoe UI" w:hAnsi="Calibri" w:cs="Calibri"/>
                <w:color w:val="215E99" w:themeColor="text2" w:themeTint="BF"/>
                <w:sz w:val="20"/>
                <w:szCs w:val="20"/>
                <w:lang w:val="pt-PT"/>
              </w:rPr>
              <w:t xml:space="preserve">Denise Tanaka dos Santos </w:t>
            </w:r>
            <w:r w:rsidRPr="007E59D1">
              <w:rPr>
                <w:rFonts w:ascii="Calibri" w:eastAsia="Segoe UI" w:hAnsi="Calibri" w:cs="Calibri"/>
                <w:color w:val="215E99" w:themeColor="text2" w:themeTint="BF"/>
                <w:spacing w:val="-2"/>
                <w:sz w:val="20"/>
                <w:szCs w:val="20"/>
                <w:lang w:val="pt-PT"/>
              </w:rPr>
              <w:t>Jânio</w:t>
            </w:r>
            <w:r w:rsidRPr="007E59D1">
              <w:rPr>
                <w:rFonts w:ascii="Calibri" w:eastAsia="Segoe UI" w:hAnsi="Calibri" w:cs="Calibri"/>
                <w:color w:val="215E99" w:themeColor="text2" w:themeTint="BF"/>
                <w:spacing w:val="-5"/>
                <w:sz w:val="20"/>
                <w:szCs w:val="20"/>
                <w:lang w:val="pt-PT"/>
              </w:rPr>
              <w:t xml:space="preserve"> </w:t>
            </w:r>
            <w:r w:rsidRPr="007E59D1">
              <w:rPr>
                <w:rFonts w:ascii="Calibri" w:eastAsia="Segoe UI" w:hAnsi="Calibri" w:cs="Calibri"/>
                <w:color w:val="215E99" w:themeColor="text2" w:themeTint="BF"/>
                <w:spacing w:val="-2"/>
                <w:sz w:val="20"/>
                <w:szCs w:val="20"/>
                <w:lang w:val="pt-PT"/>
              </w:rPr>
              <w:t>Urbano</w:t>
            </w:r>
            <w:r w:rsidRPr="007E59D1">
              <w:rPr>
                <w:rFonts w:ascii="Calibri" w:eastAsia="Segoe UI" w:hAnsi="Calibri" w:cs="Calibri"/>
                <w:color w:val="215E99" w:themeColor="text2" w:themeTint="BF"/>
                <w:spacing w:val="-3"/>
                <w:sz w:val="20"/>
                <w:szCs w:val="20"/>
                <w:lang w:val="pt-PT"/>
              </w:rPr>
              <w:t xml:space="preserve"> </w:t>
            </w:r>
            <w:r w:rsidRPr="007E59D1">
              <w:rPr>
                <w:rFonts w:ascii="Calibri" w:eastAsia="Segoe UI" w:hAnsi="Calibri" w:cs="Calibri"/>
                <w:color w:val="215E99" w:themeColor="text2" w:themeTint="BF"/>
                <w:spacing w:val="-2"/>
                <w:sz w:val="20"/>
                <w:szCs w:val="20"/>
                <w:lang w:val="pt-PT"/>
              </w:rPr>
              <w:t>Marinho</w:t>
            </w:r>
            <w:r w:rsidRPr="007E59D1">
              <w:rPr>
                <w:rFonts w:ascii="Calibri" w:eastAsia="Segoe UI" w:hAnsi="Calibri" w:cs="Calibri"/>
                <w:color w:val="215E99" w:themeColor="text2" w:themeTint="BF"/>
                <w:spacing w:val="-3"/>
                <w:sz w:val="20"/>
                <w:szCs w:val="20"/>
                <w:lang w:val="pt-PT"/>
              </w:rPr>
              <w:t xml:space="preserve"> </w:t>
            </w:r>
            <w:r w:rsidRPr="007E59D1">
              <w:rPr>
                <w:rFonts w:ascii="Calibri" w:eastAsia="Segoe UI" w:hAnsi="Calibri" w:cs="Calibri"/>
                <w:color w:val="215E99" w:themeColor="text2" w:themeTint="BF"/>
                <w:spacing w:val="-2"/>
                <w:sz w:val="20"/>
                <w:szCs w:val="20"/>
                <w:lang w:val="pt-PT"/>
              </w:rPr>
              <w:t>Junior</w:t>
            </w:r>
          </w:p>
          <w:p w14:paraId="4E1A35BD" w14:textId="77777777" w:rsidR="00792DD5" w:rsidRPr="007E59D1" w:rsidRDefault="00792DD5" w:rsidP="0076437E">
            <w:pPr>
              <w:spacing w:line="240" w:lineRule="auto"/>
              <w:ind w:left="4577" w:right="127" w:hanging="153"/>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Júlia Corrêa de Almeida</w:t>
            </w:r>
          </w:p>
          <w:p w14:paraId="5E8C6C60" w14:textId="77777777" w:rsidR="00792DD5" w:rsidRPr="007E59D1" w:rsidRDefault="00792DD5" w:rsidP="0076437E">
            <w:pPr>
              <w:spacing w:line="240" w:lineRule="auto"/>
              <w:ind w:left="4508" w:right="123" w:hanging="472"/>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10"/>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pacing w:val="-9"/>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Pereira</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Mesquita </w:t>
            </w:r>
            <w:r w:rsidRPr="007E59D1">
              <w:rPr>
                <w:rFonts w:ascii="Calibri" w:eastAsia="Segoe UI" w:hAnsi="Calibri" w:cs="Calibri"/>
                <w:color w:val="215E99" w:themeColor="text2" w:themeTint="BF"/>
                <w:sz w:val="20"/>
                <w:szCs w:val="20"/>
                <w:lang w:val="pt-PT"/>
              </w:rPr>
              <w:t>Marcos</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Wagner</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Alves</w:t>
            </w:r>
            <w:r w:rsidRPr="007E59D1">
              <w:rPr>
                <w:rFonts w:ascii="Calibri" w:eastAsia="Segoe UI" w:hAnsi="Calibri" w:cs="Calibri"/>
                <w:color w:val="215E99" w:themeColor="text2" w:themeTint="BF"/>
                <w:spacing w:val="-14"/>
                <w:sz w:val="20"/>
                <w:szCs w:val="20"/>
                <w:lang w:val="pt-PT"/>
              </w:rPr>
              <w:t xml:space="preserve"> </w:t>
            </w:r>
            <w:r w:rsidRPr="007E59D1">
              <w:rPr>
                <w:rFonts w:ascii="Calibri" w:eastAsia="Segoe UI" w:hAnsi="Calibri" w:cs="Calibri"/>
                <w:color w:val="215E99" w:themeColor="text2" w:themeTint="BF"/>
                <w:sz w:val="20"/>
                <w:szCs w:val="20"/>
                <w:lang w:val="pt-PT"/>
              </w:rPr>
              <w:t>Teixeira Polianna Maia de Paiva</w:t>
            </w:r>
          </w:p>
          <w:p w14:paraId="4C267B1C" w14:textId="77777777" w:rsidR="00792DD5" w:rsidRPr="007E59D1" w:rsidRDefault="00792DD5" w:rsidP="0076437E">
            <w:pPr>
              <w:spacing w:line="240" w:lineRule="auto"/>
              <w:ind w:left="4508" w:right="123" w:hanging="472"/>
              <w:jc w:val="right"/>
              <w:rPr>
                <w:rFonts w:ascii="Calibri" w:eastAsia="Segoe UI" w:hAnsi="Calibri" w:cs="Calibri"/>
                <w:color w:val="215E99" w:themeColor="text2" w:themeTint="BF"/>
                <w:sz w:val="20"/>
                <w:szCs w:val="20"/>
                <w:lang w:val="pt-PT"/>
              </w:rPr>
            </w:pPr>
          </w:p>
          <w:p w14:paraId="7B4DD203" w14:textId="77777777" w:rsidR="00792DD5" w:rsidRPr="007E59D1" w:rsidRDefault="00792DD5" w:rsidP="0076437E">
            <w:pPr>
              <w:spacing w:line="240" w:lineRule="auto"/>
              <w:ind w:right="130"/>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Assessoria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Câmara</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de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Coordenação</w:t>
            </w:r>
            <w:r w:rsidRPr="007E59D1">
              <w:rPr>
                <w:rFonts w:ascii="Calibri" w:eastAsia="Segoe UI" w:hAnsi="Calibri" w:cs="Calibri"/>
                <w:b/>
                <w:color w:val="215E99" w:themeColor="text2" w:themeTint="BF"/>
                <w:spacing w:val="-13"/>
                <w:sz w:val="20"/>
                <w:szCs w:val="20"/>
                <w:lang w:val="pt-PT"/>
              </w:rPr>
              <w:t xml:space="preserve"> </w:t>
            </w:r>
            <w:r w:rsidRPr="007E59D1">
              <w:rPr>
                <w:rFonts w:ascii="Calibri" w:eastAsia="Segoe UI" w:hAnsi="Calibri" w:cs="Calibri"/>
                <w:b/>
                <w:color w:val="215E99" w:themeColor="text2" w:themeTint="BF"/>
                <w:sz w:val="20"/>
                <w:szCs w:val="20"/>
                <w:lang w:val="pt-PT"/>
              </w:rPr>
              <w:t>e</w:t>
            </w:r>
            <w:r w:rsidRPr="007E59D1">
              <w:rPr>
                <w:rFonts w:ascii="Calibri" w:eastAsia="Segoe UI" w:hAnsi="Calibri" w:cs="Calibri"/>
                <w:b/>
                <w:color w:val="215E99" w:themeColor="text2" w:themeTint="BF"/>
                <w:spacing w:val="-14"/>
                <w:sz w:val="20"/>
                <w:szCs w:val="20"/>
                <w:lang w:val="pt-PT"/>
              </w:rPr>
              <w:t xml:space="preserve"> </w:t>
            </w:r>
            <w:r w:rsidRPr="007E59D1">
              <w:rPr>
                <w:rFonts w:ascii="Calibri" w:eastAsia="Segoe UI" w:hAnsi="Calibri" w:cs="Calibri"/>
                <w:b/>
                <w:color w:val="215E99" w:themeColor="text2" w:themeTint="BF"/>
                <w:sz w:val="20"/>
                <w:szCs w:val="20"/>
                <w:lang w:val="pt-PT"/>
              </w:rPr>
              <w:t>Revisão</w:t>
            </w:r>
            <w:r w:rsidRPr="007E59D1">
              <w:rPr>
                <w:rFonts w:ascii="Calibri" w:eastAsia="Segoe UI" w:hAnsi="Calibri" w:cs="Calibri"/>
                <w:b/>
                <w:color w:val="215E99" w:themeColor="text2" w:themeTint="BF"/>
                <w:spacing w:val="-12"/>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737EAC0E" w14:textId="77777777" w:rsidR="00792DD5" w:rsidRPr="007E59D1" w:rsidRDefault="00792DD5" w:rsidP="0076437E">
            <w:pPr>
              <w:spacing w:line="240" w:lineRule="auto"/>
              <w:ind w:left="4360" w:right="164" w:hanging="320"/>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4"/>
                <w:sz w:val="20"/>
                <w:szCs w:val="20"/>
                <w:lang w:val="pt-PT"/>
              </w:rPr>
              <w:t>Eduarda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4"/>
                <w:sz w:val="20"/>
                <w:szCs w:val="20"/>
                <w:lang w:val="pt-PT"/>
              </w:rPr>
              <w:t>Espíndola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4"/>
                <w:sz w:val="20"/>
                <w:szCs w:val="20"/>
                <w:lang w:val="pt-PT"/>
              </w:rPr>
              <w:t>de</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4"/>
                <w:sz w:val="20"/>
                <w:szCs w:val="20"/>
                <w:lang w:val="pt-PT"/>
              </w:rPr>
              <w:t xml:space="preserve">Albuquerque </w:t>
            </w:r>
            <w:r w:rsidRPr="007E59D1">
              <w:rPr>
                <w:rFonts w:ascii="Calibri" w:eastAsia="Segoe UI" w:hAnsi="Calibri" w:cs="Calibri"/>
                <w:color w:val="215E99" w:themeColor="text2" w:themeTint="BF"/>
                <w:sz w:val="20"/>
                <w:szCs w:val="20"/>
                <w:lang w:val="pt-PT"/>
              </w:rPr>
              <w:t>Guilherme Carvalho de Melo Helline</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z w:val="20"/>
                <w:szCs w:val="20"/>
                <w:lang w:val="pt-PT"/>
              </w:rPr>
              <w:t>Gomes</w:t>
            </w:r>
            <w:r w:rsidRPr="007E59D1">
              <w:rPr>
                <w:rFonts w:ascii="Calibri" w:eastAsia="Segoe UI" w:hAnsi="Calibri" w:cs="Calibri"/>
                <w:color w:val="215E99" w:themeColor="text2" w:themeTint="BF"/>
                <w:spacing w:val="-9"/>
                <w:sz w:val="20"/>
                <w:szCs w:val="20"/>
                <w:lang w:val="pt-PT"/>
              </w:rPr>
              <w:t xml:space="preserve"> </w:t>
            </w:r>
            <w:r w:rsidRPr="007E59D1">
              <w:rPr>
                <w:rFonts w:ascii="Calibri" w:eastAsia="Segoe UI" w:hAnsi="Calibri" w:cs="Calibri"/>
                <w:color w:val="215E99" w:themeColor="text2" w:themeTint="BF"/>
                <w:sz w:val="20"/>
                <w:szCs w:val="20"/>
                <w:lang w:val="pt-PT"/>
              </w:rPr>
              <w:t>Rodrigues</w:t>
            </w:r>
            <w:r w:rsidRPr="007E59D1">
              <w:rPr>
                <w:rFonts w:ascii="Calibri" w:eastAsia="Segoe UI" w:hAnsi="Calibri" w:cs="Calibri"/>
                <w:color w:val="215E99" w:themeColor="text2" w:themeTint="BF"/>
                <w:spacing w:val="-12"/>
                <w:sz w:val="20"/>
                <w:szCs w:val="20"/>
                <w:lang w:val="pt-PT"/>
              </w:rPr>
              <w:t xml:space="preserve"> </w:t>
            </w:r>
            <w:r w:rsidRPr="007E59D1">
              <w:rPr>
                <w:rFonts w:ascii="Calibri" w:eastAsia="Segoe UI" w:hAnsi="Calibri" w:cs="Calibri"/>
                <w:color w:val="215E99" w:themeColor="text2" w:themeTint="BF"/>
                <w:spacing w:val="-4"/>
                <w:sz w:val="20"/>
                <w:szCs w:val="20"/>
                <w:lang w:val="pt-PT"/>
              </w:rPr>
              <w:t>Pinto</w:t>
            </w:r>
          </w:p>
          <w:p w14:paraId="5D9B95BD" w14:textId="77777777" w:rsidR="00792DD5" w:rsidRPr="007E59D1" w:rsidRDefault="00792DD5" w:rsidP="0076437E">
            <w:pPr>
              <w:spacing w:line="240" w:lineRule="auto"/>
              <w:ind w:right="119"/>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Vitória</w:t>
            </w:r>
            <w:r w:rsidRPr="007E59D1">
              <w:rPr>
                <w:rFonts w:ascii="Calibri" w:eastAsia="Segoe UI" w:hAnsi="Calibri" w:cs="Calibri"/>
                <w:color w:val="215E99" w:themeColor="text2" w:themeTint="BF"/>
                <w:spacing w:val="-10"/>
                <w:sz w:val="20"/>
                <w:szCs w:val="20"/>
                <w:lang w:val="pt-PT"/>
              </w:rPr>
              <w:t xml:space="preserve"> </w:t>
            </w:r>
            <w:r w:rsidRPr="007E59D1">
              <w:rPr>
                <w:rFonts w:ascii="Calibri" w:eastAsia="Segoe UI" w:hAnsi="Calibri" w:cs="Calibri"/>
                <w:color w:val="215E99" w:themeColor="text2" w:themeTint="BF"/>
                <w:spacing w:val="-2"/>
                <w:sz w:val="20"/>
                <w:szCs w:val="20"/>
                <w:lang w:val="pt-PT"/>
              </w:rPr>
              <w:t>Henrique</w:t>
            </w:r>
            <w:r w:rsidRPr="007E59D1">
              <w:rPr>
                <w:rFonts w:ascii="Calibri" w:eastAsia="Segoe UI" w:hAnsi="Calibri" w:cs="Calibri"/>
                <w:color w:val="215E99" w:themeColor="text2" w:themeTint="BF"/>
                <w:spacing w:val="-1"/>
                <w:sz w:val="20"/>
                <w:szCs w:val="20"/>
                <w:lang w:val="pt-PT"/>
              </w:rPr>
              <w:t xml:space="preserve"> </w:t>
            </w:r>
            <w:r w:rsidRPr="007E59D1">
              <w:rPr>
                <w:rFonts w:ascii="Calibri" w:eastAsia="Segoe UI" w:hAnsi="Calibri" w:cs="Calibri"/>
                <w:color w:val="215E99" w:themeColor="text2" w:themeTint="BF"/>
                <w:spacing w:val="-2"/>
                <w:sz w:val="20"/>
                <w:szCs w:val="20"/>
                <w:lang w:val="pt-PT"/>
              </w:rPr>
              <w:t>Vilela</w:t>
            </w:r>
          </w:p>
          <w:p w14:paraId="34CC48DB" w14:textId="77777777" w:rsidR="00792DD5" w:rsidRPr="007E59D1" w:rsidRDefault="00792DD5" w:rsidP="0076437E">
            <w:pPr>
              <w:spacing w:line="240" w:lineRule="auto"/>
              <w:ind w:right="119"/>
              <w:jc w:val="right"/>
              <w:rPr>
                <w:rFonts w:ascii="Calibri" w:eastAsia="Segoe UI" w:hAnsi="Calibri" w:cs="Calibri"/>
                <w:color w:val="215E99" w:themeColor="text2" w:themeTint="BF"/>
                <w:sz w:val="20"/>
                <w:szCs w:val="20"/>
                <w:lang w:val="pt-PT"/>
              </w:rPr>
            </w:pPr>
          </w:p>
          <w:p w14:paraId="1C13C131" w14:textId="77777777" w:rsidR="00792DD5" w:rsidRPr="007E59D1" w:rsidRDefault="00792DD5" w:rsidP="0076437E">
            <w:pPr>
              <w:spacing w:line="240" w:lineRule="auto"/>
              <w:ind w:right="126"/>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Coordenadora</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da</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Câmara</w:t>
            </w:r>
            <w:r w:rsidRPr="007E59D1">
              <w:rPr>
                <w:rFonts w:ascii="Calibri" w:eastAsia="Segoe UI" w:hAnsi="Calibri" w:cs="Calibri"/>
                <w:b/>
                <w:color w:val="215E99" w:themeColor="text2" w:themeTint="BF"/>
                <w:spacing w:val="2"/>
                <w:sz w:val="20"/>
                <w:szCs w:val="20"/>
                <w:lang w:val="pt-PT"/>
              </w:rPr>
              <w:t xml:space="preserve"> </w:t>
            </w:r>
            <w:r w:rsidRPr="007E59D1">
              <w:rPr>
                <w:rFonts w:ascii="Calibri" w:eastAsia="Segoe UI" w:hAnsi="Calibri" w:cs="Calibri"/>
                <w:b/>
                <w:color w:val="215E99" w:themeColor="text2" w:themeTint="BF"/>
                <w:spacing w:val="-2"/>
                <w:sz w:val="20"/>
                <w:szCs w:val="20"/>
                <w:lang w:val="pt-PT"/>
              </w:rPr>
              <w:t>de</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Coordenação</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e</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Revisão</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Cível:</w:t>
            </w:r>
          </w:p>
          <w:p w14:paraId="3CE74127" w14:textId="77777777" w:rsidR="00792DD5" w:rsidRPr="007E59D1" w:rsidRDefault="00792DD5" w:rsidP="0076437E">
            <w:pPr>
              <w:spacing w:line="240" w:lineRule="auto"/>
              <w:ind w:right="123"/>
              <w:jc w:val="right"/>
              <w:rPr>
                <w:rFonts w:ascii="Calibri" w:eastAsia="Segoe UI" w:hAnsi="Calibri" w:cs="Calibri"/>
                <w:color w:val="215E99" w:themeColor="text2" w:themeTint="BF"/>
                <w:spacing w:val="-2"/>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pacing w:val="-2"/>
                <w:sz w:val="20"/>
                <w:szCs w:val="20"/>
                <w:lang w:val="pt-PT"/>
              </w:rPr>
              <w:t>Pereira</w:t>
            </w:r>
            <w:r w:rsidRPr="007E59D1">
              <w:rPr>
                <w:rFonts w:ascii="Calibri" w:eastAsia="Segoe UI" w:hAnsi="Calibri" w:cs="Calibri"/>
                <w:color w:val="215E99" w:themeColor="text2" w:themeTint="BF"/>
                <w:sz w:val="20"/>
                <w:szCs w:val="20"/>
                <w:lang w:val="pt-PT"/>
              </w:rPr>
              <w:t xml:space="preserve"> </w:t>
            </w:r>
            <w:r w:rsidRPr="007E59D1">
              <w:rPr>
                <w:rFonts w:ascii="Calibri" w:eastAsia="Segoe UI" w:hAnsi="Calibri" w:cs="Calibri"/>
                <w:color w:val="215E99" w:themeColor="text2" w:themeTint="BF"/>
                <w:spacing w:val="-2"/>
                <w:sz w:val="20"/>
                <w:szCs w:val="20"/>
                <w:lang w:val="pt-PT"/>
              </w:rPr>
              <w:t>Mesquita</w:t>
            </w:r>
          </w:p>
          <w:p w14:paraId="0EBB5288" w14:textId="77777777" w:rsidR="00792DD5" w:rsidRPr="007E59D1" w:rsidRDefault="00792DD5" w:rsidP="0076437E">
            <w:pPr>
              <w:spacing w:line="240" w:lineRule="auto"/>
              <w:ind w:right="83"/>
              <w:jc w:val="right"/>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Coordenador</w:t>
            </w:r>
            <w:r w:rsidRPr="007E59D1">
              <w:rPr>
                <w:rFonts w:ascii="Calibri" w:eastAsia="Segoe UI" w:hAnsi="Calibri" w:cs="Calibri"/>
                <w:b/>
                <w:color w:val="215E99" w:themeColor="text2" w:themeTint="BF"/>
                <w:spacing w:val="-10"/>
                <w:sz w:val="20"/>
                <w:szCs w:val="20"/>
                <w:lang w:val="pt-PT"/>
              </w:rPr>
              <w:t xml:space="preserve"> </w:t>
            </w:r>
            <w:r w:rsidRPr="007E59D1">
              <w:rPr>
                <w:rFonts w:ascii="Calibri" w:eastAsia="Segoe UI" w:hAnsi="Calibri" w:cs="Calibri"/>
                <w:b/>
                <w:color w:val="215E99" w:themeColor="text2" w:themeTint="BF"/>
                <w:spacing w:val="-2"/>
                <w:sz w:val="20"/>
                <w:szCs w:val="20"/>
                <w:lang w:val="pt-PT"/>
              </w:rPr>
              <w:t>Executivo das</w:t>
            </w:r>
            <w:r w:rsidRPr="007E59D1">
              <w:rPr>
                <w:rFonts w:ascii="Calibri" w:eastAsia="Segoe UI" w:hAnsi="Calibri" w:cs="Calibri"/>
                <w:b/>
                <w:color w:val="215E99" w:themeColor="text2" w:themeTint="BF"/>
                <w:sz w:val="20"/>
                <w:szCs w:val="20"/>
                <w:lang w:val="pt-PT"/>
              </w:rPr>
              <w:t xml:space="preserve"> </w:t>
            </w:r>
            <w:r w:rsidRPr="007E59D1">
              <w:rPr>
                <w:rFonts w:ascii="Calibri" w:eastAsia="Segoe UI" w:hAnsi="Calibri" w:cs="Calibri"/>
                <w:b/>
                <w:color w:val="215E99" w:themeColor="text2" w:themeTint="BF"/>
                <w:spacing w:val="-2"/>
                <w:sz w:val="20"/>
                <w:szCs w:val="20"/>
                <w:lang w:val="pt-PT"/>
              </w:rPr>
              <w:t>Câmaras</w:t>
            </w:r>
            <w:r w:rsidRPr="007E59D1">
              <w:rPr>
                <w:rFonts w:ascii="Calibri" w:eastAsia="Segoe UI" w:hAnsi="Calibri" w:cs="Calibri"/>
                <w:b/>
                <w:color w:val="215E99" w:themeColor="text2" w:themeTint="BF"/>
                <w:spacing w:val="-3"/>
                <w:sz w:val="20"/>
                <w:szCs w:val="20"/>
                <w:lang w:val="pt-PT"/>
              </w:rPr>
              <w:t xml:space="preserve"> </w:t>
            </w:r>
            <w:r w:rsidRPr="007E59D1">
              <w:rPr>
                <w:rFonts w:ascii="Calibri" w:eastAsia="Segoe UI" w:hAnsi="Calibri" w:cs="Calibri"/>
                <w:b/>
                <w:color w:val="215E99" w:themeColor="text2" w:themeTint="BF"/>
                <w:spacing w:val="-2"/>
                <w:sz w:val="20"/>
                <w:szCs w:val="20"/>
                <w:lang w:val="pt-PT"/>
              </w:rPr>
              <w:t>de</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Coordenação</w:t>
            </w:r>
            <w:r w:rsidRPr="007E59D1">
              <w:rPr>
                <w:rFonts w:ascii="Calibri" w:eastAsia="Segoe UI" w:hAnsi="Calibri" w:cs="Calibri"/>
                <w:b/>
                <w:color w:val="215E99" w:themeColor="text2" w:themeTint="BF"/>
                <w:spacing w:val="-1"/>
                <w:sz w:val="20"/>
                <w:szCs w:val="20"/>
                <w:lang w:val="pt-PT"/>
              </w:rPr>
              <w:t xml:space="preserve"> </w:t>
            </w:r>
            <w:r w:rsidRPr="007E59D1">
              <w:rPr>
                <w:rFonts w:ascii="Calibri" w:eastAsia="Segoe UI" w:hAnsi="Calibri" w:cs="Calibri"/>
                <w:b/>
                <w:color w:val="215E99" w:themeColor="text2" w:themeTint="BF"/>
                <w:spacing w:val="-2"/>
                <w:sz w:val="20"/>
                <w:szCs w:val="20"/>
                <w:lang w:val="pt-PT"/>
              </w:rPr>
              <w:t>e</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Revisão:</w:t>
            </w:r>
          </w:p>
          <w:p w14:paraId="4359EB52" w14:textId="77777777" w:rsidR="00792DD5" w:rsidRPr="007E59D1" w:rsidRDefault="00792DD5" w:rsidP="0076437E">
            <w:pPr>
              <w:spacing w:line="240" w:lineRule="auto"/>
              <w:ind w:right="174"/>
              <w:jc w:val="right"/>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Marcos</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z w:val="20"/>
                <w:szCs w:val="20"/>
                <w:lang w:val="pt-PT"/>
              </w:rPr>
              <w:t>Antônio</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z w:val="20"/>
                <w:szCs w:val="20"/>
                <w:lang w:val="pt-PT"/>
              </w:rPr>
              <w:t>Paderes</w:t>
            </w:r>
            <w:r w:rsidRPr="007E59D1">
              <w:rPr>
                <w:rFonts w:ascii="Calibri" w:eastAsia="Segoe UI" w:hAnsi="Calibri" w:cs="Calibri"/>
                <w:color w:val="215E99" w:themeColor="text2" w:themeTint="BF"/>
                <w:spacing w:val="-4"/>
                <w:sz w:val="20"/>
                <w:szCs w:val="20"/>
                <w:lang w:val="pt-PT"/>
              </w:rPr>
              <w:t xml:space="preserve"> </w:t>
            </w:r>
            <w:r w:rsidRPr="007E59D1">
              <w:rPr>
                <w:rFonts w:ascii="Calibri" w:eastAsia="Segoe UI" w:hAnsi="Calibri" w:cs="Calibri"/>
                <w:color w:val="215E99" w:themeColor="text2" w:themeTint="BF"/>
                <w:spacing w:val="-2"/>
                <w:sz w:val="20"/>
                <w:szCs w:val="20"/>
                <w:lang w:val="pt-PT"/>
              </w:rPr>
              <w:t>Barbosa</w:t>
            </w:r>
          </w:p>
        </w:tc>
        <w:tc>
          <w:tcPr>
            <w:tcW w:w="3522" w:type="dxa"/>
            <w:shd w:val="clear" w:color="auto" w:fill="B8CCE1"/>
          </w:tcPr>
          <w:p w14:paraId="6BA5804E" w14:textId="77777777" w:rsidR="00792DD5" w:rsidRPr="007E59D1" w:rsidRDefault="00792DD5" w:rsidP="0076437E">
            <w:pPr>
              <w:spacing w:line="240" w:lineRule="auto"/>
              <w:rPr>
                <w:rFonts w:ascii="Calibri" w:eastAsia="Segoe UI" w:hAnsi="Calibri" w:cs="Calibri"/>
                <w:b/>
                <w:color w:val="215E99" w:themeColor="text2" w:themeTint="BF"/>
                <w:sz w:val="20"/>
                <w:szCs w:val="20"/>
                <w:lang w:val="pt-PT"/>
              </w:rPr>
            </w:pPr>
          </w:p>
          <w:p w14:paraId="4738102B" w14:textId="77777777" w:rsidR="00792DD5" w:rsidRPr="007E59D1" w:rsidRDefault="00792DD5" w:rsidP="0076437E">
            <w:pPr>
              <w:spacing w:before="2" w:line="240" w:lineRule="auto"/>
              <w:rPr>
                <w:rFonts w:ascii="Calibri" w:eastAsia="Segoe UI" w:hAnsi="Calibri" w:cs="Calibri"/>
                <w:b/>
                <w:color w:val="215E99" w:themeColor="text2" w:themeTint="BF"/>
                <w:sz w:val="20"/>
                <w:szCs w:val="20"/>
                <w:lang w:val="pt-PT"/>
              </w:rPr>
            </w:pPr>
          </w:p>
          <w:p w14:paraId="4CD127BF" w14:textId="77777777" w:rsidR="00792DD5" w:rsidRPr="007E59D1" w:rsidRDefault="000B1774" w:rsidP="0076437E">
            <w:pPr>
              <w:spacing w:line="240" w:lineRule="auto"/>
              <w:ind w:left="120"/>
              <w:rPr>
                <w:rFonts w:ascii="Calibri" w:eastAsia="Segoe UI" w:hAnsi="Calibri" w:cs="Calibri"/>
                <w:color w:val="215E99" w:themeColor="text2" w:themeTint="BF"/>
                <w:sz w:val="20"/>
                <w:szCs w:val="20"/>
                <w:lang w:val="pt-PT"/>
              </w:rPr>
            </w:pPr>
            <w:hyperlink r:id="rId8">
              <w:r w:rsidR="00792DD5" w:rsidRPr="007E59D1">
                <w:rPr>
                  <w:rFonts w:ascii="Calibri" w:eastAsia="Segoe UI" w:hAnsi="Calibri" w:cs="Calibri"/>
                  <w:color w:val="215E99" w:themeColor="text2" w:themeTint="BF"/>
                  <w:spacing w:val="-2"/>
                  <w:sz w:val="20"/>
                  <w:szCs w:val="20"/>
                  <w:lang w:val="pt-PT"/>
                </w:rPr>
                <w:t>ccrcivel@dpu.def.br</w:t>
              </w:r>
            </w:hyperlink>
            <w:r w:rsidR="00792DD5" w:rsidRPr="007E59D1">
              <w:rPr>
                <w:rFonts w:ascii="Calibri" w:eastAsia="Segoe UI" w:hAnsi="Calibri" w:cs="Calibri"/>
                <w:color w:val="215E99" w:themeColor="text2" w:themeTint="BF"/>
                <w:spacing w:val="-2"/>
                <w:sz w:val="20"/>
                <w:szCs w:val="20"/>
                <w:lang w:val="pt-PT"/>
              </w:rPr>
              <w:t xml:space="preserve"> </w:t>
            </w:r>
            <w:hyperlink r:id="rId9">
              <w:r w:rsidR="00792DD5" w:rsidRPr="007E59D1">
                <w:rPr>
                  <w:rFonts w:ascii="Calibri" w:eastAsia="Segoe UI" w:hAnsi="Calibri" w:cs="Calibri"/>
                  <w:color w:val="215E99" w:themeColor="text2" w:themeTint="BF"/>
                  <w:spacing w:val="-2"/>
                  <w:sz w:val="20"/>
                  <w:szCs w:val="20"/>
                  <w:lang w:val="pt-PT"/>
                </w:rPr>
                <w:t>camaras.secretaria@dpu.def.br</w:t>
              </w:r>
            </w:hyperlink>
            <w:r w:rsidR="00792DD5" w:rsidRPr="007E59D1">
              <w:rPr>
                <w:rFonts w:ascii="Calibri" w:eastAsia="Segoe UI" w:hAnsi="Calibri" w:cs="Calibri"/>
                <w:color w:val="215E99" w:themeColor="text2" w:themeTint="BF"/>
                <w:spacing w:val="-2"/>
                <w:sz w:val="20"/>
                <w:szCs w:val="20"/>
                <w:lang w:val="pt-PT"/>
              </w:rPr>
              <w:t xml:space="preserve"> </w:t>
            </w:r>
            <w:hyperlink r:id="rId10">
              <w:r w:rsidR="00792DD5" w:rsidRPr="007E59D1">
                <w:rPr>
                  <w:rFonts w:ascii="Calibri" w:eastAsia="Segoe UI" w:hAnsi="Calibri" w:cs="Calibri"/>
                  <w:color w:val="215E99" w:themeColor="text2" w:themeTint="BF"/>
                  <w:spacing w:val="-2"/>
                  <w:w w:val="90"/>
                  <w:sz w:val="20"/>
                  <w:szCs w:val="20"/>
                  <w:lang w:val="pt-PT"/>
                </w:rPr>
                <w:t>https://www.dpu.def.br/camaras</w:t>
              </w:r>
            </w:hyperlink>
          </w:p>
          <w:p w14:paraId="0EEEBA55" w14:textId="77777777" w:rsidR="00792DD5" w:rsidRPr="007E59D1" w:rsidRDefault="00792DD5" w:rsidP="0076437E">
            <w:pPr>
              <w:spacing w:before="4" w:line="240" w:lineRule="auto"/>
              <w:ind w:left="120"/>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(61)</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z w:val="20"/>
                <w:szCs w:val="20"/>
                <w:lang w:val="pt-PT"/>
              </w:rPr>
              <w:t>3318-</w:t>
            </w:r>
            <w:r w:rsidRPr="007E59D1">
              <w:rPr>
                <w:rFonts w:ascii="Calibri" w:eastAsia="Segoe UI" w:hAnsi="Calibri" w:cs="Calibri"/>
                <w:color w:val="215E99" w:themeColor="text2" w:themeTint="BF"/>
                <w:spacing w:val="-4"/>
                <w:sz w:val="20"/>
                <w:szCs w:val="20"/>
                <w:lang w:val="pt-PT"/>
              </w:rPr>
              <w:t>0205</w:t>
            </w:r>
          </w:p>
          <w:p w14:paraId="776F1097" w14:textId="77777777" w:rsidR="00792DD5" w:rsidRPr="007E59D1" w:rsidRDefault="00792DD5" w:rsidP="0076437E">
            <w:pPr>
              <w:spacing w:line="240" w:lineRule="auto"/>
              <w:rPr>
                <w:rFonts w:ascii="Calibri" w:eastAsia="Segoe UI" w:hAnsi="Calibri" w:cs="Calibri"/>
                <w:b/>
                <w:color w:val="215E99" w:themeColor="text2" w:themeTint="BF"/>
                <w:sz w:val="20"/>
                <w:szCs w:val="20"/>
                <w:lang w:val="pt-PT"/>
              </w:rPr>
            </w:pPr>
          </w:p>
          <w:p w14:paraId="7ADC5628" w14:textId="77777777" w:rsidR="00792DD5" w:rsidRPr="007E59D1" w:rsidRDefault="00792DD5" w:rsidP="0076437E">
            <w:pPr>
              <w:spacing w:line="240" w:lineRule="auto"/>
              <w:ind w:left="120" w:right="1015"/>
              <w:rPr>
                <w:rFonts w:ascii="Calibri" w:eastAsia="Segoe UI" w:hAnsi="Calibri" w:cs="Calibri"/>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Secretaria</w:t>
            </w:r>
            <w:r w:rsidRPr="007E59D1">
              <w:rPr>
                <w:rFonts w:ascii="Calibri" w:eastAsia="Segoe UI" w:hAnsi="Calibri" w:cs="Calibri"/>
                <w:b/>
                <w:color w:val="215E99" w:themeColor="text2" w:themeTint="BF"/>
                <w:spacing w:val="-1"/>
                <w:sz w:val="20"/>
                <w:szCs w:val="20"/>
                <w:lang w:val="pt-PT"/>
              </w:rPr>
              <w:t xml:space="preserve"> </w:t>
            </w:r>
            <w:r w:rsidRPr="007E59D1">
              <w:rPr>
                <w:rFonts w:ascii="Calibri" w:eastAsia="Segoe UI" w:hAnsi="Calibri" w:cs="Calibri"/>
                <w:b/>
                <w:color w:val="215E99" w:themeColor="text2" w:themeTint="BF"/>
                <w:sz w:val="20"/>
                <w:szCs w:val="20"/>
                <w:lang w:val="pt-PT"/>
              </w:rPr>
              <w:t>das</w:t>
            </w:r>
            <w:r w:rsidRPr="007E59D1">
              <w:rPr>
                <w:rFonts w:ascii="Calibri" w:eastAsia="Segoe UI" w:hAnsi="Calibri" w:cs="Calibri"/>
                <w:b/>
                <w:color w:val="215E99" w:themeColor="text2" w:themeTint="BF"/>
                <w:spacing w:val="-2"/>
                <w:sz w:val="20"/>
                <w:szCs w:val="20"/>
                <w:lang w:val="pt-PT"/>
              </w:rPr>
              <w:t xml:space="preserve"> </w:t>
            </w:r>
            <w:r w:rsidRPr="007E59D1">
              <w:rPr>
                <w:rFonts w:ascii="Calibri" w:eastAsia="Segoe UI" w:hAnsi="Calibri" w:cs="Calibri"/>
                <w:b/>
                <w:color w:val="215E99" w:themeColor="text2" w:themeTint="BF"/>
                <w:sz w:val="20"/>
                <w:szCs w:val="20"/>
                <w:lang w:val="pt-PT"/>
              </w:rPr>
              <w:t xml:space="preserve">Câmaras: </w:t>
            </w:r>
            <w:r w:rsidRPr="007E59D1">
              <w:rPr>
                <w:rFonts w:ascii="Calibri" w:eastAsia="Segoe UI" w:hAnsi="Calibri" w:cs="Calibri"/>
                <w:color w:val="215E99" w:themeColor="text2" w:themeTint="BF"/>
                <w:sz w:val="20"/>
                <w:szCs w:val="20"/>
                <w:lang w:val="pt-PT"/>
              </w:rPr>
              <w:t xml:space="preserve">Caio Noronha Matos </w:t>
            </w:r>
            <w:r w:rsidRPr="007E59D1">
              <w:rPr>
                <w:rFonts w:ascii="Calibri" w:eastAsia="Segoe UI" w:hAnsi="Calibri" w:cs="Calibri"/>
                <w:color w:val="215E99" w:themeColor="text2" w:themeTint="BF"/>
                <w:spacing w:val="-4"/>
                <w:sz w:val="20"/>
                <w:szCs w:val="20"/>
                <w:lang w:val="pt-PT"/>
              </w:rPr>
              <w:t>Camila</w:t>
            </w:r>
            <w:r w:rsidRPr="007E59D1">
              <w:rPr>
                <w:rFonts w:ascii="Calibri" w:eastAsia="Segoe UI" w:hAnsi="Calibri" w:cs="Calibri"/>
                <w:color w:val="215E99" w:themeColor="text2" w:themeTint="BF"/>
                <w:spacing w:val="-8"/>
                <w:sz w:val="20"/>
                <w:szCs w:val="20"/>
                <w:lang w:val="pt-PT"/>
              </w:rPr>
              <w:t xml:space="preserve"> </w:t>
            </w:r>
            <w:r w:rsidRPr="007E59D1">
              <w:rPr>
                <w:rFonts w:ascii="Calibri" w:eastAsia="Segoe UI" w:hAnsi="Calibri" w:cs="Calibri"/>
                <w:color w:val="215E99" w:themeColor="text2" w:themeTint="BF"/>
                <w:spacing w:val="-4"/>
                <w:sz w:val="20"/>
                <w:szCs w:val="20"/>
                <w:lang w:val="pt-PT"/>
              </w:rPr>
              <w:t>Morais</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4"/>
                <w:sz w:val="20"/>
                <w:szCs w:val="20"/>
                <w:lang w:val="pt-PT"/>
              </w:rPr>
              <w:t>Vilas</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4"/>
                <w:sz w:val="20"/>
                <w:szCs w:val="20"/>
                <w:lang w:val="pt-PT"/>
              </w:rPr>
              <w:t>Novas</w:t>
            </w:r>
          </w:p>
          <w:p w14:paraId="71E22C8C" w14:textId="77777777" w:rsidR="00792DD5" w:rsidRPr="007E59D1" w:rsidRDefault="00792DD5" w:rsidP="0076437E">
            <w:pPr>
              <w:spacing w:line="240" w:lineRule="auto"/>
              <w:rPr>
                <w:rFonts w:ascii="Calibri" w:eastAsia="Segoe UI" w:hAnsi="Calibri" w:cs="Calibri"/>
                <w:b/>
                <w:color w:val="215E99" w:themeColor="text2" w:themeTint="BF"/>
                <w:sz w:val="20"/>
                <w:szCs w:val="20"/>
                <w:lang w:val="pt-PT"/>
              </w:rPr>
            </w:pPr>
          </w:p>
          <w:p w14:paraId="0CD3E5FB" w14:textId="77777777" w:rsidR="00792DD5" w:rsidRPr="007E59D1" w:rsidRDefault="00792DD5" w:rsidP="0076437E">
            <w:pPr>
              <w:spacing w:line="240" w:lineRule="auto"/>
              <w:ind w:left="120"/>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z w:val="20"/>
                <w:szCs w:val="20"/>
                <w:lang w:val="pt-PT"/>
              </w:rPr>
              <w:t>Estagiária</w:t>
            </w:r>
            <w:r w:rsidRPr="007E59D1">
              <w:rPr>
                <w:rFonts w:ascii="Calibri" w:eastAsia="Segoe UI" w:hAnsi="Calibri" w:cs="Calibri"/>
                <w:b/>
                <w:color w:val="215E99" w:themeColor="text2" w:themeTint="BF"/>
                <w:spacing w:val="65"/>
                <w:sz w:val="20"/>
                <w:szCs w:val="20"/>
                <w:lang w:val="pt-PT"/>
              </w:rPr>
              <w:t xml:space="preserve"> </w:t>
            </w:r>
            <w:r w:rsidRPr="007E59D1">
              <w:rPr>
                <w:rFonts w:ascii="Calibri" w:eastAsia="Segoe UI" w:hAnsi="Calibri" w:cs="Calibri"/>
                <w:b/>
                <w:color w:val="215E99" w:themeColor="text2" w:themeTint="BF"/>
                <w:sz w:val="20"/>
                <w:szCs w:val="20"/>
                <w:lang w:val="pt-PT"/>
              </w:rPr>
              <w:t>da</w:t>
            </w:r>
            <w:r w:rsidRPr="007E59D1">
              <w:rPr>
                <w:rFonts w:ascii="Calibri" w:eastAsia="Segoe UI" w:hAnsi="Calibri" w:cs="Calibri"/>
                <w:b/>
                <w:color w:val="215E99" w:themeColor="text2" w:themeTint="BF"/>
                <w:spacing w:val="65"/>
                <w:sz w:val="20"/>
                <w:szCs w:val="20"/>
                <w:lang w:val="pt-PT"/>
              </w:rPr>
              <w:t xml:space="preserve"> </w:t>
            </w:r>
            <w:r w:rsidRPr="007E59D1">
              <w:rPr>
                <w:rFonts w:ascii="Calibri" w:eastAsia="Segoe UI" w:hAnsi="Calibri" w:cs="Calibri"/>
                <w:b/>
                <w:color w:val="215E99" w:themeColor="text2" w:themeTint="BF"/>
                <w:spacing w:val="-2"/>
                <w:sz w:val="20"/>
                <w:szCs w:val="20"/>
                <w:lang w:val="pt-PT"/>
              </w:rPr>
              <w:t>secretaria:</w:t>
            </w:r>
          </w:p>
          <w:p w14:paraId="382A900C" w14:textId="77777777" w:rsidR="00792DD5" w:rsidRPr="007E59D1" w:rsidRDefault="00792DD5" w:rsidP="0076437E">
            <w:pPr>
              <w:spacing w:before="2" w:line="240" w:lineRule="auto"/>
              <w:ind w:left="120"/>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z w:val="20"/>
                <w:szCs w:val="20"/>
                <w:lang w:val="pt-PT"/>
              </w:rPr>
              <w:t>Paloma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z w:val="20"/>
                <w:szCs w:val="20"/>
                <w:lang w:val="pt-PT"/>
              </w:rPr>
              <w:t>Rocha</w:t>
            </w:r>
            <w:r w:rsidRPr="007E59D1">
              <w:rPr>
                <w:rFonts w:ascii="Calibri" w:eastAsia="Segoe UI" w:hAnsi="Calibri" w:cs="Calibri"/>
                <w:color w:val="215E99" w:themeColor="text2" w:themeTint="BF"/>
                <w:spacing w:val="-7"/>
                <w:sz w:val="20"/>
                <w:szCs w:val="20"/>
                <w:lang w:val="pt-PT"/>
              </w:rPr>
              <w:t xml:space="preserve"> </w:t>
            </w:r>
            <w:r w:rsidRPr="007E59D1">
              <w:rPr>
                <w:rFonts w:ascii="Calibri" w:eastAsia="Segoe UI" w:hAnsi="Calibri" w:cs="Calibri"/>
                <w:color w:val="215E99" w:themeColor="text2" w:themeTint="BF"/>
                <w:sz w:val="20"/>
                <w:szCs w:val="20"/>
                <w:lang w:val="pt-PT"/>
              </w:rPr>
              <w:t>de</w:t>
            </w:r>
            <w:r w:rsidRPr="007E59D1">
              <w:rPr>
                <w:rFonts w:ascii="Calibri" w:eastAsia="Segoe UI" w:hAnsi="Calibri" w:cs="Calibri"/>
                <w:color w:val="215E99" w:themeColor="text2" w:themeTint="BF"/>
                <w:spacing w:val="-6"/>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p>
          <w:p w14:paraId="53E4E93C" w14:textId="77777777" w:rsidR="00792DD5" w:rsidRPr="007E59D1" w:rsidRDefault="00792DD5" w:rsidP="0076437E">
            <w:pPr>
              <w:spacing w:before="1" w:line="240" w:lineRule="auto"/>
              <w:rPr>
                <w:rFonts w:ascii="Calibri" w:eastAsia="Segoe UI" w:hAnsi="Calibri" w:cs="Calibri"/>
                <w:b/>
                <w:color w:val="215E99" w:themeColor="text2" w:themeTint="BF"/>
                <w:sz w:val="20"/>
                <w:szCs w:val="20"/>
                <w:lang w:val="pt-PT"/>
              </w:rPr>
            </w:pPr>
          </w:p>
          <w:p w14:paraId="0FD48A93" w14:textId="77777777" w:rsidR="00792DD5" w:rsidRPr="007E59D1" w:rsidRDefault="00792DD5" w:rsidP="0076437E">
            <w:pPr>
              <w:spacing w:line="240" w:lineRule="auto"/>
              <w:ind w:left="120"/>
              <w:rPr>
                <w:rFonts w:ascii="Calibri" w:eastAsia="Segoe UI" w:hAnsi="Calibri" w:cs="Calibri"/>
                <w:b/>
                <w:color w:val="215E99" w:themeColor="text2" w:themeTint="BF"/>
                <w:sz w:val="20"/>
                <w:szCs w:val="20"/>
                <w:lang w:val="pt-PT"/>
              </w:rPr>
            </w:pPr>
            <w:r w:rsidRPr="007E59D1">
              <w:rPr>
                <w:rFonts w:ascii="Calibri" w:eastAsia="Segoe UI" w:hAnsi="Calibri" w:cs="Calibri"/>
                <w:b/>
                <w:color w:val="215E99" w:themeColor="text2" w:themeTint="BF"/>
                <w:spacing w:val="-2"/>
                <w:sz w:val="20"/>
                <w:szCs w:val="20"/>
                <w:lang w:val="pt-PT"/>
              </w:rPr>
              <w:t>Elaboração</w:t>
            </w:r>
            <w:r w:rsidRPr="007E59D1">
              <w:rPr>
                <w:rFonts w:ascii="Calibri" w:eastAsia="Segoe UI" w:hAnsi="Calibri" w:cs="Calibri"/>
                <w:b/>
                <w:color w:val="215E99" w:themeColor="text2" w:themeTint="BF"/>
                <w:spacing w:val="-4"/>
                <w:sz w:val="20"/>
                <w:szCs w:val="20"/>
                <w:lang w:val="pt-PT"/>
              </w:rPr>
              <w:t xml:space="preserve"> </w:t>
            </w:r>
            <w:r w:rsidRPr="007E59D1">
              <w:rPr>
                <w:rFonts w:ascii="Calibri" w:eastAsia="Segoe UI" w:hAnsi="Calibri" w:cs="Calibri"/>
                <w:b/>
                <w:color w:val="215E99" w:themeColor="text2" w:themeTint="BF"/>
                <w:spacing w:val="-2"/>
                <w:sz w:val="20"/>
                <w:szCs w:val="20"/>
                <w:lang w:val="pt-PT"/>
              </w:rPr>
              <w:t>desta</w:t>
            </w:r>
            <w:r w:rsidRPr="007E59D1">
              <w:rPr>
                <w:rFonts w:ascii="Calibri" w:eastAsia="Segoe UI" w:hAnsi="Calibri" w:cs="Calibri"/>
                <w:b/>
                <w:color w:val="215E99" w:themeColor="text2" w:themeTint="BF"/>
                <w:spacing w:val="-5"/>
                <w:sz w:val="20"/>
                <w:szCs w:val="20"/>
                <w:lang w:val="pt-PT"/>
              </w:rPr>
              <w:t xml:space="preserve"> </w:t>
            </w:r>
            <w:r w:rsidRPr="007E59D1">
              <w:rPr>
                <w:rFonts w:ascii="Calibri" w:eastAsia="Segoe UI" w:hAnsi="Calibri" w:cs="Calibri"/>
                <w:b/>
                <w:color w:val="215E99" w:themeColor="text2" w:themeTint="BF"/>
                <w:spacing w:val="-2"/>
                <w:sz w:val="20"/>
                <w:szCs w:val="20"/>
                <w:lang w:val="pt-PT"/>
              </w:rPr>
              <w:t>edição:</w:t>
            </w:r>
          </w:p>
          <w:p w14:paraId="67D4F2D4" w14:textId="77777777" w:rsidR="00792DD5" w:rsidRPr="007E59D1" w:rsidRDefault="00792DD5" w:rsidP="0076437E">
            <w:pPr>
              <w:spacing w:before="2" w:line="240" w:lineRule="auto"/>
              <w:ind w:left="85"/>
              <w:rPr>
                <w:rFonts w:ascii="Calibri" w:eastAsia="Segoe UI" w:hAnsi="Calibri" w:cs="Calibri"/>
                <w:color w:val="215E99" w:themeColor="text2" w:themeTint="BF"/>
                <w:sz w:val="20"/>
                <w:szCs w:val="20"/>
                <w:lang w:val="pt-PT"/>
              </w:rPr>
            </w:pPr>
            <w:r w:rsidRPr="007E59D1">
              <w:rPr>
                <w:rFonts w:ascii="Calibri" w:eastAsia="Segoe UI" w:hAnsi="Calibri" w:cs="Calibri"/>
                <w:color w:val="215E99" w:themeColor="text2" w:themeTint="BF"/>
                <w:spacing w:val="-2"/>
                <w:sz w:val="20"/>
                <w:szCs w:val="20"/>
                <w:lang w:val="pt-PT"/>
              </w:rPr>
              <w:t>Maíra</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pacing w:val="-2"/>
                <w:sz w:val="20"/>
                <w:szCs w:val="20"/>
                <w:lang w:val="pt-PT"/>
              </w:rPr>
              <w:t>de</w:t>
            </w:r>
            <w:r w:rsidRPr="007E59D1">
              <w:rPr>
                <w:rFonts w:ascii="Calibri" w:eastAsia="Segoe UI" w:hAnsi="Calibri" w:cs="Calibri"/>
                <w:color w:val="215E99" w:themeColor="text2" w:themeTint="BF"/>
                <w:spacing w:val="-5"/>
                <w:sz w:val="20"/>
                <w:szCs w:val="20"/>
                <w:lang w:val="pt-PT"/>
              </w:rPr>
              <w:t xml:space="preserve"> </w:t>
            </w:r>
            <w:r w:rsidRPr="007E59D1">
              <w:rPr>
                <w:rFonts w:ascii="Calibri" w:eastAsia="Segoe UI" w:hAnsi="Calibri" w:cs="Calibri"/>
                <w:color w:val="215E99" w:themeColor="text2" w:themeTint="BF"/>
                <w:spacing w:val="-2"/>
                <w:sz w:val="20"/>
                <w:szCs w:val="20"/>
                <w:lang w:val="pt-PT"/>
              </w:rPr>
              <w:t>Carvalho</w:t>
            </w:r>
            <w:r w:rsidRPr="007E59D1">
              <w:rPr>
                <w:rFonts w:ascii="Calibri" w:eastAsia="Segoe UI" w:hAnsi="Calibri" w:cs="Calibri"/>
                <w:color w:val="215E99" w:themeColor="text2" w:themeTint="BF"/>
                <w:spacing w:val="-11"/>
                <w:sz w:val="20"/>
                <w:szCs w:val="20"/>
                <w:lang w:val="pt-PT"/>
              </w:rPr>
              <w:t xml:space="preserve"> </w:t>
            </w:r>
            <w:r w:rsidRPr="007E59D1">
              <w:rPr>
                <w:rFonts w:ascii="Calibri" w:eastAsia="Segoe UI" w:hAnsi="Calibri" w:cs="Calibri"/>
                <w:color w:val="215E99" w:themeColor="text2" w:themeTint="BF"/>
                <w:spacing w:val="-2"/>
                <w:sz w:val="20"/>
                <w:szCs w:val="20"/>
                <w:lang w:val="pt-PT"/>
              </w:rPr>
              <w:t xml:space="preserve">Pereira Mesquita </w:t>
            </w:r>
          </w:p>
        </w:tc>
      </w:tr>
    </w:tbl>
    <w:p w14:paraId="6A7E487F" w14:textId="77777777" w:rsidR="00792DD5" w:rsidRPr="007E59D1" w:rsidRDefault="00792DD5" w:rsidP="00792DD5">
      <w:pPr>
        <w:rPr>
          <w:rFonts w:ascii="Calibri" w:hAnsi="Calibri" w:cs="Calibri"/>
          <w:color w:val="215E99" w:themeColor="text2" w:themeTint="BF"/>
          <w:sz w:val="20"/>
          <w:szCs w:val="20"/>
        </w:rPr>
      </w:pPr>
    </w:p>
    <w:p w14:paraId="3F0A2EB3" w14:textId="77777777" w:rsidR="001C41C0" w:rsidRDefault="001C41C0"/>
    <w:sectPr w:rsidR="001C41C0" w:rsidSect="00792DD5">
      <w:headerReference w:type="first" r:id="rId11"/>
      <w:pgSz w:w="11906" w:h="16838"/>
      <w:pgMar w:top="1417" w:right="1701" w:bottom="1417" w:left="1701" w:header="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45557" w14:textId="77777777" w:rsidR="0025309B" w:rsidRDefault="0025309B">
      <w:pPr>
        <w:spacing w:after="0" w:line="240" w:lineRule="auto"/>
      </w:pPr>
      <w:r>
        <w:separator/>
      </w:r>
    </w:p>
  </w:endnote>
  <w:endnote w:type="continuationSeparator" w:id="0">
    <w:p w14:paraId="12274259" w14:textId="77777777" w:rsidR="0025309B" w:rsidRDefault="00253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9605E1" w14:textId="77777777" w:rsidR="0025309B" w:rsidRDefault="0025309B">
      <w:pPr>
        <w:spacing w:after="0" w:line="240" w:lineRule="auto"/>
      </w:pPr>
      <w:r>
        <w:separator/>
      </w:r>
    </w:p>
  </w:footnote>
  <w:footnote w:type="continuationSeparator" w:id="0">
    <w:p w14:paraId="663445A7" w14:textId="77777777" w:rsidR="0025309B" w:rsidRDefault="00253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01F8F" w14:textId="77777777" w:rsidR="0027567B" w:rsidRDefault="0025309B">
    <w:pPr>
      <w:pStyle w:val="Cabealho"/>
    </w:pPr>
    <w:r>
      <w:rPr>
        <w:noProof/>
        <w:lang w:eastAsia="pt-BR"/>
      </w:rPr>
      <w:drawing>
        <wp:anchor distT="0" distB="0" distL="0" distR="0" simplePos="0" relativeHeight="251659264" behindDoc="0" locked="0" layoutInCell="1" allowOverlap="1" wp14:anchorId="4B2714AC" wp14:editId="3550F7E1">
          <wp:simplePos x="0" y="0"/>
          <wp:positionH relativeFrom="page">
            <wp:posOffset>-18415</wp:posOffset>
          </wp:positionH>
          <wp:positionV relativeFrom="paragraph">
            <wp:posOffset>-127000</wp:posOffset>
          </wp:positionV>
          <wp:extent cx="7552181" cy="2157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52181" cy="2157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155123"/>
    <w:multiLevelType w:val="multilevel"/>
    <w:tmpl w:val="EA78B6A2"/>
    <w:lvl w:ilvl="0">
      <w:start w:val="2"/>
      <w:numFmt w:val="upp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1FB6EAC"/>
    <w:multiLevelType w:val="multilevel"/>
    <w:tmpl w:val="1A36FADE"/>
    <w:lvl w:ilvl="0">
      <w:start w:val="1"/>
      <w:numFmt w:val="upperRoman"/>
      <w:lvlText w:val="%1."/>
      <w:lvlJc w:val="right"/>
      <w:pPr>
        <w:tabs>
          <w:tab w:val="num" w:pos="72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69724074">
    <w:abstractNumId w:val="1"/>
  </w:num>
  <w:num w:numId="2" w16cid:durableId="2133743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D5"/>
    <w:rsid w:val="000158EF"/>
    <w:rsid w:val="00066E9C"/>
    <w:rsid w:val="000B1774"/>
    <w:rsid w:val="000C4F79"/>
    <w:rsid w:val="001460BB"/>
    <w:rsid w:val="001C41C0"/>
    <w:rsid w:val="0025309B"/>
    <w:rsid w:val="0027567B"/>
    <w:rsid w:val="002C7E5E"/>
    <w:rsid w:val="004E6D42"/>
    <w:rsid w:val="006E45A9"/>
    <w:rsid w:val="00792DD5"/>
    <w:rsid w:val="008D366B"/>
    <w:rsid w:val="008D51C5"/>
    <w:rsid w:val="00D964BC"/>
    <w:rsid w:val="00E150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F41BE"/>
  <w15:chartTrackingRefBased/>
  <w15:docId w15:val="{FE052688-7BD4-44C9-AFDD-9E284E77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DD5"/>
    <w:pPr>
      <w:suppressAutoHyphens/>
      <w:spacing w:line="276" w:lineRule="auto"/>
    </w:pPr>
    <w:rPr>
      <w:sz w:val="24"/>
      <w:szCs w:val="24"/>
    </w:rPr>
  </w:style>
  <w:style w:type="paragraph" w:styleId="Ttulo1">
    <w:name w:val="heading 1"/>
    <w:basedOn w:val="Normal"/>
    <w:next w:val="Normal"/>
    <w:link w:val="Ttulo1Char"/>
    <w:uiPriority w:val="9"/>
    <w:qFormat/>
    <w:rsid w:val="0079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92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92D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92D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92D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92D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92D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92D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92DD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92DD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92DD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92DD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92DD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92DD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92DD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92DD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92DD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92DD5"/>
    <w:rPr>
      <w:rFonts w:eastAsiaTheme="majorEastAsia" w:cstheme="majorBidi"/>
      <w:color w:val="272727" w:themeColor="text1" w:themeTint="D8"/>
    </w:rPr>
  </w:style>
  <w:style w:type="paragraph" w:styleId="Ttulo">
    <w:name w:val="Title"/>
    <w:basedOn w:val="Normal"/>
    <w:next w:val="Normal"/>
    <w:link w:val="TtuloChar"/>
    <w:uiPriority w:val="10"/>
    <w:qFormat/>
    <w:rsid w:val="00792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92D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92DD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92DD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92DD5"/>
    <w:pPr>
      <w:spacing w:before="160"/>
      <w:jc w:val="center"/>
    </w:pPr>
    <w:rPr>
      <w:i/>
      <w:iCs/>
      <w:color w:val="404040" w:themeColor="text1" w:themeTint="BF"/>
    </w:rPr>
  </w:style>
  <w:style w:type="character" w:customStyle="1" w:styleId="CitaoChar">
    <w:name w:val="Citação Char"/>
    <w:basedOn w:val="Fontepargpadro"/>
    <w:link w:val="Citao"/>
    <w:uiPriority w:val="29"/>
    <w:rsid w:val="00792DD5"/>
    <w:rPr>
      <w:i/>
      <w:iCs/>
      <w:color w:val="404040" w:themeColor="text1" w:themeTint="BF"/>
    </w:rPr>
  </w:style>
  <w:style w:type="paragraph" w:styleId="PargrafodaLista">
    <w:name w:val="List Paragraph"/>
    <w:basedOn w:val="Normal"/>
    <w:uiPriority w:val="34"/>
    <w:qFormat/>
    <w:rsid w:val="00792DD5"/>
    <w:pPr>
      <w:ind w:left="720"/>
      <w:contextualSpacing/>
    </w:pPr>
  </w:style>
  <w:style w:type="character" w:styleId="nfaseIntensa">
    <w:name w:val="Intense Emphasis"/>
    <w:basedOn w:val="Fontepargpadro"/>
    <w:uiPriority w:val="21"/>
    <w:qFormat/>
    <w:rsid w:val="00792DD5"/>
    <w:rPr>
      <w:i/>
      <w:iCs/>
      <w:color w:val="0F4761" w:themeColor="accent1" w:themeShade="BF"/>
    </w:rPr>
  </w:style>
  <w:style w:type="paragraph" w:styleId="CitaoIntensa">
    <w:name w:val="Intense Quote"/>
    <w:basedOn w:val="Normal"/>
    <w:next w:val="Normal"/>
    <w:link w:val="CitaoIntensaChar"/>
    <w:uiPriority w:val="30"/>
    <w:qFormat/>
    <w:rsid w:val="0079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92DD5"/>
    <w:rPr>
      <w:i/>
      <w:iCs/>
      <w:color w:val="0F4761" w:themeColor="accent1" w:themeShade="BF"/>
    </w:rPr>
  </w:style>
  <w:style w:type="character" w:styleId="RefernciaIntensa">
    <w:name w:val="Intense Reference"/>
    <w:basedOn w:val="Fontepargpadro"/>
    <w:uiPriority w:val="32"/>
    <w:qFormat/>
    <w:rsid w:val="00792DD5"/>
    <w:rPr>
      <w:b/>
      <w:bCs/>
      <w:smallCaps/>
      <w:color w:val="0F4761" w:themeColor="accent1" w:themeShade="BF"/>
      <w:spacing w:val="5"/>
    </w:rPr>
  </w:style>
  <w:style w:type="character" w:customStyle="1" w:styleId="LinkdaInternet">
    <w:name w:val="Link da Internet"/>
    <w:basedOn w:val="Fontepargpadro"/>
    <w:uiPriority w:val="99"/>
    <w:unhideWhenUsed/>
    <w:rsid w:val="00792DD5"/>
    <w:rPr>
      <w:color w:val="467886" w:themeColor="hyperlink"/>
      <w:u w:val="single"/>
    </w:rPr>
  </w:style>
  <w:style w:type="paragraph" w:styleId="Corpodetexto">
    <w:name w:val="Body Text"/>
    <w:basedOn w:val="Normal"/>
    <w:link w:val="CorpodetextoChar"/>
    <w:rsid w:val="00792DD5"/>
    <w:pPr>
      <w:spacing w:after="140"/>
    </w:pPr>
  </w:style>
  <w:style w:type="character" w:customStyle="1" w:styleId="CorpodetextoChar">
    <w:name w:val="Corpo de texto Char"/>
    <w:basedOn w:val="Fontepargpadro"/>
    <w:link w:val="Corpodetexto"/>
    <w:rsid w:val="00792DD5"/>
    <w:rPr>
      <w:sz w:val="24"/>
      <w:szCs w:val="24"/>
    </w:rPr>
  </w:style>
  <w:style w:type="table" w:styleId="Tabelacomgrade">
    <w:name w:val="Table Grid"/>
    <w:basedOn w:val="Tabelanormal"/>
    <w:uiPriority w:val="39"/>
    <w:rsid w:val="00792DD5"/>
    <w:pPr>
      <w:suppressAutoHyphens/>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792D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92DD5"/>
    <w:rPr>
      <w:sz w:val="24"/>
      <w:szCs w:val="24"/>
    </w:rPr>
  </w:style>
  <w:style w:type="table" w:customStyle="1" w:styleId="TableNormal1">
    <w:name w:val="Table Normal1"/>
    <w:uiPriority w:val="2"/>
    <w:semiHidden/>
    <w:unhideWhenUsed/>
    <w:qFormat/>
    <w:rsid w:val="00792DD5"/>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crcivel@dpu.def.b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lanalto.gov.br/ccivil_03/LEIS/L8742.htm"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yperlink" Target="https://www.dpu.def.br/camaras" TargetMode="External"/><Relationship Id="rId4" Type="http://schemas.openxmlformats.org/officeDocument/2006/relationships/webSettings" Target="webSettings.xml"/><Relationship Id="rId9" Type="http://schemas.openxmlformats.org/officeDocument/2006/relationships/hyperlink" Target="mailto:camaras.secretaria@dpu.def.br" TargetMode="Externa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A14533-FF17-4E56-BC41-064C9711A454}"/>
</file>

<file path=customXml/itemProps2.xml><?xml version="1.0" encoding="utf-8"?>
<ds:datastoreItem xmlns:ds="http://schemas.openxmlformats.org/officeDocument/2006/customXml" ds:itemID="{BDB60414-FAF3-442F-B840-1BC987561734}"/>
</file>

<file path=customXml/itemProps3.xml><?xml version="1.0" encoding="utf-8"?>
<ds:datastoreItem xmlns:ds="http://schemas.openxmlformats.org/officeDocument/2006/customXml" ds:itemID="{1B5D0100-0353-48B7-A595-AA1B090B2EF0}"/>
</file>

<file path=docProps/app.xml><?xml version="1.0" encoding="utf-8"?>
<Properties xmlns="http://schemas.openxmlformats.org/officeDocument/2006/extended-properties" xmlns:vt="http://schemas.openxmlformats.org/officeDocument/2006/docPropsVTypes">
  <Template>Normal</Template>
  <TotalTime>2</TotalTime>
  <Pages>11</Pages>
  <Words>4837</Words>
  <Characters>26125</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 de Carvalho Pereira</dc:creator>
  <cp:keywords/>
  <dc:description/>
  <cp:lastModifiedBy>Maira de Carvalho Pereira</cp:lastModifiedBy>
  <cp:revision>2</cp:revision>
  <dcterms:created xsi:type="dcterms:W3CDTF">2024-09-25T14:16:00Z</dcterms:created>
  <dcterms:modified xsi:type="dcterms:W3CDTF">2024-09-25T14:16:00Z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