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media/image1.png" ContentType="image/png"/>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92" w:after="192"/>
        <w:jc w:val="center"/>
        <w:rPr>
          <w:rFonts w:ascii="Tahoma" w:hAnsi="Tahoma"/>
          <w:sz w:val="22"/>
          <w:szCs w:val="22"/>
        </w:rPr>
      </w:pPr>
      <w:r>
        <w:rPr>
          <w:rFonts w:eastAsia="Open Sans" w:cs="Open Sans" w:ascii="Tahoma" w:hAnsi="Tahoma"/>
          <w:b/>
          <w:bCs/>
          <w:color w:val="376092"/>
          <w:sz w:val="22"/>
          <w:szCs w:val="22"/>
        </w:rPr>
        <w:t xml:space="preserve">PETIÇÃO PADRÃO - PROGRAMA BOLSA FAMÍLIA: LIMITAÇÃO 16% FAMÍLIA UNIPESSOAL – CASOS </w:t>
      </w:r>
      <w:r>
        <w:rPr>
          <w:rFonts w:eastAsia="Open Sans" w:cs="Open Sans" w:ascii="Tahoma" w:hAnsi="Tahoma"/>
          <w:b/>
          <w:bCs/>
          <w:color w:val="376092"/>
          <w:sz w:val="22"/>
          <w:szCs w:val="22"/>
          <w:u w:val="single"/>
        </w:rPr>
        <w:t xml:space="preserve">POSTERIORES </w:t>
      </w:r>
      <w:r>
        <w:rPr>
          <w:rFonts w:eastAsia="Open Sans" w:cs="Open Sans" w:ascii="Tahoma" w:hAnsi="Tahoma"/>
          <w:b/>
          <w:bCs/>
          <w:color w:val="376092"/>
          <w:sz w:val="22"/>
          <w:szCs w:val="22"/>
        </w:rPr>
        <w:t>À LEI 15.077, DE 27 DE DEZEMBRO 2024</w:t>
      </w:r>
    </w:p>
    <w:p>
      <w:pPr>
        <w:pStyle w:val="Normal"/>
        <w:spacing w:lineRule="auto" w:line="360" w:before="192" w:after="192"/>
        <w:jc w:val="both"/>
        <w:rPr>
          <w:rFonts w:ascii="Tahoma" w:hAnsi="Tahoma" w:cs="Open Sans"/>
          <w:b/>
          <w:b/>
          <w:bCs/>
          <w:color w:val="376092"/>
          <w:sz w:val="22"/>
          <w:szCs w:val="22"/>
        </w:rPr>
      </w:pPr>
      <w:r>
        <w:rPr>
          <w:rFonts w:cs="Open Sans" w:ascii="Tahoma" w:hAnsi="Tahoma"/>
          <w:b/>
          <w:bCs/>
          <w:color w:val="376092"/>
          <w:sz w:val="22"/>
          <w:szCs w:val="22"/>
        </w:rPr>
      </w:r>
    </w:p>
    <w:p>
      <w:pPr>
        <w:pStyle w:val="Normal"/>
        <w:spacing w:lineRule="auto" w:line="360" w:before="192" w:after="192"/>
        <w:jc w:val="both"/>
        <w:rPr>
          <w:rFonts w:ascii="Tahoma" w:hAnsi="Tahoma" w:eastAsia="Open Sans" w:cs="Open Sans"/>
          <w:b/>
          <w:b/>
          <w:bCs/>
          <w:color w:val="376092"/>
          <w:sz w:val="22"/>
          <w:szCs w:val="22"/>
        </w:rPr>
      </w:pPr>
      <w:r>
        <w:rPr>
          <w:rFonts w:eastAsia="Open Sans" w:cs="Open Sans" w:ascii="Tahoma" w:hAnsi="Tahoma"/>
          <w:b/>
          <w:bCs/>
          <w:color w:val="376092"/>
          <w:sz w:val="22"/>
          <w:szCs w:val="22"/>
        </w:rPr>
        <w:t xml:space="preserve">AO JUÍZO DA __ª VARA DO JUIZADO ESPECIAL FEDERAL CÍVEL DA SUBSEÇÃO JUDICIÁRIA DE _________________ </w:t>
      </w:r>
    </w:p>
    <w:p>
      <w:pPr>
        <w:pStyle w:val="Normal"/>
        <w:spacing w:lineRule="auto" w:line="360" w:before="192" w:after="192"/>
        <w:ind w:left="0" w:right="0" w:firstLine="851"/>
        <w:jc w:val="both"/>
        <w:rPr>
          <w:rFonts w:ascii="Tahoma" w:hAnsi="Tahoma" w:cs="Open Sans"/>
          <w:b/>
          <w:b/>
          <w:bCs/>
          <w:color w:val="376092"/>
          <w:sz w:val="22"/>
          <w:szCs w:val="22"/>
        </w:rPr>
      </w:pPr>
      <w:r>
        <w:rPr>
          <w:rFonts w:cs="Open Sans" w:ascii="Tahoma" w:hAnsi="Tahoma"/>
          <w:b/>
          <w:bCs/>
          <w:color w:val="376092"/>
          <w:sz w:val="22"/>
          <w:szCs w:val="22"/>
        </w:rPr>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bCs/>
          <w:color w:val="376092"/>
          <w:sz w:val="22"/>
          <w:szCs w:val="22"/>
        </w:rPr>
        <w:t>NOME DO/A ASSISTIDO/A</w:t>
      </w:r>
      <w:r>
        <w:rPr>
          <w:rFonts w:eastAsia="Open Sans" w:cs="Open Sans" w:ascii="Tahoma" w:hAnsi="Tahoma"/>
          <w:color w:val="376092"/>
          <w:sz w:val="22"/>
          <w:szCs w:val="22"/>
        </w:rPr>
        <w:t xml:space="preserve">, qualificação, assistido/a pela </w:t>
      </w:r>
      <w:r>
        <w:rPr>
          <w:rFonts w:eastAsia="Open Sans" w:cs="Open Sans" w:ascii="Tahoma" w:hAnsi="Tahoma"/>
          <w:b/>
          <w:bCs/>
          <w:color w:val="376092"/>
          <w:sz w:val="22"/>
          <w:szCs w:val="22"/>
        </w:rPr>
        <w:t xml:space="preserve">DEFENSORIA PÚBLICA DA UNIÃO, </w:t>
      </w:r>
      <w:r>
        <w:rPr>
          <w:rFonts w:eastAsia="Open Sans" w:cs="Open Sans" w:ascii="Tahoma" w:hAnsi="Tahoma"/>
          <w:color w:val="376092"/>
          <w:sz w:val="22"/>
          <w:szCs w:val="22"/>
        </w:rPr>
        <w:t xml:space="preserve">por meio de seu/sua representante abaixo assinado/a, nos termos da LC nº 80/94, vem ajuizar </w:t>
      </w:r>
      <w:r>
        <w:rPr>
          <w:rFonts w:eastAsia="Open Sans" w:cs="Open Sans" w:ascii="Tahoma" w:hAnsi="Tahoma"/>
          <w:b/>
          <w:bCs/>
          <w:color w:val="376092"/>
          <w:sz w:val="22"/>
          <w:szCs w:val="22"/>
        </w:rPr>
        <w:t>AÇÃO PARA CONCESSÃO DE BENEFÍCIO DO PROGRAMA BOLSA FAMÍLIA</w:t>
      </w:r>
      <w:r>
        <w:rPr>
          <w:rFonts w:eastAsia="Open Sans" w:cs="Open Sans" w:ascii="Tahoma" w:hAnsi="Tahoma"/>
          <w:color w:val="376092"/>
          <w:sz w:val="22"/>
          <w:szCs w:val="22"/>
        </w:rPr>
        <w:t xml:space="preserve"> em face da </w:t>
      </w:r>
      <w:r>
        <w:rPr>
          <w:rFonts w:eastAsia="Open Sans" w:cs="Open Sans" w:ascii="Tahoma" w:hAnsi="Tahoma"/>
          <w:b/>
          <w:bCs/>
          <w:color w:val="376092"/>
          <w:sz w:val="22"/>
          <w:szCs w:val="22"/>
        </w:rPr>
        <w:t xml:space="preserve">UNIÃO FEDERAL e do MUNICÍPIO DE ______, </w:t>
      </w:r>
      <w:r>
        <w:rPr>
          <w:rFonts w:eastAsia="Open Sans" w:cs="Open Sans" w:ascii="Tahoma" w:hAnsi="Tahoma"/>
          <w:color w:val="376092"/>
          <w:sz w:val="22"/>
          <w:szCs w:val="22"/>
        </w:rPr>
        <w:t>por meio de sua procuradoria, com endereço conhecido por este juízo, pelas razões de fato e de direito a seguir.</w:t>
      </w:r>
    </w:p>
    <w:p>
      <w:pPr>
        <w:pStyle w:val="Normal"/>
        <w:spacing w:lineRule="auto" w:line="360" w:before="192" w:after="192"/>
        <w:jc w:val="both"/>
        <w:rPr>
          <w:rFonts w:ascii="Tahoma" w:hAnsi="Tahoma" w:cs="Open Sans"/>
          <w:b/>
          <w:b/>
          <w:bCs/>
          <w:i/>
          <w:i/>
          <w:iCs/>
          <w:color w:val="376092"/>
          <w:sz w:val="22"/>
          <w:szCs w:val="22"/>
        </w:rPr>
      </w:pPr>
      <w:r>
        <w:rPr>
          <w:rFonts w:cs="Open Sans" w:ascii="Tahoma" w:hAnsi="Tahoma"/>
          <w:b/>
          <w:bCs/>
          <w:i/>
          <w:iCs/>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 xml:space="preserve">I.  GRATUIDADE DE JUSTIÇA </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Inicialmente, a parte autora requer a concessão dos benefícios da justiça gratuita, com base no art. 98 do Código de Processo Civil e no art. 5º, inciso LXXIV, da Constituição Federal, por não possuir meios de arcar com as despesas processuais sem prejuízo do sustento próprio.</w:t>
      </w:r>
    </w:p>
    <w:p>
      <w:pPr>
        <w:pStyle w:val="Normal"/>
        <w:spacing w:lineRule="auto" w:line="360" w:before="192" w:after="192"/>
        <w:jc w:val="both"/>
        <w:rPr>
          <w:rFonts w:ascii="Tahoma" w:hAnsi="Tahoma" w:cs="Open Sans"/>
          <w:b/>
          <w:b/>
          <w:bCs/>
          <w:i/>
          <w:i/>
          <w:iCs/>
          <w:color w:val="376092"/>
          <w:sz w:val="22"/>
          <w:szCs w:val="22"/>
        </w:rPr>
      </w:pPr>
      <w:r>
        <w:rPr>
          <w:rFonts w:cs="Open Sans" w:ascii="Tahoma" w:hAnsi="Tahoma"/>
          <w:b/>
          <w:bCs/>
          <w:i/>
          <w:iCs/>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II.  DA LEGITIMIDADE PASSIVA DA UNIÃO E DO MUNICÍPIO</w:t>
      </w:r>
    </w:p>
    <w:p>
      <w:pPr>
        <w:pStyle w:val="Normal"/>
        <w:spacing w:lineRule="auto" w:line="360" w:before="192" w:after="192"/>
        <w:rPr>
          <w:rFonts w:ascii="Tahoma" w:hAnsi="Tahoma"/>
          <w:sz w:val="22"/>
          <w:szCs w:val="22"/>
        </w:rPr>
      </w:pPr>
      <w:r>
        <w:rPr>
          <w:rFonts w:eastAsia="Open Sans" w:cs="Open Sans" w:ascii="Tahoma" w:hAnsi="Tahoma"/>
          <w:b/>
          <w:bCs/>
          <w:i/>
          <w:iCs/>
          <w:color w:val="376092"/>
          <w:sz w:val="22"/>
          <w:szCs w:val="22"/>
        </w:rPr>
        <w:tab/>
      </w:r>
      <w:r>
        <w:rPr>
          <w:rFonts w:eastAsia="Open Sans" w:cs="Open Sans" w:ascii="Tahoma" w:hAnsi="Tahoma"/>
          <w:color w:val="376092"/>
          <w:sz w:val="22"/>
          <w:szCs w:val="22"/>
        </w:rPr>
        <w:t>A presente ação visa garantir o direito da parte autora (</w:t>
      </w:r>
      <w:r>
        <w:rPr>
          <w:rFonts w:eastAsia="Open Sans" w:cs="Open Sans" w:ascii="Tahoma" w:hAnsi="Tahoma"/>
          <w:b/>
          <w:bCs/>
          <w:color w:val="376092"/>
          <w:sz w:val="22"/>
          <w:szCs w:val="22"/>
        </w:rPr>
        <w:t>família unipessoal</w:t>
      </w:r>
      <w:r>
        <w:rPr>
          <w:rFonts w:eastAsia="Open Sans" w:cs="Open Sans" w:ascii="Tahoma" w:hAnsi="Tahoma"/>
          <w:color w:val="376092"/>
          <w:sz w:val="22"/>
          <w:szCs w:val="22"/>
        </w:rPr>
        <w:t>) ao recebimento do benefício integrante do Programa Bolsa Família (PBF), (re)instituído pela Lei nº. 14.601/2023.  O art. 12</w:t>
      </w:r>
      <w:r>
        <w:rPr>
          <w:rStyle w:val="Ncoradanotaderodap"/>
          <w:rFonts w:eastAsia="Open Sans" w:cs="Open Sans" w:ascii="Tahoma" w:hAnsi="Tahoma"/>
          <w:color w:val="376092"/>
          <w:sz w:val="22"/>
          <w:szCs w:val="22"/>
        </w:rPr>
        <w:footnoteReference w:id="2"/>
      </w:r>
      <w:r>
        <w:rPr>
          <w:rFonts w:eastAsia="Open Sans" w:cs="Open Sans" w:ascii="Tahoma" w:hAnsi="Tahoma"/>
          <w:color w:val="376092"/>
          <w:sz w:val="22"/>
          <w:szCs w:val="22"/>
        </w:rPr>
        <w:t xml:space="preserve"> do referido diploma estabelece uma </w:t>
      </w:r>
      <w:r>
        <w:rPr>
          <w:rFonts w:eastAsia="Open Sans" w:cs="Open Sans" w:ascii="Tahoma" w:hAnsi="Tahoma"/>
          <w:b/>
          <w:bCs/>
          <w:color w:val="376092"/>
          <w:sz w:val="22"/>
          <w:szCs w:val="22"/>
        </w:rPr>
        <w:t>gestão descentralizada</w:t>
      </w:r>
      <w:r>
        <w:rPr>
          <w:rFonts w:eastAsia="Open Sans" w:cs="Open Sans" w:ascii="Tahoma" w:hAnsi="Tahoma"/>
          <w:color w:val="376092"/>
          <w:sz w:val="22"/>
          <w:szCs w:val="22"/>
        </w:rPr>
        <w:t xml:space="preserve"> do programa federal, concretizada com a conjugação de esforços entre a União, os Estados, o Distrito Federal e os Municípios.</w:t>
      </w:r>
    </w:p>
    <w:p>
      <w:pPr>
        <w:pStyle w:val="Normal"/>
        <w:spacing w:lineRule="auto" w:line="360" w:before="192" w:after="192"/>
        <w:ind w:left="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No Programa Bolsa Família, o Ministério do Desenvolvimento e Assistência Social, Família e Combate à Fome (MDS), órgão do Poder Executivo Federal, é o responsável pela coordenação e gerenciamento dos benefícios do programa conforme artigo 1º da Lei nº. 14.601/2023.</w:t>
      </w:r>
    </w:p>
    <w:p>
      <w:pPr>
        <w:pStyle w:val="Normal"/>
        <w:spacing w:lineRule="auto" w:line="360" w:before="192" w:after="192"/>
        <w:ind w:left="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 xml:space="preserve">As diretrizes são estabelecidas pela União, bem como a gestão, operacionalização, pagamento e análise da habilitação e escolha das famílias incluídas no Programa Bolsa Família (art. 2º do Decreto nº 12.064/2024). </w:t>
      </w:r>
    </w:p>
    <w:p>
      <w:pPr>
        <w:pStyle w:val="Normal"/>
        <w:spacing w:lineRule="auto" w:line="360" w:before="192" w:after="192"/>
        <w:ind w:left="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Sobre a questão, vale destacar o Acórdão da 8ª Turma Recursal da Seção Judiciária de São Paulo, nos autos do Recurso nº 5022311-47.2024.4.03.6301, em que se reconheceu a legitimidade da UNIÃO para figurar no polo passivo da ação, remetendo-se os autos ao Juízo Federal para o prosseguimento do feito:</w:t>
      </w:r>
    </w:p>
    <w:p>
      <w:pPr>
        <w:pStyle w:val="Normal"/>
        <w:spacing w:before="192" w:after="192"/>
        <w:ind w:left="1440" w:right="0" w:hanging="0"/>
        <w:jc w:val="both"/>
        <w:rPr>
          <w:rFonts w:ascii="Tahoma" w:hAnsi="Tahoma" w:eastAsia="Open Sans" w:cs="Open Sans"/>
          <w:color w:val="376092"/>
          <w:sz w:val="22"/>
          <w:szCs w:val="22"/>
        </w:rPr>
      </w:pPr>
      <w:r>
        <w:rPr>
          <w:rFonts w:eastAsia="Open Sans" w:cs="Open Sans" w:ascii="Tahoma" w:hAnsi="Tahoma"/>
          <w:color w:val="376092"/>
          <w:sz w:val="22"/>
          <w:szCs w:val="22"/>
        </w:rPr>
        <w:t>“</w:t>
      </w:r>
      <w:r>
        <w:rPr>
          <w:rFonts w:eastAsia="Open Sans" w:cs="Open Sans" w:ascii="Tahoma" w:hAnsi="Tahoma"/>
          <w:color w:val="376092"/>
          <w:sz w:val="22"/>
          <w:szCs w:val="22"/>
        </w:rPr>
        <w:t>A União Federal é parte legítima para figurar no polo passivo da ação. Desta forma, deve ser anulada a sentença, retornando os autos à origem para prosseguimento do feito. Ante o exposto, dou provimento ao recurso da parte autora, para anular a r. sentença e determinar o retorno dos autos ao juízo de origem, para regular prosseguimento, nos termos em que determinado na decisão, qual seja, resposta da União Federal do quanto deferido em antecipação de tutela e prolação de nova sentença.”</w:t>
      </w:r>
    </w:p>
    <w:p>
      <w:pPr>
        <w:pStyle w:val="Normal"/>
        <w:spacing w:before="192" w:after="192"/>
        <w:ind w:left="1440" w:right="0" w:hanging="0"/>
        <w:jc w:val="both"/>
        <w:rPr>
          <w:rFonts w:ascii="Tahoma" w:hAnsi="Tahoma" w:eastAsia="Open Sans" w:cs="Open Sans"/>
          <w:color w:val="376092"/>
          <w:sz w:val="22"/>
          <w:szCs w:val="22"/>
        </w:rPr>
      </w:pPr>
      <w:r>
        <w:rPr>
          <w:rFonts w:eastAsia="Open Sans" w:cs="Open Sans" w:ascii="Tahoma" w:hAnsi="Tahoma"/>
          <w:color w:val="376092"/>
          <w:sz w:val="22"/>
          <w:szCs w:val="22"/>
        </w:rPr>
        <w:t>EMENTA: BOLSA FAMÍLIA. SENTENÇA DE EXTINÇÃO POR ILEGITIMIDADE PASSIVA DA UNIÃO FEDERAL. RECURSO DA PARTE AUTORA REQUER A ANULAÇÃO DA SENTENÇA. LEGITIMIDADE DA UNIÃO PARA FIGURAR NO POLO PASSIVO. DAR PROVIMENTO AO RECURSO DA PARTE AUTORA PARA ANULAR A SENTENÇA RETORNANDO OS AUTOS À ORIGEM PARA PROSSEGUIMENTO DO FEITO. CUMPRIMENTO DE DECISÃO. AGUARDANDO RESPOSTA DA UNIÃO FEDERAL DO QUANTO DEFERIDO EM ANTECIPAÇÃO DE TUTELA E PROFERIR NOVO JULGAMENTO. ACÓRDÃO Vistos e relatados estes autos em que são partes as acima indicadas, A Oitava Turma Recursal de São Paulo, por unanimidade, decidiu dar provimento ao recurso da parte autora, nos termos do relatório e voto que ficam fazendo parte integrante do presente julgado.</w:t>
      </w:r>
    </w:p>
    <w:p>
      <w:pPr>
        <w:pStyle w:val="Normal"/>
        <w:spacing w:lineRule="auto" w:line="360" w:before="192" w:after="192"/>
        <w:ind w:left="0" w:right="0" w:firstLine="709"/>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ind w:left="0" w:right="0" w:firstLine="709"/>
        <w:jc w:val="both"/>
        <w:rPr>
          <w:rFonts w:ascii="Tahoma" w:hAnsi="Tahoma"/>
          <w:sz w:val="22"/>
          <w:szCs w:val="22"/>
        </w:rPr>
      </w:pPr>
      <w:r>
        <w:rPr>
          <w:rFonts w:eastAsia="Open Sans" w:cs="Open Sans" w:ascii="Tahoma" w:hAnsi="Tahoma"/>
          <w:color w:val="376092"/>
          <w:sz w:val="22"/>
          <w:szCs w:val="22"/>
        </w:rPr>
        <w:t xml:space="preserve">Por outro lado, o ente municipal detém a responsabilidade direta de “identificar, cadastrar e manter atualizados no CadÚnico os registros das famílias em situação de pobreza” (art. 4º, II, do Decreto nº 12.064/2024) e de observar o índice máximo de famílias unipessoais inscritas no Programa (art. 4º, XI, incluído pelo Decreto nº 12.417/2025). Especificamente no caso de famílias unipessoais, cabe ao Município a execução da </w:t>
      </w:r>
      <w:r>
        <w:rPr>
          <w:rFonts w:eastAsia="Open Sans" w:cs="Open Sans" w:ascii="Tahoma" w:hAnsi="Tahoma"/>
          <w:b/>
          <w:bCs/>
          <w:color w:val="376092"/>
          <w:sz w:val="22"/>
          <w:szCs w:val="22"/>
        </w:rPr>
        <w:t>entrevista domiciliar</w:t>
      </w:r>
      <w:r>
        <w:rPr>
          <w:rFonts w:eastAsia="Open Sans" w:cs="Open Sans" w:ascii="Tahoma" w:hAnsi="Tahoma"/>
          <w:color w:val="376092"/>
          <w:sz w:val="22"/>
          <w:szCs w:val="22"/>
        </w:rPr>
        <w:t xml:space="preserve">, que se tornou condição procedimental </w:t>
      </w:r>
      <w:r>
        <w:rPr>
          <w:rFonts w:eastAsia="Open Sans" w:cs="Open Sans" w:ascii="Tahoma" w:hAnsi="Tahoma"/>
          <w:b/>
          <w:bCs/>
          <w:color w:val="376092"/>
          <w:sz w:val="22"/>
          <w:szCs w:val="22"/>
        </w:rPr>
        <w:t>obrigatória</w:t>
      </w:r>
      <w:r>
        <w:rPr>
          <w:rFonts w:eastAsia="Open Sans" w:cs="Open Sans" w:ascii="Tahoma" w:hAnsi="Tahoma"/>
          <w:color w:val="376092"/>
          <w:sz w:val="22"/>
          <w:szCs w:val="22"/>
        </w:rPr>
        <w:t xml:space="preserve"> para a inscrição ou atualização cadastral, nos termos do art. 2º, § 3º, da Lei nº 15.077/2024, e do art. 18, § 3º, do Decreto nº 12.064/2024, incluído pelo Decreto nº 12.417/2025 - observados os prazos e as exceções definidos em ato do Poder Executivo federal (Portaria MDS nº 1.145/2025, alterada pela Portaria MDS nº 1.199/2026; IN SAGICAD/MDS nº 20/2026, alterada pela IN nº 22/2026).</w:t>
      </w:r>
    </w:p>
    <w:p>
      <w:pPr>
        <w:pStyle w:val="Normal"/>
        <w:spacing w:lineRule="auto" w:line="360" w:before="192" w:after="192"/>
        <w:ind w:left="0" w:right="0" w:firstLine="720"/>
        <w:jc w:val="both"/>
        <w:rPr>
          <w:rFonts w:ascii="Tahoma" w:hAnsi="Tahoma"/>
          <w:sz w:val="22"/>
          <w:szCs w:val="22"/>
        </w:rPr>
      </w:pPr>
      <w:r>
        <w:rPr>
          <w:rFonts w:eastAsia="Open Sans" w:cs="Open Sans" w:ascii="Tahoma" w:hAnsi="Tahoma"/>
          <w:color w:val="376092"/>
          <w:sz w:val="22"/>
          <w:szCs w:val="22"/>
        </w:rPr>
        <w:t xml:space="preserve">Assim, impõe-se o reconhecimento no caso concreto da legitimidade passiva do Município </w:t>
      </w:r>
      <w:r>
        <w:rPr>
          <w:rFonts w:eastAsia="Open Sans" w:cs="Open Sans" w:ascii="Tahoma" w:hAnsi="Tahoma"/>
          <w:b/>
          <w:bCs/>
          <w:color w:val="376092"/>
          <w:sz w:val="22"/>
          <w:szCs w:val="22"/>
          <w:u w:val="single"/>
        </w:rPr>
        <w:t>e</w:t>
      </w:r>
      <w:r>
        <w:rPr>
          <w:rFonts w:eastAsia="Open Sans" w:cs="Open Sans" w:ascii="Tahoma" w:hAnsi="Tahoma"/>
          <w:color w:val="376092"/>
          <w:sz w:val="22"/>
          <w:szCs w:val="22"/>
        </w:rPr>
        <w:t xml:space="preserve"> da União, uma vez que a execução e a gestão do Programa Bolsa Família ocorrem de forma descentralizada, em </w:t>
      </w:r>
      <w:r>
        <w:rPr>
          <w:rFonts w:eastAsia="Open Sans" w:cs="Open Sans" w:ascii="Tahoma" w:hAnsi="Tahoma"/>
          <w:b/>
          <w:bCs/>
          <w:color w:val="376092"/>
          <w:sz w:val="22"/>
          <w:szCs w:val="22"/>
        </w:rPr>
        <w:t>atuação conjunta</w:t>
      </w:r>
      <w:r>
        <w:rPr>
          <w:rFonts w:eastAsia="Open Sans" w:cs="Open Sans" w:ascii="Tahoma" w:hAnsi="Tahoma"/>
          <w:color w:val="376092"/>
          <w:sz w:val="22"/>
          <w:szCs w:val="22"/>
        </w:rPr>
        <w:t xml:space="preserve"> dos entes federativos.</w:t>
      </w:r>
    </w:p>
    <w:p>
      <w:pPr>
        <w:pStyle w:val="Normal"/>
        <w:spacing w:lineRule="auto" w:line="360" w:before="192" w:after="192"/>
        <w:jc w:val="both"/>
        <w:rPr>
          <w:rFonts w:ascii="Tahoma" w:hAnsi="Tahoma"/>
          <w:sz w:val="22"/>
          <w:szCs w:val="22"/>
        </w:rPr>
      </w:pPr>
      <w:r>
        <w:rPr>
          <w:rFonts w:ascii="Tahoma" w:hAnsi="Tahoma"/>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III.  BREVE RESUMO DOS FATOS</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 xml:space="preserve">A parte autora, inscrita no CadÚnico desde ______, atualizado em ______, busca o recebimento do benefício do Programa Bolsa Família, não estando habilitada por residir sozinho/a.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De acordo com o art. 5º da Lei nº. 14.601/2023, são consideradas </w:t>
      </w:r>
      <w:r>
        <w:rPr>
          <w:rFonts w:eastAsia="Open Sans" w:cs="Open Sans" w:ascii="Tahoma" w:hAnsi="Tahoma"/>
          <w:b/>
          <w:bCs/>
          <w:color w:val="376092"/>
          <w:sz w:val="22"/>
          <w:szCs w:val="22"/>
        </w:rPr>
        <w:t>elegíveis</w:t>
      </w:r>
      <w:r>
        <w:rPr>
          <w:rFonts w:eastAsia="Open Sans" w:cs="Open Sans" w:ascii="Tahoma" w:hAnsi="Tahoma"/>
          <w:color w:val="376092"/>
          <w:sz w:val="22"/>
          <w:szCs w:val="22"/>
        </w:rPr>
        <w:t xml:space="preserve"> ao Programa as famílias que preencham os seguintes requisitos, cumulativamente: (i) inscrição atualizada no Cadastro Único (CadÚnico); e (ii) renda familiar </w:t>
      </w:r>
      <w:r>
        <w:rPr>
          <w:rFonts w:eastAsia="Open Sans" w:cs="Open Sans" w:ascii="Tahoma" w:hAnsi="Tahoma"/>
          <w:i/>
          <w:iCs/>
          <w:color w:val="376092"/>
          <w:sz w:val="22"/>
          <w:szCs w:val="22"/>
        </w:rPr>
        <w:t>per capita</w:t>
      </w:r>
      <w:r>
        <w:rPr>
          <w:rFonts w:eastAsia="Open Sans" w:cs="Open Sans" w:ascii="Tahoma" w:hAnsi="Tahoma"/>
          <w:color w:val="376092"/>
          <w:sz w:val="22"/>
          <w:szCs w:val="22"/>
        </w:rPr>
        <w:t xml:space="preserve"> mensal igual ou inferior a R$ 218,00 (duzentos e dezoito reais).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No caso concreto, </w:t>
      </w:r>
      <w:r>
        <w:rPr>
          <w:rFonts w:eastAsia="Open Sans" w:cs="Open Sans" w:ascii="Tahoma" w:hAnsi="Tahoma"/>
          <w:b/>
          <w:bCs/>
          <w:color w:val="376092"/>
          <w:sz w:val="22"/>
          <w:szCs w:val="22"/>
        </w:rPr>
        <w:t>o/a autor/a satisfaz todos os requisitos legais</w:t>
      </w:r>
      <w:r>
        <w:rPr>
          <w:rFonts w:eastAsia="Open Sans" w:cs="Open Sans" w:ascii="Tahoma" w:hAnsi="Tahoma"/>
          <w:color w:val="376092"/>
          <w:sz w:val="22"/>
          <w:szCs w:val="22"/>
        </w:rPr>
        <w:t xml:space="preserve"> para inclusão no Programa Bolsa Família, </w:t>
      </w:r>
      <w:r>
        <w:rPr>
          <w:rFonts w:eastAsia="Open Sans" w:cs="Open Sans" w:ascii="Tahoma" w:hAnsi="Tahoma"/>
          <w:b/>
          <w:bCs/>
          <w:color w:val="376092"/>
          <w:sz w:val="22"/>
          <w:szCs w:val="22"/>
          <w:u w:val="single"/>
        </w:rPr>
        <w:t>consoante documentos comprobatórios em anexo:</w:t>
      </w:r>
    </w:p>
    <w:p>
      <w:pPr>
        <w:pStyle w:val="Normal"/>
        <w:numPr>
          <w:ilvl w:val="0"/>
          <w:numId w:val="3"/>
        </w:numPr>
        <w:spacing w:lineRule="auto" w:line="360" w:before="192" w:after="192"/>
        <w:ind w:left="0" w:right="0" w:firstLine="851"/>
        <w:jc w:val="both"/>
        <w:rPr>
          <w:rFonts w:ascii="Tahoma" w:hAnsi="Tahoma" w:eastAsia="Open Sans" w:cs="Open Sans"/>
          <w:b/>
          <w:b/>
          <w:bCs/>
          <w:color w:val="376092"/>
          <w:sz w:val="22"/>
          <w:szCs w:val="22"/>
        </w:rPr>
      </w:pPr>
      <w:r>
        <w:rPr>
          <w:rFonts w:eastAsia="Open Sans" w:cs="Open Sans" w:ascii="Tahoma" w:hAnsi="Tahoma"/>
          <w:b/>
          <w:bCs/>
          <w:color w:val="376092"/>
          <w:sz w:val="22"/>
          <w:szCs w:val="22"/>
        </w:rPr>
        <w:t xml:space="preserve">Cadastro no CadÚnico como grupo familiar unipessoal atualizado em _____; </w:t>
      </w:r>
    </w:p>
    <w:p>
      <w:pPr>
        <w:pStyle w:val="Normal"/>
        <w:numPr>
          <w:ilvl w:val="0"/>
          <w:numId w:val="3"/>
        </w:numPr>
        <w:spacing w:lineRule="auto" w:line="360" w:before="192" w:after="192"/>
        <w:ind w:left="0" w:right="0" w:firstLine="851"/>
        <w:jc w:val="both"/>
        <w:rPr>
          <w:rFonts w:ascii="Tahoma" w:hAnsi="Tahoma" w:eastAsia="Open Sans" w:cs="Open Sans"/>
          <w:b/>
          <w:b/>
          <w:bCs/>
          <w:color w:val="376092"/>
          <w:sz w:val="22"/>
          <w:szCs w:val="22"/>
        </w:rPr>
      </w:pPr>
      <w:r>
        <w:rPr>
          <w:rFonts w:eastAsia="Open Sans" w:cs="Open Sans" w:ascii="Tahoma" w:hAnsi="Tahoma"/>
          <w:b/>
          <w:bCs/>
          <w:color w:val="376092"/>
          <w:sz w:val="22"/>
          <w:szCs w:val="22"/>
        </w:rPr>
        <w:t>Comprovação de renda mensal de R$ ___;</w:t>
      </w:r>
    </w:p>
    <w:p>
      <w:pPr>
        <w:pStyle w:val="Normal"/>
        <w:numPr>
          <w:ilvl w:val="0"/>
          <w:numId w:val="3"/>
        </w:numPr>
        <w:spacing w:lineRule="auto" w:line="360" w:before="192" w:after="192"/>
        <w:ind w:left="0" w:right="0" w:firstLine="851"/>
        <w:jc w:val="both"/>
        <w:rPr>
          <w:rFonts w:ascii="Tahoma" w:hAnsi="Tahoma" w:eastAsia="Open Sans" w:cs="Open Sans"/>
          <w:b/>
          <w:b/>
          <w:bCs/>
          <w:color w:val="376092"/>
          <w:sz w:val="22"/>
          <w:szCs w:val="22"/>
        </w:rPr>
      </w:pPr>
      <w:r>
        <w:rPr>
          <w:rFonts w:eastAsia="Open Sans" w:cs="Open Sans" w:ascii="Tahoma" w:hAnsi="Tahoma"/>
          <w:b/>
          <w:bCs/>
          <w:color w:val="376092"/>
          <w:sz w:val="22"/>
          <w:szCs w:val="22"/>
        </w:rPr>
        <w:t xml:space="preserve">Procedimentos de Atualização junto à Prefeitura; </w:t>
      </w:r>
    </w:p>
    <w:p>
      <w:pPr>
        <w:pStyle w:val="Normal"/>
        <w:numPr>
          <w:ilvl w:val="0"/>
          <w:numId w:val="3"/>
        </w:numPr>
        <w:spacing w:lineRule="auto" w:line="360" w:before="192" w:after="192"/>
        <w:ind w:left="0" w:right="0" w:firstLine="851"/>
        <w:jc w:val="both"/>
        <w:rPr>
          <w:rFonts w:ascii="Tahoma" w:hAnsi="Tahoma" w:eastAsia="Open Sans" w:cs="Open Sans"/>
          <w:b/>
          <w:b/>
          <w:bCs/>
          <w:color w:val="376092"/>
          <w:sz w:val="22"/>
          <w:szCs w:val="22"/>
        </w:rPr>
      </w:pPr>
      <w:r>
        <w:rPr>
          <w:rFonts w:eastAsia="Open Sans" w:cs="Open Sans" w:ascii="Tahoma" w:hAnsi="Tahoma"/>
          <w:b/>
          <w:bCs/>
          <w:color w:val="376092"/>
          <w:sz w:val="22"/>
          <w:szCs w:val="22"/>
        </w:rPr>
        <w:t>Declaração de Renda e Composição Familiar.</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Entretanto, mesmo preenchendo todos os requisitos de elegibilidade, o benefício não foi (re)ativado, sob o argumento de que </w:t>
      </w:r>
      <w:r>
        <w:rPr>
          <w:rFonts w:eastAsia="Open Sans" w:cs="Open Sans" w:ascii="Tahoma" w:hAnsi="Tahoma"/>
          <w:color w:val="376092"/>
          <w:sz w:val="22"/>
          <w:szCs w:val="22"/>
          <w:u w:val="single"/>
        </w:rPr>
        <w:t>o Município em que reside alcançou o patamar de 16% (dezesseis por cento) de família unipessoais</w:t>
      </w:r>
      <w:r>
        <w:rPr>
          <w:rFonts w:eastAsia="Open Sans" w:cs="Open Sans" w:ascii="Tahoma" w:hAnsi="Tahoma"/>
          <w:color w:val="376092"/>
          <w:sz w:val="22"/>
          <w:szCs w:val="22"/>
        </w:rPr>
        <w:t xml:space="preserve">, o que impede o ingresso de novas famílias no PBF conforme previsto no artigo 6º, V, c/c § 2º da Portaria MDS Nº 897/23, incluído pela Portaria MDS nº 911, de 24 de agosto de 2023.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A Defensoria Pública da União, em atuação extrajudicial, expediu o OFÍCIO _____ no intuito de promover a [</w:t>
      </w:r>
      <w:r>
        <w:rPr>
          <w:rFonts w:eastAsia="Open Sans" w:cs="Open Sans" w:ascii="Tahoma" w:hAnsi="Tahoma"/>
          <w:color w:val="376092"/>
          <w:sz w:val="22"/>
          <w:szCs w:val="22"/>
          <w:shd w:fill="FFFF00" w:val="clear"/>
        </w:rPr>
        <w:t>conforme o caso</w:t>
      </w:r>
      <w:r>
        <w:rPr>
          <w:rFonts w:eastAsia="Open Sans" w:cs="Open Sans" w:ascii="Tahoma" w:hAnsi="Tahoma"/>
          <w:color w:val="376092"/>
          <w:sz w:val="22"/>
          <w:szCs w:val="22"/>
        </w:rPr>
        <w:t>]:</w:t>
      </w:r>
    </w:p>
    <w:p>
      <w:pPr>
        <w:pStyle w:val="Normal"/>
        <w:spacing w:lineRule="auto" w:line="360" w:before="192" w:after="192"/>
        <w:jc w:val="both"/>
        <w:rPr>
          <w:rFonts w:ascii="Tahoma" w:hAnsi="Tahoma"/>
          <w:sz w:val="22"/>
          <w:szCs w:val="22"/>
        </w:rPr>
      </w:pPr>
      <w:r>
        <w:rPr>
          <w:rFonts w:eastAsia="Open Sans" w:cs="Open Sans" w:ascii="Tahoma" w:hAnsi="Tahoma"/>
          <w:color w:val="376092"/>
          <w:sz w:val="22"/>
          <w:szCs w:val="22"/>
          <w:shd w:fill="B8CCE4" w:val="clear"/>
        </w:rPr>
        <w:t>(i) a (re)inclusão do/a beneficiário/a integrante de família unipessoal, visto que integra o seguinte grupo excepcional: ______________________ (art. 6º, §3º, ___, Portaria MDS nº 897/2023)</w:t>
      </w:r>
      <w:r>
        <w:rPr>
          <w:rFonts w:eastAsia="Open Sans" w:cs="Open Sans" w:ascii="Tahoma" w:hAnsi="Tahoma"/>
          <w:color w:val="376092"/>
          <w:sz w:val="22"/>
          <w:szCs w:val="22"/>
        </w:rPr>
        <w:t xml:space="preserve"> (modelo de Ofício disponível no SEI 8170679)</w:t>
      </w:r>
    </w:p>
    <w:p>
      <w:pPr>
        <w:pStyle w:val="Normal"/>
        <w:spacing w:lineRule="auto" w:line="360" w:before="192" w:after="192"/>
        <w:jc w:val="both"/>
        <w:rPr>
          <w:rFonts w:ascii="Tahoma" w:hAnsi="Tahoma"/>
          <w:sz w:val="22"/>
          <w:szCs w:val="22"/>
        </w:rPr>
      </w:pPr>
      <w:r>
        <w:rPr>
          <w:rFonts w:eastAsia="Open Sans" w:cs="Open Sans" w:ascii="Tahoma" w:hAnsi="Tahoma"/>
          <w:color w:val="376092"/>
          <w:sz w:val="22"/>
          <w:szCs w:val="22"/>
          <w:shd w:fill="FFFF00" w:val="clear"/>
        </w:rPr>
        <w:t>E/OU</w:t>
      </w:r>
    </w:p>
    <w:p>
      <w:pPr>
        <w:pStyle w:val="Normal"/>
        <w:spacing w:lineRule="auto" w:line="360" w:before="192" w:after="192"/>
        <w:jc w:val="both"/>
        <w:rPr>
          <w:rFonts w:ascii="Tahoma" w:hAnsi="Tahoma"/>
          <w:sz w:val="22"/>
          <w:szCs w:val="22"/>
        </w:rPr>
      </w:pPr>
      <w:r>
        <w:rPr>
          <w:rFonts w:eastAsia="Open Sans" w:cs="Open Sans" w:ascii="Tahoma" w:hAnsi="Tahoma"/>
          <w:color w:val="376092"/>
          <w:sz w:val="22"/>
          <w:szCs w:val="22"/>
          <w:shd w:fill="B8CCE4" w:val="clear"/>
        </w:rPr>
        <w:t>(ii) a realização da entrevista domiciliar a fim de (re)incluir o/a beneficiário/a integrante de família unipessoal, nos termos do art. 6º, §3º, IX, e do art. 10, §1º, da Portaria MDS nº 897/2023 e do art. 2º, §3º, da Lei nº 15.077/2024</w:t>
      </w:r>
      <w:r>
        <w:rPr>
          <w:rFonts w:eastAsia="Open Sans" w:cs="Open Sans" w:ascii="Tahoma" w:hAnsi="Tahoma"/>
          <w:color w:val="376092"/>
          <w:sz w:val="22"/>
          <w:szCs w:val="22"/>
        </w:rPr>
        <w:t xml:space="preserve"> (modelo de Ofício disponível no SEI 8170697).</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Em resposta, a Secretaria de Assistência Social do Município de ________ informou que _______.</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O art. 2º, §3º, da Lei 15.077/2024 previu que, para fins de concessão ou manutenção dos benefícios assistenciais a famílias compostas de 1 (uma) só pessoa, a inscrição ou a atualização do CadÚnico deverá ser feita no domicílio do requerente. Entretanto, </w:t>
      </w:r>
      <w:r>
        <w:rPr>
          <w:rFonts w:eastAsia="Open Sans" w:cs="Open Sans" w:ascii="Tahoma" w:hAnsi="Tahoma"/>
          <w:b/>
          <w:bCs/>
          <w:color w:val="376092"/>
          <w:sz w:val="22"/>
          <w:szCs w:val="22"/>
        </w:rPr>
        <w:t xml:space="preserve">apesar de expressamente solicitada a realização da inscrição/atualização do CadÚnico em domicílio, conforme Ofício ____ expedido pela DPU em _____, a entrevista domiciliar </w:t>
      </w:r>
      <w:r>
        <w:rPr>
          <w:rFonts w:eastAsia="Open Sans" w:cs="Open Sans" w:ascii="Tahoma" w:hAnsi="Tahoma"/>
          <w:b/>
          <w:bCs/>
          <w:color w:val="376092"/>
          <w:sz w:val="22"/>
          <w:szCs w:val="22"/>
          <w:u w:val="single"/>
        </w:rPr>
        <w:t>não</w:t>
      </w:r>
      <w:r>
        <w:rPr>
          <w:rFonts w:eastAsia="Open Sans" w:cs="Open Sans" w:ascii="Tahoma" w:hAnsi="Tahoma"/>
          <w:b/>
          <w:bCs/>
          <w:color w:val="376092"/>
          <w:sz w:val="22"/>
          <w:szCs w:val="22"/>
        </w:rPr>
        <w:t xml:space="preserve"> foi realizada até o presente momento</w:t>
      </w:r>
      <w:r>
        <w:rPr>
          <w:rFonts w:eastAsia="Open Sans" w:cs="Open Sans" w:ascii="Tahoma" w:hAnsi="Tahoma"/>
          <w:color w:val="376092"/>
          <w:sz w:val="22"/>
          <w:szCs w:val="22"/>
        </w:rPr>
        <w:t xml:space="preserve">.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No atual panorama normativo, na gestão descentralizada do CadÚnico e do Programa Bolsa Família, os entes responsáveis pela inclusão/atualização da família unipessoal obstam o acesso ao PBF sob o fundamento da quantidade de famílias atendidas pelo Programa em cada Município, mas não realizam a entrevista domiciliar, requisito necessário para inscrição/atualização cadastral da família unipessoal. Ou seja, o impedimento da habilitação da parte autora no Programa Bolsa Família decorre de </w:t>
      </w:r>
      <w:r>
        <w:rPr>
          <w:rFonts w:eastAsia="Open Sans" w:cs="Open Sans" w:ascii="Tahoma" w:hAnsi="Tahoma"/>
          <w:b/>
          <w:bCs/>
          <w:color w:val="376092"/>
          <w:sz w:val="22"/>
          <w:szCs w:val="22"/>
        </w:rPr>
        <w:t>mora exclusiva do Poder Público.</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Diante da tentativa frustrada de solução extrajudicial, a parte autora ajuíza a presente ação, a fim de ser (re)incluída no Programa Bolsa Família, com efeitos retroativos à __/__/__ (data da atualização do CadÚnico ou exclusão do PBF).</w:t>
      </w:r>
    </w:p>
    <w:p>
      <w:pPr>
        <w:pStyle w:val="Normal"/>
        <w:spacing w:lineRule="auto" w:line="360" w:before="192" w:after="192"/>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IV.  DA LIMITAÇÃO DE FAMÍLIAS UNIPESSOAIS POR MUNICÍPIO, DAS HIPÓTESES DE EXCEÇÃO E DA NECESSIDADE DE REALIZAÇÃO DAS ENTREVISTAS DOMICILIARES OU SUPRIMENTO JUDICIAL</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O limite de 16% de famílias unipessoais no Programa Bolsa Família por município foi incluído pela Portaria MDS n° 911, de 24/08/2023, que acrescentou </w:t>
      </w:r>
      <w:r>
        <w:rPr>
          <w:rFonts w:eastAsia="Open Sans" w:cs="Open Sans" w:ascii="Tahoma" w:hAnsi="Tahoma"/>
          <w:color w:val="376092"/>
          <w:sz w:val="22"/>
          <w:szCs w:val="22"/>
          <w:u w:val="single"/>
        </w:rPr>
        <w:t>os §§ 2º e 3º ao art. 6º da</w:t>
      </w:r>
      <w:r>
        <w:rPr>
          <w:rFonts w:eastAsia="Open Sans" w:cs="Open Sans" w:ascii="Tahoma" w:hAnsi="Tahoma"/>
          <w:color w:val="376092"/>
          <w:sz w:val="22"/>
          <w:szCs w:val="22"/>
        </w:rPr>
        <w:t xml:space="preserve"> Portaria MDS 897/2023:</w:t>
      </w:r>
    </w:p>
    <w:p>
      <w:pPr>
        <w:pStyle w:val="Normal"/>
        <w:shd w:fill="DEDEE8" w:val="clear"/>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Art. 6º O ingresso de novas famílias no PBF dependerá de:</w:t>
      </w:r>
    </w:p>
    <w:p>
      <w:pPr>
        <w:pStyle w:val="Normal"/>
        <w:shd w:fill="DEDEE8" w:val="clear"/>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 xml:space="preserve">(...) </w:t>
      </w:r>
    </w:p>
    <w:p>
      <w:pPr>
        <w:pStyle w:val="Normal"/>
        <w:shd w:fill="DEDEE8" w:val="clear"/>
        <w:spacing w:before="192" w:after="192"/>
        <w:ind w:left="851" w:right="0" w:hanging="0"/>
        <w:jc w:val="both"/>
        <w:rPr>
          <w:rFonts w:ascii="Tahoma" w:hAnsi="Tahoma"/>
          <w:sz w:val="22"/>
          <w:szCs w:val="22"/>
        </w:rPr>
      </w:pPr>
      <w:r>
        <w:rPr>
          <w:rFonts w:eastAsia="Open Sans" w:cs="Open Sans" w:ascii="Tahoma" w:hAnsi="Tahoma"/>
          <w:color w:val="376092"/>
          <w:sz w:val="22"/>
          <w:szCs w:val="22"/>
        </w:rPr>
        <w:t xml:space="preserve">§ 2º </w:t>
      </w:r>
      <w:r>
        <w:rPr>
          <w:rFonts w:eastAsia="Open Sans" w:cs="Open Sans" w:ascii="Tahoma" w:hAnsi="Tahoma"/>
          <w:b/>
          <w:bCs/>
          <w:color w:val="376092"/>
          <w:sz w:val="22"/>
          <w:szCs w:val="22"/>
        </w:rPr>
        <w:t>Fica definido como limite máximo de atendimento de famílias unipessoais no PBF a taxa de 16% (dezesseis por cento) do total de famílias beneficiárias atendidas pelo Programa no município,</w:t>
      </w:r>
      <w:r>
        <w:rPr>
          <w:rFonts w:eastAsia="Open Sans" w:cs="Open Sans" w:ascii="Tahoma" w:hAnsi="Tahoma"/>
          <w:color w:val="376092"/>
          <w:sz w:val="22"/>
          <w:szCs w:val="22"/>
        </w:rPr>
        <w:t xml:space="preserve"> passível de revisão e regionalização por meio de norma complementar publicada pela Senarc, em consonância com estudos demográficos e dados estatísticos atualizados. (Incluído pela Portaria MDS nº 911, de 24 de agosto de 2023, DOU de 25/08/2023).</w:t>
      </w:r>
    </w:p>
    <w:p>
      <w:pPr>
        <w:pStyle w:val="Normal"/>
        <w:shd w:fill="DEDEE8" w:val="clear"/>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 3º Na hipótese de a taxa prevista no § 2º ser alcançada, e enquanto se mantiver igual ou superior a esse valor, não poderão ingressar no PBF novas famílias unipessoais domiciliadas no respectivo município, exceto as, conforme informações constantes do Cadastro Único: (...) (Redação dada pela Portaria MDS nº 1.003, de 16 de julho de 2024).</w:t>
      </w:r>
    </w:p>
    <w:p>
      <w:pPr>
        <w:pStyle w:val="Normal"/>
        <w:spacing w:lineRule="auto" w:line="360" w:before="192" w:after="192"/>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tabs>
          <w:tab w:val="clear" w:pos="720"/>
          <w:tab w:val="left" w:pos="988" w:leader="none"/>
          <w:tab w:val="left" w:pos="990" w:leader="none"/>
        </w:tabs>
        <w:spacing w:lineRule="auto" w:line="360" w:before="192" w:after="192"/>
        <w:ind w:left="0" w:right="2" w:firstLine="851"/>
        <w:jc w:val="both"/>
        <w:rPr>
          <w:rFonts w:ascii="Tahoma" w:hAnsi="Tahoma"/>
          <w:sz w:val="22"/>
          <w:szCs w:val="22"/>
        </w:rPr>
      </w:pPr>
      <w:r>
        <w:rPr>
          <w:rFonts w:eastAsia="Open Sans" w:cs="Open Sans" w:ascii="Tahoma" w:hAnsi="Tahoma"/>
          <w:color w:val="376092"/>
          <w:sz w:val="22"/>
          <w:szCs w:val="22"/>
        </w:rPr>
        <w:t xml:space="preserve">O art. 6°, § 3º, da Portaria MDS n° 897/2023 prevê casos excepcionais que </w:t>
      </w:r>
      <w:r>
        <w:rPr>
          <w:rFonts w:eastAsia="Open Sans" w:cs="Open Sans" w:ascii="Tahoma" w:hAnsi="Tahoma"/>
          <w:b/>
          <w:bCs/>
          <w:color w:val="376092"/>
          <w:sz w:val="22"/>
          <w:szCs w:val="22"/>
        </w:rPr>
        <w:t>garantem a inclusão</w:t>
      </w:r>
      <w:r>
        <w:rPr>
          <w:rFonts w:eastAsia="Open Sans" w:cs="Open Sans" w:ascii="Tahoma" w:hAnsi="Tahoma"/>
          <w:color w:val="376092"/>
          <w:sz w:val="22"/>
          <w:szCs w:val="22"/>
        </w:rPr>
        <w:t xml:space="preserve"> de famílias unipessoais no Programa Bolsa Família, </w:t>
      </w:r>
      <w:r>
        <w:rPr>
          <w:rFonts w:eastAsia="Open Sans" w:cs="Open Sans" w:ascii="Tahoma" w:hAnsi="Tahoma"/>
          <w:color w:val="376092"/>
          <w:sz w:val="22"/>
          <w:szCs w:val="22"/>
          <w:u w:val="single"/>
        </w:rPr>
        <w:t>mesmo quando o município tiver atingido o contingente de 16% (dezesseis por cento).</w:t>
      </w:r>
      <w:r>
        <w:rPr>
          <w:rFonts w:eastAsia="Open Sans" w:cs="Open Sans" w:ascii="Tahoma" w:hAnsi="Tahoma"/>
          <w:color w:val="376092"/>
          <w:sz w:val="22"/>
          <w:szCs w:val="22"/>
        </w:rPr>
        <w:t xml:space="preserve"> São eles:</w:t>
      </w:r>
    </w:p>
    <w:tbl>
      <w:tblPr>
        <w:tblW w:w="8364" w:type="dxa"/>
        <w:jc w:val="left"/>
        <w:tblInd w:w="840" w:type="dxa"/>
        <w:tblLayout w:type="fixed"/>
        <w:tblCellMar>
          <w:top w:w="100" w:type="dxa"/>
          <w:left w:w="100" w:type="dxa"/>
          <w:bottom w:w="100" w:type="dxa"/>
          <w:right w:w="100" w:type="dxa"/>
        </w:tblCellMar>
      </w:tblPr>
      <w:tblGrid>
        <w:gridCol w:w="8364"/>
      </w:tblGrid>
      <w:tr>
        <w:trPr>
          <w:trHeight w:val="255" w:hRule="atLeast"/>
        </w:trPr>
        <w:tc>
          <w:tcPr>
            <w:tcW w:w="8364" w:type="dxa"/>
            <w:tcBorders>
              <w:top w:val="single" w:sz="8" w:space="0" w:color="000000"/>
              <w:left w:val="single" w:sz="8" w:space="0" w:color="000000"/>
              <w:bottom w:val="single" w:sz="8" w:space="0" w:color="000000"/>
              <w:right w:val="single" w:sz="8" w:space="0" w:color="000000"/>
            </w:tcBorders>
            <w:shd w:fill="B8CCE4" w:val="clear"/>
          </w:tcPr>
          <w:p>
            <w:pPr>
              <w:pStyle w:val="Normal"/>
              <w:widowControl w:val="false"/>
              <w:ind w:left="0" w:right="0" w:firstLine="851"/>
              <w:jc w:val="center"/>
              <w:rPr>
                <w:rFonts w:ascii="Tahoma" w:hAnsi="Tahoma"/>
                <w:sz w:val="22"/>
                <w:szCs w:val="22"/>
              </w:rPr>
            </w:pPr>
            <w:r>
              <w:rPr>
                <w:rFonts w:eastAsia="Open Sans" w:cs="Open Sans" w:ascii="Tahoma" w:hAnsi="Tahoma"/>
                <w:b/>
                <w:bCs/>
                <w:color w:val="376092"/>
                <w:sz w:val="22"/>
                <w:szCs w:val="22"/>
              </w:rPr>
              <w:t>EXCEÇÕES (ART. 6º, §3º, I a IX)</w:t>
            </w:r>
            <w:r>
              <w:rPr>
                <w:rStyle w:val="Ncoradanotaderodap"/>
                <w:rFonts w:eastAsia="Open Sans" w:cs="Open Sans" w:ascii="Tahoma" w:hAnsi="Tahoma"/>
                <w:b/>
                <w:bCs/>
                <w:color w:val="376092"/>
                <w:sz w:val="22"/>
                <w:szCs w:val="22"/>
              </w:rPr>
              <w:footnoteReference w:id="3"/>
            </w:r>
          </w:p>
        </w:tc>
      </w:tr>
      <w:tr>
        <w:trPr>
          <w:trHeight w:val="300"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Integrantes em situação de trabalho infantil</w:t>
            </w:r>
          </w:p>
        </w:tc>
      </w:tr>
      <w:tr>
        <w:trPr>
          <w:trHeight w:val="350"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jc w:val="center"/>
              <w:rPr>
                <w:rFonts w:ascii="Tahoma" w:hAnsi="Tahoma" w:eastAsia="Open Sans" w:cs="Open Sans"/>
                <w:color w:val="376092"/>
                <w:sz w:val="22"/>
                <w:szCs w:val="22"/>
              </w:rPr>
            </w:pPr>
            <w:r>
              <w:rPr>
                <w:rFonts w:eastAsia="Open Sans" w:cs="Open Sans" w:ascii="Tahoma" w:hAnsi="Tahoma"/>
                <w:color w:val="376092"/>
                <w:sz w:val="22"/>
                <w:szCs w:val="22"/>
              </w:rPr>
              <w:t>Integrantes libertos de situação análoga à de trabalho escravo</w:t>
            </w:r>
          </w:p>
        </w:tc>
      </w:tr>
      <w:tr>
        <w:trPr>
          <w:trHeight w:val="388"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quilombolas</w:t>
            </w:r>
          </w:p>
        </w:tc>
      </w:tr>
      <w:tr>
        <w:trPr>
          <w:trHeight w:val="212"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indígenas</w:t>
            </w:r>
          </w:p>
        </w:tc>
      </w:tr>
      <w:tr>
        <w:trPr>
          <w:trHeight w:val="190"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com catadores de material reciclável</w:t>
            </w:r>
          </w:p>
        </w:tc>
      </w:tr>
      <w:tr>
        <w:trPr>
          <w:trHeight w:val="324"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com pessoas em situação de rua</w:t>
            </w:r>
          </w:p>
        </w:tc>
      </w:tr>
      <w:tr>
        <w:trPr>
          <w:trHeight w:val="346"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em risco de insegurança alimentar</w:t>
            </w:r>
          </w:p>
        </w:tc>
      </w:tr>
      <w:tr>
        <w:trPr>
          <w:trHeight w:val="376"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eastAsia="Open Sans" w:cs="Open Sans"/>
                <w:color w:val="376092"/>
                <w:sz w:val="22"/>
                <w:szCs w:val="22"/>
              </w:rPr>
            </w:pPr>
            <w:r>
              <w:rPr>
                <w:rFonts w:eastAsia="Open Sans" w:cs="Open Sans" w:ascii="Tahoma" w:hAnsi="Tahoma"/>
                <w:color w:val="376092"/>
                <w:sz w:val="22"/>
                <w:szCs w:val="22"/>
              </w:rPr>
              <w:t>Famílias em situação de violação de direitos</w:t>
            </w:r>
          </w:p>
        </w:tc>
      </w:tr>
      <w:tr>
        <w:trPr>
          <w:trHeight w:val="376" w:hRule="atLeast"/>
        </w:trPr>
        <w:tc>
          <w:tcPr>
            <w:tcW w:w="8364" w:type="dxa"/>
            <w:tcBorders>
              <w:top w:val="single" w:sz="8" w:space="0" w:color="000000"/>
              <w:left w:val="single" w:sz="8" w:space="0" w:color="000000"/>
              <w:bottom w:val="single" w:sz="8" w:space="0" w:color="000000"/>
              <w:right w:val="single" w:sz="8" w:space="0" w:color="000000"/>
            </w:tcBorders>
          </w:tcPr>
          <w:p>
            <w:pPr>
              <w:pStyle w:val="Normal"/>
              <w:widowControl w:val="false"/>
              <w:ind w:left="0" w:right="0" w:firstLine="851"/>
              <w:jc w:val="center"/>
              <w:rPr>
                <w:rFonts w:ascii="Tahoma" w:hAnsi="Tahoma"/>
                <w:sz w:val="22"/>
                <w:szCs w:val="22"/>
              </w:rPr>
            </w:pPr>
            <w:r>
              <w:rPr>
                <w:rFonts w:eastAsia="Open Sans" w:cs="Open Sans" w:ascii="Tahoma" w:hAnsi="Tahoma"/>
                <w:b/>
                <w:bCs/>
                <w:color w:val="376092"/>
                <w:sz w:val="22"/>
                <w:szCs w:val="22"/>
              </w:rPr>
              <w:t>Famílias que realizaram ou venham a realizar a sua atualização ou inscrição cadastral mediante entrevista em domicílio</w:t>
            </w:r>
            <w:r>
              <w:rPr>
                <w:rFonts w:eastAsia="Open Sans" w:cs="Open Sans" w:ascii="Tahoma" w:hAnsi="Tahoma"/>
                <w:color w:val="376092"/>
                <w:sz w:val="22"/>
                <w:szCs w:val="22"/>
              </w:rPr>
              <w:t>, a partir de 31 de julho de 2023</w:t>
            </w:r>
          </w:p>
        </w:tc>
      </w:tr>
    </w:tbl>
    <w:p>
      <w:pPr>
        <w:pStyle w:val="Normal"/>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ind w:left="0" w:right="0" w:firstLine="720"/>
        <w:jc w:val="both"/>
        <w:rPr>
          <w:rFonts w:ascii="Tahoma" w:hAnsi="Tahoma"/>
          <w:sz w:val="22"/>
          <w:szCs w:val="22"/>
        </w:rPr>
      </w:pPr>
      <w:r>
        <w:rPr>
          <w:rFonts w:eastAsia="Open Sans" w:cs="Open Sans" w:ascii="Tahoma" w:hAnsi="Tahoma"/>
          <w:color w:val="376092"/>
          <w:sz w:val="22"/>
          <w:szCs w:val="22"/>
        </w:rPr>
        <w:t xml:space="preserve">É importante ressaltar que a exceção do limite de 16% quando realizada a entrevista domiciliar foi fruto do acordo com efeitos nacionais firmado nos autos </w:t>
      </w:r>
      <w:r>
        <w:rPr>
          <w:rFonts w:eastAsia="Open Sans" w:cs="Open Sans" w:ascii="Tahoma" w:hAnsi="Tahoma"/>
          <w:b/>
          <w:bCs/>
          <w:color w:val="376092"/>
          <w:sz w:val="22"/>
          <w:szCs w:val="22"/>
        </w:rPr>
        <w:t>Ação Civil Pública nº 5024187-38.2024.4.04.7100/RS</w:t>
      </w:r>
      <w:r>
        <w:rPr>
          <w:rFonts w:eastAsia="Open Sans" w:cs="Open Sans" w:ascii="Tahoma" w:hAnsi="Tahoma"/>
          <w:color w:val="376092"/>
          <w:sz w:val="22"/>
          <w:szCs w:val="22"/>
        </w:rPr>
        <w:t xml:space="preserve">, ajuizada pela Defensoria Pública da União do Rio Grande do Sul. Por meio do acordo coletivo, a União comprometeu-se a determinar a permissão imediata de habilitação ao Programa Bolsa Família de todas as famílias unipessoais que realizaram, a partir de 31 de julho de 2023, atualização ou inscrição cadastral mediante entrevista em domicílio, com efeitos na habilitação do PBF de julho de 2024 (Acordo MDS/DPU nº 1/2024). </w:t>
      </w:r>
    </w:p>
    <w:p>
      <w:pPr>
        <w:pStyle w:val="Normal"/>
        <w:spacing w:lineRule="auto" w:line="360" w:before="192" w:after="192"/>
        <w:ind w:left="0" w:right="0" w:firstLine="720"/>
        <w:jc w:val="both"/>
        <w:rPr>
          <w:rFonts w:ascii="Tahoma" w:hAnsi="Tahoma"/>
          <w:sz w:val="22"/>
          <w:szCs w:val="22"/>
        </w:rPr>
      </w:pPr>
      <w:r>
        <w:rPr>
          <w:rFonts w:eastAsia="Open Sans" w:cs="Open Sans" w:ascii="Tahoma" w:hAnsi="Tahoma"/>
          <w:color w:val="376092"/>
          <w:sz w:val="22"/>
          <w:szCs w:val="22"/>
        </w:rPr>
        <w:t xml:space="preserve">Em seguida, </w:t>
      </w:r>
      <w:r>
        <w:rPr>
          <w:rFonts w:eastAsia="Open Sans" w:cs="Open Sans" w:ascii="Tahoma" w:hAnsi="Tahoma"/>
          <w:b/>
          <w:bCs/>
          <w:color w:val="376092"/>
          <w:sz w:val="22"/>
          <w:szCs w:val="22"/>
        </w:rPr>
        <w:t>a Portaria MDS nº 1.003, de 16 de julho de 2024, publicada no DOU em 17/07/2024, acrescentou o inciso IX ao §3º do artigo 6º da Portaria 897/2023. Essa alteração permitiu a inclusão de novas famílias unipessoais no PBF, mesmo que ultrapassem o limite de 16% do município.</w:t>
      </w:r>
      <w:r>
        <w:rPr>
          <w:rFonts w:eastAsia="Open Sans" w:cs="Open Sans" w:ascii="Tahoma" w:hAnsi="Tahoma"/>
          <w:color w:val="376092"/>
          <w:sz w:val="22"/>
          <w:szCs w:val="22"/>
        </w:rPr>
        <w:t xml:space="preserve"> </w:t>
      </w:r>
    </w:p>
    <w:p>
      <w:pPr>
        <w:pStyle w:val="Normal"/>
        <w:spacing w:lineRule="auto" w:line="360" w:before="192" w:after="192"/>
        <w:ind w:left="0" w:right="2" w:firstLine="851"/>
        <w:jc w:val="both"/>
        <w:rPr>
          <w:rFonts w:ascii="Tahoma" w:hAnsi="Tahoma"/>
          <w:sz w:val="22"/>
          <w:szCs w:val="22"/>
        </w:rPr>
      </w:pPr>
      <w:r>
        <w:rPr>
          <w:rFonts w:eastAsia="Open Sans" w:cs="Open Sans" w:ascii="Tahoma" w:hAnsi="Tahoma"/>
          <w:color w:val="376092"/>
          <w:sz w:val="22"/>
          <w:szCs w:val="22"/>
        </w:rPr>
        <w:t xml:space="preserve">Posteriormente, o art. 2º, § 3º, da Lei nº 15.077/2024, de 27/12/2024, estabeleceu que, para a concessão ou manutenção dos benefícios assistenciais a famílias unipessoais, a inscrição ou a atualização do CadÚnico </w:t>
      </w:r>
      <w:r>
        <w:rPr>
          <w:rFonts w:eastAsia="Open Sans" w:cs="Open Sans" w:ascii="Tahoma" w:hAnsi="Tahoma"/>
          <w:b/>
          <w:bCs/>
          <w:color w:val="376092"/>
          <w:sz w:val="22"/>
          <w:szCs w:val="22"/>
        </w:rPr>
        <w:t>deverá s</w:t>
      </w:r>
      <w:r>
        <w:rPr>
          <w:rFonts w:eastAsia="Open Sans" w:cs="Open Sans" w:ascii="Tahoma" w:hAnsi="Tahoma"/>
          <w:color w:val="376092"/>
          <w:sz w:val="22"/>
          <w:szCs w:val="22"/>
        </w:rPr>
        <w:t>er feita no domicílio de residência da pessoa. Veja-se:</w:t>
      </w:r>
    </w:p>
    <w:p>
      <w:pPr>
        <w:pStyle w:val="Normal"/>
        <w:spacing w:before="192" w:after="192"/>
        <w:ind w:left="851" w:right="0" w:hanging="0"/>
        <w:jc w:val="both"/>
        <w:rPr>
          <w:rFonts w:ascii="Tahoma" w:hAnsi="Tahoma"/>
          <w:sz w:val="22"/>
          <w:szCs w:val="22"/>
        </w:rPr>
      </w:pPr>
      <w:r>
        <w:rPr>
          <w:rFonts w:eastAsia="Open Sans" w:cs="Open Sans" w:ascii="Tahoma" w:hAnsi="Tahoma"/>
          <w:color w:val="376092"/>
          <w:sz w:val="22"/>
          <w:szCs w:val="22"/>
        </w:rPr>
        <w:t>Art. 2º</w:t>
      </w:r>
      <w:r>
        <w:rPr>
          <w:rFonts w:eastAsia="Open Sans" w:cs="Open Sans" w:ascii="Tahoma" w:hAnsi="Tahoma"/>
          <w:b/>
          <w:bCs/>
          <w:color w:val="376092"/>
          <w:sz w:val="22"/>
          <w:szCs w:val="22"/>
        </w:rPr>
        <w:t> </w:t>
      </w:r>
      <w:r>
        <w:rPr>
          <w:rFonts w:eastAsia="Open Sans" w:cs="Open Sans" w:ascii="Tahoma" w:hAnsi="Tahoma"/>
          <w:color w:val="376092"/>
          <w:sz w:val="22"/>
          <w:szCs w:val="22"/>
        </w:rPr>
        <w:t>Para os programas ou os benefícios federais de transferência de renda que utilizem o Cadastro Único para Programas Sociais do Governo Federal (CadÚnico), deverá ser observado o prazo máximo de 24 (vinte e quatro) meses de atualização cadastral, para fins de concessão ou manutenção do pagamento às famílias, nos termos estabelecidos em ato do Poder Executivo federal.</w:t>
      </w:r>
    </w:p>
    <w:p>
      <w:pPr>
        <w:pStyle w:val="Normal"/>
        <w:spacing w:before="192" w:after="192"/>
        <w:ind w:left="851" w:right="0" w:hanging="0"/>
        <w:jc w:val="both"/>
        <w:rPr>
          <w:rFonts w:ascii="Tahoma" w:hAnsi="Tahoma"/>
          <w:sz w:val="22"/>
          <w:szCs w:val="22"/>
        </w:rPr>
      </w:pPr>
      <w:bookmarkStart w:id="0" w:name="art2§3"/>
      <w:bookmarkStart w:id="1" w:name="art2§1"/>
      <w:bookmarkEnd w:id="0"/>
      <w:bookmarkEnd w:id="1"/>
      <w:r>
        <w:rPr>
          <w:rFonts w:eastAsia="Open Sans" w:cs="Open Sans" w:ascii="Tahoma" w:hAnsi="Tahoma"/>
          <w:color w:val="376092"/>
          <w:sz w:val="22"/>
          <w:szCs w:val="22"/>
        </w:rPr>
        <w:t xml:space="preserve">§ 3º </w:t>
      </w:r>
      <w:r>
        <w:rPr>
          <w:rFonts w:eastAsia="Open Sans" w:cs="Open Sans" w:ascii="Tahoma" w:hAnsi="Tahoma"/>
          <w:b/>
          <w:bCs/>
          <w:color w:val="376092"/>
          <w:sz w:val="22"/>
          <w:szCs w:val="22"/>
        </w:rPr>
        <w:t>Para fins de concessão ou manutenção dos benefícios de que trata o </w:t>
      </w:r>
      <w:r>
        <w:rPr>
          <w:rFonts w:eastAsia="Open Sans" w:cs="Open Sans" w:ascii="Tahoma" w:hAnsi="Tahoma"/>
          <w:b/>
          <w:bCs/>
          <w:i/>
          <w:iCs/>
          <w:color w:val="376092"/>
          <w:sz w:val="22"/>
          <w:szCs w:val="22"/>
        </w:rPr>
        <w:t>caput</w:t>
      </w:r>
      <w:r>
        <w:rPr>
          <w:rFonts w:eastAsia="Open Sans" w:cs="Open Sans" w:ascii="Tahoma" w:hAnsi="Tahoma"/>
          <w:b/>
          <w:bCs/>
          <w:color w:val="376092"/>
          <w:sz w:val="22"/>
          <w:szCs w:val="22"/>
        </w:rPr>
        <w:t> deste artigo a famílias compostas de 1 (uma) só pessoa ou a indivíduos que residem sem parentes, a inscrição ou a atualização do CadÚnico deverá ser feita no domicílio de residência da pessoa, conforme prazos e exceções estabelecidos em ato do Poder Executivo federal</w:t>
      </w:r>
      <w:r>
        <w:rPr>
          <w:rFonts w:eastAsia="Open Sans" w:cs="Open Sans" w:ascii="Tahoma" w:hAnsi="Tahoma"/>
          <w:color w:val="376092"/>
          <w:sz w:val="22"/>
          <w:szCs w:val="22"/>
        </w:rPr>
        <w:t>.</w:t>
      </w:r>
    </w:p>
    <w:p>
      <w:pPr>
        <w:pStyle w:val="Normal"/>
        <w:spacing w:lineRule="auto" w:line="360" w:before="192" w:after="192"/>
        <w:ind w:left="0" w:right="2"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Em suma, a exigência da entrevista domiciliar para famílias unipessoais no Programa Bolsa Família avançou com a Lei nº 15.077, de 27 de dezembro de 2024, que, além de alterar a Lei nº 14.601/2023 para incluir o artigo 12-A, delegando ao Poder Executivo a fixação de índices máximos e procedimentos de controle para esse público, determinou em seu artigo 2º, § 3º, que, em todos os programas federais de transferência de renda que utilizam o CadÚnico, a inscrição ou a atualização no cadastro de famílias unipessoais deverá ser feita no domicílio de residência da pessoa.</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Regulamentando-se essas previsões, passou a constar do Decreto 12.064/2024 que as famílias compostas por uma só pessoa </w:t>
      </w:r>
      <w:r>
        <w:rPr>
          <w:rFonts w:eastAsia="Open Sans" w:cs="Open Sans" w:ascii="Tahoma" w:hAnsi="Tahoma"/>
          <w:b/>
          <w:bCs/>
          <w:color w:val="376092"/>
          <w:sz w:val="22"/>
          <w:szCs w:val="22"/>
        </w:rPr>
        <w:t xml:space="preserve">não </w:t>
      </w:r>
      <w:r>
        <w:rPr>
          <w:rFonts w:eastAsia="Open Sans" w:cs="Open Sans" w:ascii="Tahoma" w:hAnsi="Tahoma"/>
          <w:color w:val="376092"/>
          <w:sz w:val="22"/>
          <w:szCs w:val="22"/>
        </w:rPr>
        <w:t>poderão ingressar no Programa Bolsa Família sem que a inscrição ou atualização cadastral tenha sido realizada obrigatoriamente por meio de entrevista no domicílio:</w:t>
      </w:r>
    </w:p>
    <w:p>
      <w:pPr>
        <w:pStyle w:val="Normal"/>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Art. 18 O ingresso e a permanência das famílias no Programa Bolsa Família ocorrerão na forma estabelecida pelo Ministério do Desenvolvimento e Assistência Social, Família e Combate à Fome, após o registro de seus integrantes no CadÚnico, por meio da apresentação de dados cadastrais atualizados e regularizados, conforme os critérios do Programa.</w:t>
      </w:r>
    </w:p>
    <w:p>
      <w:pPr>
        <w:pStyle w:val="Normal"/>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 xml:space="preserve">[...] </w:t>
      </w:r>
    </w:p>
    <w:p>
      <w:pPr>
        <w:pStyle w:val="Normal"/>
        <w:spacing w:before="192" w:after="192"/>
        <w:ind w:left="851" w:right="0" w:hanging="0"/>
        <w:jc w:val="both"/>
        <w:rPr/>
      </w:pPr>
      <w:r>
        <w:rPr>
          <w:rFonts w:eastAsia="Open Sans" w:cs="Open Sans" w:ascii="Tahoma" w:hAnsi="Tahoma"/>
          <w:color w:val="376092"/>
          <w:sz w:val="22"/>
          <w:szCs w:val="22"/>
        </w:rPr>
        <w:t>§ 3º  As famílias compostas de uma só pessoa sem inscrição ou atualização cadastral realizada por meio de entrevista em domicílio não poderão ingressar no Programa Bolsa Família enquanto não forem realizadas essas ações.   </w:t>
      </w:r>
      <w:r>
        <w:fldChar w:fldCharType="begin"/>
      </w:r>
      <w:r>
        <w:rPr>
          <w:rStyle w:val="LinkdaInternet"/>
          <w:sz w:val="22"/>
          <w:szCs w:val="22"/>
          <w:rFonts w:eastAsia="Open Sans" w:cs="Open Sans" w:ascii="Tahoma" w:hAnsi="Tahoma"/>
          <w:color w:val="376092"/>
        </w:rPr>
        <w:instrText xml:space="preserve"> HYPERLINK "https://www.planalto.gov.br/ccivil_03/_ato2023-2026/2025/Decreto/D12417.htm" \l "art1"</w:instrText>
      </w:r>
      <w:r>
        <w:rPr>
          <w:rStyle w:val="LinkdaInternet"/>
          <w:sz w:val="22"/>
          <w:szCs w:val="22"/>
          <w:rFonts w:eastAsia="Open Sans" w:cs="Open Sans" w:ascii="Tahoma" w:hAnsi="Tahoma"/>
          <w:color w:val="376092"/>
        </w:rPr>
        <w:fldChar w:fldCharType="separate"/>
      </w:r>
      <w:r>
        <w:rPr>
          <w:rStyle w:val="LinkdaInternet"/>
          <w:rFonts w:eastAsia="Open Sans" w:cs="Open Sans" w:ascii="Tahoma" w:hAnsi="Tahoma"/>
          <w:color w:val="376092"/>
          <w:sz w:val="22"/>
          <w:szCs w:val="22"/>
        </w:rPr>
        <w:t>(Incluído pelo Decreto nº 12.417, de 2025)</w:t>
      </w:r>
      <w:r>
        <w:rPr>
          <w:rStyle w:val="LinkdaInternet"/>
          <w:sz w:val="22"/>
          <w:szCs w:val="22"/>
          <w:rFonts w:eastAsia="Open Sans" w:cs="Open Sans" w:ascii="Tahoma" w:hAnsi="Tahoma"/>
          <w:color w:val="376092"/>
        </w:rPr>
        <w:fldChar w:fldCharType="end"/>
      </w:r>
    </w:p>
    <w:p>
      <w:pPr>
        <w:pStyle w:val="Normal"/>
        <w:spacing w:lineRule="auto" w:line="360" w:before="192" w:after="192"/>
        <w:ind w:left="0" w:right="0" w:firstLine="851"/>
        <w:jc w:val="both"/>
        <w:rPr>
          <w:rFonts w:ascii="Tahoma" w:hAnsi="Tahoma" w:cs="Open Sans"/>
          <w:b/>
          <w:b/>
          <w:bCs/>
          <w:color w:val="376092"/>
          <w:sz w:val="22"/>
          <w:szCs w:val="22"/>
        </w:rPr>
      </w:pPr>
      <w:r>
        <w:rPr>
          <w:rFonts w:cs="Open Sans" w:ascii="Tahoma" w:hAnsi="Tahoma"/>
          <w:b/>
          <w:bCs/>
          <w:color w:val="376092"/>
          <w:sz w:val="22"/>
          <w:szCs w:val="22"/>
        </w:rPr>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val="false"/>
          <w:bCs w:val="false"/>
          <w:color w:val="376092"/>
          <w:sz w:val="22"/>
          <w:szCs w:val="22"/>
        </w:rPr>
        <w:t>Por fim,</w:t>
      </w:r>
      <w:r>
        <w:rPr>
          <w:rFonts w:eastAsia="Open Sans" w:cs="Open Sans" w:ascii="Tahoma" w:hAnsi="Tahoma"/>
          <w:b/>
          <w:bCs/>
          <w:color w:val="376092"/>
          <w:sz w:val="22"/>
          <w:szCs w:val="22"/>
        </w:rPr>
        <w:t xml:space="preserve"> foi realizado o Acordo MDS/INSS/DPU nº 4/2026, entre a DPU, o MDS e o INSS, homologado por sentença nos autos da Ação Civil Pública nº 5002171-51.2026.4.03.6000,</w:t>
      </w:r>
      <w:r>
        <w:rPr>
          <w:rFonts w:eastAsia="Open Sans" w:cs="Open Sans" w:ascii="Tahoma" w:hAnsi="Tahoma"/>
          <w:b w:val="false"/>
          <w:bCs w:val="false"/>
          <w:color w:val="376092"/>
          <w:sz w:val="22"/>
          <w:szCs w:val="22"/>
        </w:rPr>
        <w:t xml:space="preserve"> dispondo que, até 1º de julho de 2027, não se exigirá a realização de cadastro domiciliar da família para fins de inscrição ou atualização cadastral no BPC e de manutenção do PBF (Cláusula Terceira, itens I e II), podendo a atualização cadastral ser feita presencialmente nos postos de atendimento do Cadastro Único (Cláusula Terceira, §1º). A sentença de 14/07/2026 (ID 593558199) homologou o acordo e lhe atribuiu efeitos de coisa julgada coletiva, com eficácia nacional (art. 16 da Lei nº 7.347/1985). Em cumprimento ao acordo, o MDS editou a Portaria MDS nº 1.199, de 15/07/2026, que alterou a Portaria MDS nº 1.145/2025 para postergar a exigência para 1º de julho de 2027.</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bCs/>
          <w:color w:val="376092"/>
          <w:sz w:val="22"/>
          <w:szCs w:val="22"/>
        </w:rPr>
        <w:t xml:space="preserve">Como se vê, esse acordo </w:t>
      </w:r>
      <w:r>
        <w:rPr>
          <w:rFonts w:eastAsia="Open Sans" w:cs="Open Sans" w:ascii="Tahoma" w:hAnsi="Tahoma"/>
          <w:b/>
          <w:bCs/>
          <w:color w:val="376092"/>
          <w:sz w:val="22"/>
          <w:szCs w:val="22"/>
          <w:u w:val="single"/>
        </w:rPr>
        <w:t>não</w:t>
      </w:r>
      <w:r>
        <w:rPr>
          <w:rFonts w:eastAsia="Open Sans" w:cs="Open Sans" w:ascii="Tahoma" w:hAnsi="Tahoma"/>
          <w:b/>
          <w:bCs/>
          <w:color w:val="376092"/>
          <w:sz w:val="22"/>
          <w:szCs w:val="22"/>
        </w:rPr>
        <w:t xml:space="preserve"> contemplou a situação das famílias unipessoais nos casos em que a inscrição ou atualização no Cadastro Único importe na INCLUSÃO no Bolsa Família (preenchimento dos requisitos), mantendo-se nesses casos a exigência de visita domiciliar.</w:t>
      </w:r>
    </w:p>
    <w:p>
      <w:pPr>
        <w:pStyle w:val="Normal"/>
        <w:spacing w:lineRule="auto" w:line="360" w:before="192" w:after="192"/>
        <w:ind w:left="0" w:right="0" w:firstLine="851"/>
        <w:jc w:val="both"/>
        <w:rPr>
          <w:rFonts w:ascii="Tahoma" w:hAnsi="Tahoma" w:eastAsia="Open Sans" w:cs="Open Sans"/>
          <w:b/>
          <w:b/>
          <w:bCs/>
          <w:color w:val="376092"/>
          <w:sz w:val="22"/>
          <w:szCs w:val="22"/>
          <w:u w:val="single"/>
        </w:rPr>
      </w:pPr>
      <w:r>
        <w:rPr>
          <w:rFonts w:eastAsia="Open Sans" w:cs="Open Sans" w:ascii="Tahoma" w:hAnsi="Tahoma"/>
          <w:b/>
          <w:bCs/>
          <w:color w:val="376092"/>
          <w:sz w:val="22"/>
          <w:szCs w:val="22"/>
          <w:u w:val="single"/>
        </w:rPr>
        <w:t>Ou seja, para o requerente que integra família unipessoal em Município que alcançou o limite de 16% e que pretende a sua inscrição no CadÚnico para ingresso no Bolsa Família, apenas a realização da entrevista domiciliar viabiliza a inclusão no Programa, pois a entrevista é condição do ingresso (art. 10, §1º, da Portaria MDS nº 897/2023) e, uma vez realizada, afasta o limite de 16% (art. 6º, §3º, IX).</w:t>
      </w:r>
    </w:p>
    <w:p>
      <w:pPr>
        <w:pStyle w:val="Normal"/>
        <w:spacing w:lineRule="auto" w:line="360" w:before="192" w:after="192"/>
        <w:ind w:left="0" w:right="2" w:firstLine="851"/>
        <w:jc w:val="both"/>
        <w:rPr>
          <w:rFonts w:ascii="Tahoma" w:hAnsi="Tahoma"/>
          <w:sz w:val="22"/>
          <w:szCs w:val="22"/>
        </w:rPr>
      </w:pPr>
      <w:r>
        <w:rPr>
          <w:rFonts w:eastAsia="Open Sans" w:cs="Open Sans" w:ascii="Tahoma" w:hAnsi="Tahoma"/>
          <w:color w:val="376092"/>
          <w:sz w:val="22"/>
          <w:szCs w:val="22"/>
        </w:rPr>
        <w:t xml:space="preserve">Por essa razão, a Defensoria Pública da União expediu o OFÍCIO _______, em ______, requerendo expressamente ao Município a entrevista domiciliar, que não foi realizada até a presente data. Resta demonstrada, portanto, a notória omissão do Município réu em realizar a entrevista domiciliar para inclusão/atualização da parte autora no Cadastro Único que é, atualmente, o </w:t>
      </w:r>
      <w:r>
        <w:rPr>
          <w:rFonts w:eastAsia="Open Sans" w:cs="Open Sans" w:ascii="Tahoma" w:hAnsi="Tahoma"/>
          <w:b/>
          <w:bCs/>
          <w:color w:val="376092"/>
          <w:sz w:val="22"/>
          <w:szCs w:val="22"/>
        </w:rPr>
        <w:t>único óbice</w:t>
      </w:r>
      <w:r>
        <w:rPr>
          <w:rFonts w:eastAsia="Open Sans" w:cs="Open Sans" w:ascii="Tahoma" w:hAnsi="Tahoma"/>
          <w:color w:val="376092"/>
          <w:sz w:val="22"/>
          <w:szCs w:val="22"/>
        </w:rPr>
        <w:t xml:space="preserve"> ao seu ingresso no Programa Bolsa Família. </w:t>
      </w:r>
    </w:p>
    <w:p>
      <w:pPr>
        <w:pStyle w:val="Normal"/>
        <w:spacing w:lineRule="auto" w:line="360" w:before="192" w:after="192"/>
        <w:ind w:left="0" w:right="0" w:firstLine="850"/>
        <w:jc w:val="both"/>
        <w:rPr>
          <w:rFonts w:ascii="Tahoma" w:hAnsi="Tahoma" w:eastAsia="Open Sans" w:cs="Open Sans"/>
          <w:color w:val="376092"/>
          <w:sz w:val="22"/>
          <w:szCs w:val="22"/>
        </w:rPr>
      </w:pPr>
      <w:r>
        <w:rPr>
          <w:rFonts w:eastAsia="Open Sans" w:cs="Open Sans" w:ascii="Tahoma" w:hAnsi="Tahoma"/>
          <w:color w:val="376092"/>
          <w:sz w:val="22"/>
          <w:szCs w:val="22"/>
        </w:rPr>
        <w:t xml:space="preserve">A falta de estrutura de pessoal para a realização das entrevistas domiciliares não deve ser um impedimento para a inclusão de novas famílias unipessoais. Cabe à União, além de repassar recursos aos Municípios, cumprir os termos do acordo coletivo firmado em ACP e das normas legais e infralegais editadas. Aos Municípios, por sua vez, na condição de órgão executor do CadÚnico, cabe cumprir as determinações e realizar a inscrição e atualização das famílias unipessoais por meio de entrevista domiciliar. </w:t>
      </w:r>
    </w:p>
    <w:p>
      <w:pPr>
        <w:pStyle w:val="Normal"/>
        <w:spacing w:lineRule="auto" w:line="360" w:before="192" w:after="192"/>
        <w:ind w:left="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O que se busca com a presente ação, portanto, é o estrito cumprimento de normas cogentes pelos réus, constantes primordialmente:</w:t>
      </w:r>
    </w:p>
    <w:p>
      <w:pPr>
        <w:pStyle w:val="ListParagraph"/>
        <w:numPr>
          <w:ilvl w:val="0"/>
          <w:numId w:val="4"/>
        </w:numPr>
        <w:spacing w:lineRule="auto" w:line="360" w:before="192" w:after="192"/>
        <w:contextualSpacing/>
        <w:jc w:val="both"/>
        <w:rPr>
          <w:rFonts w:ascii="Tahoma" w:hAnsi="Tahoma"/>
          <w:sz w:val="22"/>
          <w:szCs w:val="22"/>
        </w:rPr>
      </w:pPr>
      <w:r>
        <w:rPr>
          <w:rFonts w:eastAsia="Open Sans" w:cs="Open Sans" w:ascii="Tahoma" w:hAnsi="Tahoma"/>
          <w:color w:val="376092"/>
          <w:sz w:val="22"/>
          <w:szCs w:val="22"/>
        </w:rPr>
        <w:t>do acordo coletivo firmado pela União nos autos da Ação Civil Pública nº 5024187-38.2024.4.04.7100/RS (Acordo MDS/DPU nº 1/2024), posteriormente homologado por sentença coletiva;</w:t>
      </w:r>
    </w:p>
    <w:p>
      <w:pPr>
        <w:pStyle w:val="ListParagraph"/>
        <w:numPr>
          <w:ilvl w:val="0"/>
          <w:numId w:val="4"/>
        </w:numPr>
        <w:spacing w:lineRule="auto" w:line="360" w:before="192" w:after="192"/>
        <w:contextualSpacing/>
        <w:jc w:val="both"/>
        <w:rPr>
          <w:rFonts w:ascii="Tahoma" w:hAnsi="Tahoma" w:eastAsia="Open Sans" w:cs="Open Sans"/>
          <w:color w:val="376092"/>
          <w:sz w:val="22"/>
          <w:szCs w:val="22"/>
        </w:rPr>
      </w:pPr>
      <w:r>
        <w:rPr>
          <w:rFonts w:eastAsia="Open Sans" w:cs="Open Sans" w:ascii="Tahoma" w:hAnsi="Tahoma"/>
          <w:color w:val="376092"/>
          <w:sz w:val="22"/>
          <w:szCs w:val="22"/>
        </w:rPr>
        <w:t>da Portaria MDS nº 1.003, de 16 de julho de 2024, publicada no DOU em 17/07/2024, que acrescentou o inciso IX ao §3º do artigo 6º da Portaria 897/2023;</w:t>
      </w:r>
    </w:p>
    <w:p>
      <w:pPr>
        <w:pStyle w:val="ListParagraph"/>
        <w:numPr>
          <w:ilvl w:val="0"/>
          <w:numId w:val="4"/>
        </w:numPr>
        <w:spacing w:lineRule="auto" w:line="360" w:before="192" w:after="192"/>
        <w:contextualSpacing/>
        <w:jc w:val="both"/>
        <w:rPr>
          <w:rFonts w:ascii="Tahoma" w:hAnsi="Tahoma" w:eastAsia="Open Sans" w:cs="Open Sans"/>
          <w:color w:val="376092"/>
          <w:sz w:val="22"/>
          <w:szCs w:val="22"/>
        </w:rPr>
      </w:pPr>
      <w:r>
        <w:rPr>
          <w:rFonts w:eastAsia="Open Sans" w:cs="Open Sans" w:ascii="Tahoma" w:hAnsi="Tahoma"/>
          <w:color w:val="376092"/>
          <w:sz w:val="22"/>
          <w:szCs w:val="22"/>
        </w:rPr>
        <w:t>do artigo 2º, § 3º, da Lei nº 15.077, de 27 de dezembro de 2024;</w:t>
      </w:r>
    </w:p>
    <w:p>
      <w:pPr>
        <w:pStyle w:val="ListParagraph"/>
        <w:numPr>
          <w:ilvl w:val="0"/>
          <w:numId w:val="4"/>
        </w:numPr>
        <w:spacing w:lineRule="auto" w:line="360" w:before="192" w:after="192"/>
        <w:contextualSpacing/>
        <w:jc w:val="both"/>
        <w:rPr>
          <w:rFonts w:ascii="Tahoma" w:hAnsi="Tahoma" w:eastAsia="Open Sans" w:cs="Open Sans"/>
          <w:color w:val="376092"/>
          <w:sz w:val="22"/>
          <w:szCs w:val="22"/>
        </w:rPr>
      </w:pPr>
      <w:r>
        <w:rPr>
          <w:rFonts w:eastAsia="Open Sans" w:cs="Open Sans" w:ascii="Tahoma" w:hAnsi="Tahoma"/>
          <w:color w:val="376092"/>
          <w:sz w:val="22"/>
          <w:szCs w:val="22"/>
        </w:rPr>
        <w:t>do artigo 18, § 3º, do Decreto 12.064/2024.</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Ante o exposto, restando evidenciada a mora dos réus na realização de procedimento essencial previsto na Lei 15.077/2024 e no Decreto 12.064/2024 para regularizar o cadastro da parte autora, requer-se o </w:t>
      </w:r>
      <w:r>
        <w:rPr>
          <w:rFonts w:eastAsia="Open Sans" w:cs="Open Sans" w:ascii="Tahoma" w:hAnsi="Tahoma"/>
          <w:b/>
          <w:bCs/>
          <w:color w:val="376092"/>
          <w:sz w:val="22"/>
          <w:szCs w:val="22"/>
        </w:rPr>
        <w:t>reconhecimento judicial da condição de família unipessoal</w:t>
      </w:r>
      <w:r>
        <w:rPr>
          <w:rFonts w:eastAsia="Open Sans" w:cs="Open Sans" w:ascii="Tahoma" w:hAnsi="Tahoma"/>
          <w:color w:val="376092"/>
          <w:sz w:val="22"/>
          <w:szCs w:val="22"/>
        </w:rPr>
        <w:t xml:space="preserve"> </w:t>
      </w:r>
      <w:r>
        <w:rPr>
          <w:rFonts w:eastAsia="Open Sans" w:cs="Open Sans" w:ascii="Tahoma" w:hAnsi="Tahoma"/>
          <w:b/>
          <w:bCs/>
          <w:color w:val="376092"/>
          <w:sz w:val="22"/>
          <w:szCs w:val="22"/>
        </w:rPr>
        <w:t>no CadÚnico</w:t>
      </w:r>
      <w:r>
        <w:rPr>
          <w:rFonts w:eastAsia="Open Sans" w:cs="Open Sans" w:ascii="Tahoma" w:hAnsi="Tahoma"/>
          <w:color w:val="376092"/>
          <w:sz w:val="22"/>
          <w:szCs w:val="22"/>
        </w:rPr>
        <w:t xml:space="preserve"> e a consequente concessão do benefício do Programa Bolsa Família, com o pagamento das parcelas vencidas e vincendas.   </w:t>
      </w:r>
    </w:p>
    <w:p>
      <w:pPr>
        <w:pStyle w:val="Normal"/>
        <w:spacing w:lineRule="auto" w:line="360" w:before="192" w:after="192"/>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ind w:left="0" w:right="2" w:hanging="0"/>
        <w:jc w:val="both"/>
        <w:rPr>
          <w:rFonts w:ascii="Tahoma" w:hAnsi="Tahoma"/>
          <w:sz w:val="22"/>
          <w:szCs w:val="22"/>
        </w:rPr>
      </w:pPr>
      <w:r>
        <w:rPr>
          <w:rFonts w:eastAsia="Open Sans" w:cs="Open Sans" w:ascii="Tahoma" w:hAnsi="Tahoma"/>
          <w:b/>
          <w:bCs/>
          <w:color w:val="376092"/>
          <w:sz w:val="22"/>
          <w:szCs w:val="22"/>
        </w:rPr>
        <w:t>[</w:t>
      </w:r>
      <w:r>
        <w:rPr>
          <w:rFonts w:eastAsia="Open Sans" w:cs="Open Sans" w:ascii="Tahoma" w:hAnsi="Tahoma"/>
          <w:b/>
          <w:bCs/>
          <w:color w:val="376092"/>
          <w:sz w:val="22"/>
          <w:szCs w:val="22"/>
          <w:shd w:fill="FFFF00" w:val="clear"/>
        </w:rPr>
        <w:t>CASO TAMBÉM INTEGRE GRUPO EXCEPCIONAL:</w:t>
      </w:r>
    </w:p>
    <w:p>
      <w:pPr>
        <w:pStyle w:val="Normal"/>
        <w:spacing w:lineRule="auto" w:line="360" w:before="192" w:after="192"/>
        <w:ind w:left="0" w:right="2" w:firstLine="851"/>
        <w:jc w:val="both"/>
        <w:rPr>
          <w:rFonts w:ascii="Tahoma" w:hAnsi="Tahoma" w:eastAsia="Open Sans" w:cs="Open Sans"/>
          <w:color w:val="376092"/>
          <w:sz w:val="22"/>
          <w:szCs w:val="22"/>
        </w:rPr>
      </w:pPr>
      <w:r>
        <w:rPr>
          <w:rFonts w:eastAsia="Open Sans" w:cs="Open Sans" w:ascii="Tahoma" w:hAnsi="Tahoma"/>
          <w:color w:val="376092"/>
          <w:sz w:val="22"/>
          <w:szCs w:val="22"/>
        </w:rPr>
        <w:t xml:space="preserve">Além disso, no caso concreto, conforme documentos em anexo, a parte autora integra grupo excepcional ________, previsto no art. 6°, § 3º, inciso _____, da Portaria MDS n° 897/2023. Nessa hipótese, a entrevista domiciliar é dispensada para o ingresso no PBF, conforme o grupo, nos termos do art. 10, §2º, da Portaria MDS nº 897/2023 (famílias do art. 11 e famílias com pessoas em situação de rua) ou do art. 1º da IN SAGICAD/MDS nº 20/2026, com a redação da IN nº 22/2026. </w:t>
      </w:r>
    </w:p>
    <w:p>
      <w:pPr>
        <w:pStyle w:val="Normal"/>
        <w:spacing w:lineRule="auto" w:line="360" w:before="192" w:after="192"/>
        <w:ind w:left="0" w:right="2" w:firstLine="851"/>
        <w:jc w:val="both"/>
        <w:rPr>
          <w:rFonts w:ascii="Tahoma" w:hAnsi="Tahoma" w:eastAsia="Open Sans" w:cs="Open Sans"/>
          <w:color w:val="376092"/>
          <w:sz w:val="22"/>
          <w:szCs w:val="22"/>
        </w:rPr>
      </w:pPr>
      <w:r>
        <w:rPr>
          <w:rFonts w:eastAsia="Open Sans" w:cs="Open Sans" w:ascii="Tahoma" w:hAnsi="Tahoma"/>
          <w:color w:val="376092"/>
          <w:sz w:val="22"/>
          <w:szCs w:val="22"/>
        </w:rPr>
        <w:t>Entretanto, apesar da expedição do OFÍCIO _______ pela Defensoria Pública da União, essa informação não consta do CadÚnico. A omissão do Município réu de incluir a condição de [grupo excepcional] no Cadastro Único é, atualmente, óbice à inclusão da parte autora no Programa Bolsa Família. Por essa razão, requer-se o reconhecimento judicial da condição de _______ e a concessão do benefício do Programa Bolsa Família, com o pagamento das parcelas vencidas e vincendas.</w:t>
      </w:r>
    </w:p>
    <w:p>
      <w:pPr>
        <w:pStyle w:val="Normal"/>
        <w:spacing w:lineRule="auto" w:line="360" w:before="192" w:after="192"/>
        <w:ind w:left="0" w:right="2" w:firstLine="851"/>
        <w:jc w:val="both"/>
        <w:rPr>
          <w:rFonts w:ascii="Tahoma" w:hAnsi="Tahoma"/>
          <w:sz w:val="22"/>
          <w:szCs w:val="22"/>
        </w:rPr>
      </w:pPr>
      <w:r>
        <w:rPr>
          <w:rFonts w:ascii="Tahoma" w:hAnsi="Tahoma"/>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 xml:space="preserve">V.  DA INCONSTITUCIONALIDADE DO ART. 12-A DA LEI 14.601/2023 E DA TESE FIRMADA NO TEMA 379 DA TNU </w:t>
      </w:r>
    </w:p>
    <w:p>
      <w:pPr>
        <w:pStyle w:val="Normal"/>
        <w:spacing w:lineRule="auto" w:line="360" w:before="192" w:after="192"/>
        <w:ind w:left="0" w:right="2" w:firstLine="851"/>
        <w:jc w:val="both"/>
        <w:rPr>
          <w:rFonts w:ascii="Tahoma" w:hAnsi="Tahoma"/>
          <w:sz w:val="22"/>
          <w:szCs w:val="22"/>
        </w:rPr>
      </w:pPr>
      <w:r>
        <w:rPr>
          <w:rFonts w:eastAsia="Open Sans" w:cs="Open Sans" w:ascii="Tahoma" w:hAnsi="Tahoma"/>
          <w:b/>
          <w:bCs/>
          <w:color w:val="376092"/>
          <w:sz w:val="22"/>
          <w:szCs w:val="22"/>
        </w:rPr>
        <w:t xml:space="preserve">Conforme ressaltado no tópico anterior, uma vez suprida judicialmente a necessidade de entrevista domiciliar não realizada por mora exclusiva dos réus, a parte autora deve ser imediatamente incluída no Programa Bolsa Família, nos termos do art. 6°, § 3º, IX, da Portaria MDS n° 897/2023, c/c art. 2º,  § 3º, da Lei nº 15.077/2024. Por apego à argumentação, soma-se o argumento da patente incompatibilidade do artigo 12-A da Lei 14.601/2023 com a ordem constitucional vigente. </w:t>
      </w:r>
      <w:r>
        <w:rPr>
          <w:rFonts w:eastAsia="Open Sans" w:cs="Open Sans" w:ascii="Tahoma" w:hAnsi="Tahoma"/>
          <w:color w:val="376092"/>
          <w:sz w:val="22"/>
          <w:szCs w:val="22"/>
        </w:rPr>
        <w:t>Vejamos.</w:t>
      </w:r>
    </w:p>
    <w:p>
      <w:pPr>
        <w:pStyle w:val="Normal"/>
        <w:spacing w:lineRule="auto" w:line="360" w:before="192" w:after="192"/>
        <w:ind w:left="0" w:right="2" w:firstLine="851"/>
        <w:jc w:val="both"/>
        <w:rPr>
          <w:rFonts w:ascii="Tahoma" w:hAnsi="Tahoma"/>
          <w:sz w:val="22"/>
          <w:szCs w:val="22"/>
        </w:rPr>
      </w:pPr>
      <w:r>
        <w:rPr>
          <w:rFonts w:eastAsia="Open Sans" w:cs="Open Sans" w:ascii="Tahoma" w:hAnsi="Tahoma"/>
          <w:color w:val="376092"/>
          <w:sz w:val="22"/>
          <w:szCs w:val="22"/>
        </w:rPr>
        <w:t>Em 03 de dezembro de 2025, a Turma Nacional de Uniformização, por maioria (desempate da Presidência), finalizou o julgamento do PEDILEF 0044230-77.2023.4.05.8300 e fixou a seguinte tese no julgamento do</w:t>
      </w:r>
      <w:r>
        <w:rPr>
          <w:rFonts w:eastAsia="Open Sans" w:cs="Open Sans" w:ascii="Tahoma" w:hAnsi="Tahoma"/>
          <w:b/>
          <w:bCs/>
          <w:color w:val="376092"/>
          <w:sz w:val="22"/>
          <w:szCs w:val="22"/>
        </w:rPr>
        <w:t> Tema nº 379</w:t>
      </w:r>
      <w:r>
        <w:rPr>
          <w:rFonts w:eastAsia="Open Sans" w:cs="Open Sans" w:ascii="Tahoma" w:hAnsi="Tahoma"/>
          <w:color w:val="376092"/>
          <w:sz w:val="22"/>
          <w:szCs w:val="22"/>
        </w:rPr>
        <w:t>:</w:t>
      </w:r>
    </w:p>
    <w:p>
      <w:pPr>
        <w:pStyle w:val="Normal"/>
        <w:shd w:fill="DEDEE8" w:val="clear"/>
        <w:spacing w:before="192" w:after="192"/>
        <w:ind w:left="851" w:right="0" w:hanging="0"/>
        <w:jc w:val="both"/>
        <w:rPr>
          <w:rFonts w:ascii="Tahoma" w:hAnsi="Tahoma" w:eastAsia="Open Sans" w:cs="Open Sans"/>
          <w:color w:val="376092"/>
          <w:sz w:val="22"/>
          <w:szCs w:val="22"/>
        </w:rPr>
      </w:pPr>
      <w:r>
        <w:rPr>
          <w:rFonts w:eastAsia="Open Sans" w:cs="Open Sans" w:ascii="Tahoma" w:hAnsi="Tahoma"/>
          <w:color w:val="376092"/>
          <w:sz w:val="22"/>
          <w:szCs w:val="22"/>
        </w:rPr>
        <w:t>A partir da vigência do art. 12-A da Lei 14.601/2023 (incluído pela Lei 15.077/2024), do art. 2º, §3º, da Lei 15.077/2024 e do art. 6º, §3º, IX, da Portaria MDS 897/2023 (com a redação dada pela Portaria MDS 1.003/2024), é legal a imposição de um índice máximo de famílias unipessoais por município como condicionante para o ingresso no Programa Bolsa Família, nos termos de ato do Poder Executivo federal (art. 6º, §2, da Portaria MDS 897/2023, incluído pela Portaria MDS 911/2023).</w:t>
      </w:r>
    </w:p>
    <w:p>
      <w:pPr>
        <w:pStyle w:val="Normal"/>
        <w:spacing w:lineRule="auto" w:line="360" w:before="192" w:after="192"/>
        <w:ind w:left="0" w:right="2"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ind w:left="0" w:right="2" w:firstLine="851"/>
        <w:jc w:val="both"/>
        <w:rPr>
          <w:rFonts w:ascii="Tahoma" w:hAnsi="Tahoma"/>
          <w:sz w:val="22"/>
          <w:szCs w:val="22"/>
        </w:rPr>
      </w:pPr>
      <w:r>
        <w:rPr>
          <w:rFonts w:eastAsia="Open Sans" w:cs="Open Sans" w:ascii="Tahoma" w:hAnsi="Tahoma"/>
          <w:color w:val="376092"/>
          <w:sz w:val="22"/>
          <w:szCs w:val="22"/>
        </w:rPr>
        <w:t xml:space="preserve">A tese fixada pela TNU estabeleceu como marco temporal para a (i)legalidade da limitação dos 16% de famílias unipessoais por Município a vigência da Lei 15.077/2024 </w:t>
      </w:r>
      <w:r>
        <w:rPr>
          <w:rFonts w:eastAsia="Open Sans" w:cs="Open Sans" w:ascii="Tahoma" w:hAnsi="Tahoma"/>
          <w:b/>
          <w:bCs/>
          <w:color w:val="376092"/>
          <w:sz w:val="22"/>
          <w:szCs w:val="22"/>
        </w:rPr>
        <w:t>(27 de dezembro de 2024)</w:t>
      </w:r>
      <w:r>
        <w:rPr>
          <w:rFonts w:eastAsia="Open Sans" w:cs="Open Sans" w:ascii="Tahoma" w:hAnsi="Tahoma"/>
          <w:color w:val="376092"/>
          <w:sz w:val="22"/>
          <w:szCs w:val="22"/>
        </w:rPr>
        <w:t xml:space="preserve">, que acrescentou o artigo 12-A à Lei 14.601/2023.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O art. 12-A da Lei nº 14.601/2023, incluído pela Lei 15.077/2024, dispõe que os Municípios e o Distrito Federal devem respeitar um teto máximo para a inscrição de famílias unipessoais, delegando a definição desse índice a ato do Poder Executivo Federal. Todavia, </w:t>
      </w:r>
      <w:r>
        <w:rPr>
          <w:rFonts w:eastAsia="Open Sans" w:cs="Open Sans" w:ascii="Tahoma" w:hAnsi="Tahoma"/>
          <w:b/>
          <w:bCs/>
          <w:color w:val="376092"/>
          <w:sz w:val="22"/>
          <w:szCs w:val="22"/>
        </w:rPr>
        <w:t>tal dispositivo consiste em verdadeira "delegação legislativa em branco"</w:t>
      </w:r>
      <w:r>
        <w:rPr>
          <w:rFonts w:eastAsia="Open Sans" w:cs="Open Sans" w:ascii="Tahoma" w:hAnsi="Tahoma"/>
          <w:color w:val="376092"/>
          <w:sz w:val="22"/>
          <w:szCs w:val="22"/>
        </w:rPr>
        <w:t>, uma vez que o texto legal não estabelece balizas fundamentais para essa regulamentação, como o percentual máximo admissível, critérios técnicos para sua fixação ou limites que deveriam orientar a atuação administrativa. O percentual de 16% não consta da lei: foi fixado por ato infralegal (art. 6º, §2º, da Portaria MDS nº 897/2023, incluído pela Portaria MDS nº 911/2023, anterior ao art. 12-A), e o art. 12-A apenas remete a ato do Poder Executivo federal a definição do índice.</w:t>
      </w:r>
      <w:r>
        <w:rPr>
          <w:rFonts w:eastAsia="Open Sans" w:cs="Open Sans" w:ascii="Tahoma" w:hAnsi="Tahoma"/>
          <w:b/>
          <w:bCs/>
          <w:color w:val="376092"/>
          <w:sz w:val="22"/>
          <w:szCs w:val="22"/>
        </w:rPr>
        <w:t xml:space="preserve">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bCs/>
          <w:color w:val="376092"/>
          <w:sz w:val="22"/>
          <w:szCs w:val="22"/>
        </w:rPr>
        <w:t>Ao conferir ao Poder Executivo uma discricionariedade ampla e sem diretrizes, a lei permite que a administração defina o índice de forma arbitrária, o que fere diretamente o princípio da legalidade (artigos 5º, II, e 37, caput, CF) e a separação de poderes (art. 2º, CF).</w:t>
      </w:r>
      <w:r>
        <w:rPr>
          <w:rFonts w:eastAsia="Open Sans" w:cs="Open Sans" w:ascii="Tahoma" w:hAnsi="Tahoma"/>
          <w:color w:val="376092"/>
          <w:sz w:val="22"/>
          <w:szCs w:val="22"/>
        </w:rPr>
        <w:t xml:space="preserve"> Essa transferência de competência retira do Poder Legislativo a tarefa de definir os contornos de uma restrição a direitos sociais, permitindo que o Executivo inove na ordem jurídica para criar critérios de exclusão que não possuem suporte na lei que instituiu o programa.</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A norma institui uma discriminação desarrazoada, violando, outrossim, </w:t>
      </w:r>
      <w:r>
        <w:rPr>
          <w:rFonts w:eastAsia="Open Sans" w:cs="Open Sans" w:ascii="Tahoma" w:hAnsi="Tahoma"/>
          <w:b/>
          <w:bCs/>
          <w:color w:val="376092"/>
          <w:sz w:val="22"/>
          <w:szCs w:val="22"/>
        </w:rPr>
        <w:t>o princípio da isonomia</w:t>
      </w:r>
      <w:r>
        <w:rPr>
          <w:rFonts w:eastAsia="Open Sans" w:cs="Open Sans" w:ascii="Tahoma" w:hAnsi="Tahoma"/>
          <w:color w:val="376092"/>
          <w:sz w:val="22"/>
          <w:szCs w:val="22"/>
        </w:rPr>
        <w:t xml:space="preserve"> (</w:t>
      </w:r>
      <w:r>
        <w:rPr>
          <w:rFonts w:eastAsia="Open Sans" w:cs="Open Sans" w:ascii="Tahoma" w:hAnsi="Tahoma"/>
          <w:b/>
          <w:bCs/>
          <w:color w:val="376092"/>
          <w:sz w:val="22"/>
          <w:szCs w:val="22"/>
        </w:rPr>
        <w:t xml:space="preserve">art. 5º, </w:t>
      </w:r>
      <w:r>
        <w:rPr>
          <w:rFonts w:eastAsia="Open Sans" w:cs="Open Sans" w:ascii="Tahoma" w:hAnsi="Tahoma"/>
          <w:b/>
          <w:bCs/>
          <w:i/>
          <w:iCs/>
          <w:color w:val="376092"/>
          <w:sz w:val="22"/>
          <w:szCs w:val="22"/>
        </w:rPr>
        <w:t>caput</w:t>
      </w:r>
      <w:r>
        <w:rPr>
          <w:rFonts w:eastAsia="Open Sans" w:cs="Open Sans" w:ascii="Tahoma" w:hAnsi="Tahoma"/>
          <w:b/>
          <w:bCs/>
          <w:color w:val="376092"/>
          <w:sz w:val="22"/>
          <w:szCs w:val="22"/>
        </w:rPr>
        <w:t xml:space="preserve"> e I, CF</w:t>
      </w:r>
      <w:r>
        <w:rPr>
          <w:rFonts w:eastAsia="Open Sans" w:cs="Open Sans" w:ascii="Tahoma" w:hAnsi="Tahoma"/>
          <w:color w:val="376092"/>
          <w:sz w:val="22"/>
          <w:szCs w:val="22"/>
        </w:rPr>
        <w:t xml:space="preserve">) e os objetivos fundamentais da República presentes no art. 3º, III e IV, CF, ao impor que </w:t>
      </w:r>
      <w:r>
        <w:rPr>
          <w:rFonts w:eastAsia="Open Sans" w:cs="Open Sans" w:ascii="Tahoma" w:hAnsi="Tahoma"/>
          <w:b/>
          <w:bCs/>
          <w:color w:val="376092"/>
          <w:sz w:val="22"/>
          <w:szCs w:val="22"/>
        </w:rPr>
        <w:t>cidadãos em idêntica situação de vulnerabilidade recebam respostas estatais diametralmente opostas fundadas exclusivamente em seu local de residência, esvaziando o caráter universal da assistência social e agravando a marginalização que o Estado tem o dever constitucional de erradicar.</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Ademais, a imposição de um teto estatístico municipal de 16% para famílias unipessoais no PBF subverte o </w:t>
      </w:r>
      <w:r>
        <w:rPr>
          <w:rFonts w:eastAsia="Open Sans" w:cs="Open Sans" w:ascii="Tahoma" w:hAnsi="Tahoma"/>
          <w:b/>
          <w:bCs/>
          <w:color w:val="376092"/>
          <w:sz w:val="22"/>
          <w:szCs w:val="22"/>
        </w:rPr>
        <w:t>princípio da dignidade da pessoa humana e o mínimo existencial (art. 1º, III, CF/88)</w:t>
      </w:r>
      <w:r>
        <w:rPr>
          <w:rFonts w:eastAsia="Open Sans" w:cs="Open Sans" w:ascii="Tahoma" w:hAnsi="Tahoma"/>
          <w:color w:val="376092"/>
          <w:sz w:val="22"/>
          <w:szCs w:val="22"/>
        </w:rPr>
        <w:t>, uma vez que condiciona a subsistência básica de indivíduos hipossuficientes a fatores demográficos alheios à realidade pessoal do indivíduo.</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 xml:space="preserve">Ainda, ao inviabilizar o acesso de quem preenche todos os requisitos legais, o ente público viola o direito fundamental à alimentação e à renda básica (art. 6º, caput e parágrafo único, CF/88). A fome, enquanto carência biológica individual e imediata, não comporta "cotas" ou suspensões administrativas, mas sim a atuação positiva do ente estatal. </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Por fim, a introdução de barreiras inexistentes nos primórdios do programa configura nítido retrocesso social, pois restringe o alcance de uma política pública consolidada sem a oferta de medidas compensatórias, rompendo com o compromisso de evolução progressiva dos direitos sociais e ferindo a segurança jurídica dos mais vulneráveis, ignorando o apontado pelo STF no MI nº 7.300/DF sobre a essência de ampliação do escopo do Programa.</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bCs/>
          <w:color w:val="376092"/>
          <w:sz w:val="22"/>
          <w:szCs w:val="22"/>
        </w:rPr>
        <w:t xml:space="preserve">Contra esse acórdão da TNU no Tema 379, a Defensoria Pública da União interpôs o Recurso Extraordinário nº 1.614.224 (Tema 1.472 do STF). A repercussão geral foi reconhecida, por unanimidade, pelo Plenário Virtual do Supremo Tribunal Federal em acórdão publicado no DJE de 24/09/2026. </w:t>
      </w:r>
      <w:r>
        <w:rPr>
          <w:rFonts w:eastAsia="Open Sans" w:cs="Open Sans" w:ascii="Tahoma" w:hAnsi="Tahoma"/>
          <w:b w:val="false"/>
          <w:bCs w:val="false"/>
          <w:color w:val="376092"/>
          <w:sz w:val="22"/>
          <w:szCs w:val="22"/>
        </w:rPr>
        <w:t>O mérito ainda não foi julgado.</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val="false"/>
          <w:bCs w:val="false"/>
          <w:color w:val="376092"/>
          <w:sz w:val="22"/>
          <w:szCs w:val="22"/>
        </w:rPr>
        <w:t xml:space="preserve">A discussão envolve os limites do poder regulamentar do Executivo: enquanto o governo defende a medida para organizar o programa e prevenir fraudes, a DPU questiona se uma portaria pode criar uma restrição que não está prevista em lei.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val="false"/>
          <w:bCs w:val="false"/>
          <w:color w:val="376092"/>
          <w:sz w:val="22"/>
          <w:szCs w:val="22"/>
        </w:rPr>
        <w:t>A restrição ao acesso ao benefício para famílias unipessoais, mediante estabelecimento de limite percentual por Município, viola, na tese defendida pela DPU, os dispositivos constitucionais analisados no Tema 1.472 do STF, especialmente o art. 1º, III: por comprometer a dignidade da pessoa humana ao impedir a proteção social de pessoa em situação de vulnerabilidade; art. 3º, III: por contrariar o objetivo de erradicação da pobreza e redução das desigualdades sociais; art. 5º, II: por questionar a criação, por ato infralegal, de restrição não expressamente prevista em lei; art. 6º, parágrafo único: por atingir o direito à proteção social e à renda básica assegurada às pessoas em situação de vulnerabilidade; art. 37, caput: por suscitar incompatibilidade da restrição com os princípios que regem a Administração Pública; e art. 2º: diante da discussão sobre os limites da atuação regulamentar do Poder Executivo frente às atribuições do Legislativo.</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val="false"/>
          <w:bCs w:val="false"/>
          <w:color w:val="376092"/>
          <w:sz w:val="22"/>
          <w:szCs w:val="22"/>
        </w:rPr>
        <w:t>A pendência de julgamento, contudo, não obstaculiza o regular andamento e julgamento deste feito, porquanto o mero reconhecimento da repercussão geral não opera a suspensão automática das demandas correlatas, cuja determinação depende de ato expresso do Ministro Relator (art. 1.035, § 5º, do CPC), inexistente até o presente momento. Na remota hipótese de determinação superveniente de sobrestamento nacional, pugna-se pela imediata apreciação destacada da tutela de urgência, dado o incontroverso caráter alimentar da prestação.</w:t>
      </w:r>
    </w:p>
    <w:p>
      <w:pPr>
        <w:pStyle w:val="Normal"/>
        <w:shd w:fill="FFFFFF" w:val="clear"/>
        <w:spacing w:lineRule="auto" w:line="360" w:before="120" w:after="60"/>
        <w:ind w:left="0" w:right="0" w:firstLine="709"/>
        <w:jc w:val="both"/>
        <w:rPr>
          <w:rFonts w:ascii="Tahoma" w:hAnsi="Tahoma"/>
          <w:sz w:val="22"/>
          <w:szCs w:val="22"/>
        </w:rPr>
      </w:pPr>
      <w:r>
        <w:rPr>
          <w:rFonts w:eastAsia="Open Sans" w:cs="Open Sans" w:ascii="Tahoma" w:hAnsi="Tahoma"/>
          <w:color w:val="376092"/>
          <w:sz w:val="22"/>
          <w:szCs w:val="22"/>
        </w:rPr>
        <w:t>Ante o exposto</w:t>
      </w:r>
      <w:r>
        <w:rPr>
          <w:rFonts w:eastAsia="Open Sans" w:cs="Open Sans" w:ascii="Tahoma" w:hAnsi="Tahoma"/>
          <w:color w:val="376092"/>
          <w:sz w:val="22"/>
          <w:szCs w:val="22"/>
        </w:rPr>
        <w:t>, requer o reconhecimento incidental (incidenter tantum), em controle difuso de constitucionalidade, da inconstitucionalidade do art. 12-A da Lei nº 14.601/2023, incluído pela Lei nº 15.077/2024, por violação aos arts. 1º, III; 2º; 3º, III e IV; 5º, caput, I e II; 6º, caput e parágrafo único; e 37, caput, da Constituição Federal, bem como ao princípio da vedação ao retrocesso social, a fim de afastar, no caso concreto, a incidência do art. 6º, § 2º, da Portaria MDS nº 897/2023 (incluído pela Portaria MDS nº 911/2023) e determinar a inclusão da parte autora no Programa.</w:t>
      </w:r>
    </w:p>
    <w:p>
      <w:pPr>
        <w:pStyle w:val="Normal"/>
        <w:spacing w:lineRule="auto" w:line="360" w:before="192" w:after="192"/>
        <w:jc w:val="both"/>
        <w:rPr>
          <w:rFonts w:ascii="Tahoma" w:hAnsi="Tahoma" w:cs="Open Sans"/>
          <w:b/>
          <w:b/>
          <w:bCs/>
          <w:i/>
          <w:i/>
          <w:iCs/>
          <w:color w:val="376092"/>
          <w:sz w:val="22"/>
          <w:szCs w:val="22"/>
        </w:rPr>
      </w:pPr>
      <w:r>
        <w:rPr>
          <w:rFonts w:cs="Open Sans" w:ascii="Tahoma" w:hAnsi="Tahoma"/>
          <w:b/>
          <w:bCs/>
          <w:i/>
          <w:iCs/>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VI.</w:t>
        <w:tab/>
        <w:t>DO PREENCHIMENTO DOS REQUISITOS DA TUTELA ANTECIPADA DE URGÊNCIA</w:t>
      </w:r>
    </w:p>
    <w:p>
      <w:pPr>
        <w:pStyle w:val="Normal"/>
        <w:spacing w:lineRule="auto" w:line="360" w:before="192" w:after="192"/>
        <w:ind w:left="0" w:right="0" w:firstLine="851"/>
        <w:jc w:val="both"/>
        <w:rPr>
          <w:rFonts w:ascii="Tahoma" w:hAnsi="Tahoma" w:eastAsia="Open Sans" w:cs="Open Sans"/>
          <w:color w:val="376092"/>
          <w:sz w:val="22"/>
          <w:szCs w:val="22"/>
          <w:shd w:fill="B8CCE4" w:val="clear"/>
        </w:rPr>
      </w:pPr>
      <w:r>
        <w:rPr>
          <w:rFonts w:eastAsia="Open Sans" w:cs="Open Sans" w:ascii="Tahoma" w:hAnsi="Tahoma"/>
          <w:color w:val="376092"/>
          <w:sz w:val="22"/>
          <w:szCs w:val="22"/>
          <w:shd w:fill="B8CCE4" w:val="clear"/>
        </w:rPr>
        <w:t>O/A autor/a reside sozinho/a e encontra-se em situação de grave vulnerabilidade social, com renda per capita de R$ _____, conforme documentação em anexo. Preenche o requisito de elegibilidade ao PBF do art. 5º, II, da Lei nº 14.601/2023 (renda) e busca a inscrição/atualização no CadÚnico por meio de entrevista domiciliar.</w:t>
      </w:r>
    </w:p>
    <w:p>
      <w:pPr>
        <w:pStyle w:val="Normal"/>
        <w:spacing w:lineRule="auto" w:line="360" w:before="192" w:after="192"/>
        <w:ind w:left="0" w:right="0" w:firstLine="720"/>
        <w:jc w:val="both"/>
        <w:rPr>
          <w:rFonts w:ascii="Tahoma" w:hAnsi="Tahoma"/>
          <w:sz w:val="22"/>
          <w:szCs w:val="22"/>
        </w:rPr>
      </w:pPr>
      <w:r>
        <w:rPr>
          <w:rFonts w:eastAsia="Open Sans" w:cs="Open Sans" w:ascii="Tahoma" w:hAnsi="Tahoma"/>
          <w:color w:val="376092"/>
          <w:sz w:val="22"/>
          <w:szCs w:val="22"/>
        </w:rPr>
        <w:t xml:space="preserve">Conforme determina o artigo 300 do CPC, a tutela de urgência será concedida quando houver elementos que evidenciem a </w:t>
      </w:r>
      <w:r>
        <w:rPr>
          <w:rFonts w:eastAsia="Open Sans" w:cs="Open Sans" w:ascii="Tahoma" w:hAnsi="Tahoma"/>
          <w:b/>
          <w:bCs/>
          <w:color w:val="376092"/>
          <w:sz w:val="22"/>
          <w:szCs w:val="22"/>
        </w:rPr>
        <w:t>probabilidade do direito e o perigo de dano ou risco ao resultado útil do processo</w:t>
      </w:r>
      <w:r>
        <w:rPr>
          <w:rFonts w:eastAsia="Open Sans" w:cs="Open Sans" w:ascii="Tahoma" w:hAnsi="Tahoma"/>
          <w:color w:val="376092"/>
          <w:sz w:val="22"/>
          <w:szCs w:val="22"/>
        </w:rPr>
        <w:t xml:space="preserve">. Ambos os requisitos da antecipação de tutela estão preenchidos nos autos.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Conforme documentos anexados, restou comprovada a </w:t>
      </w:r>
      <w:r>
        <w:rPr>
          <w:rFonts w:eastAsia="Open Sans" w:cs="Open Sans" w:ascii="Tahoma" w:hAnsi="Tahoma"/>
          <w:b/>
          <w:bCs/>
          <w:color w:val="376092"/>
          <w:sz w:val="22"/>
          <w:szCs w:val="22"/>
        </w:rPr>
        <w:t xml:space="preserve">probabilidade do direito alegada: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(i)</w:t>
      </w:r>
      <w:r>
        <w:rPr>
          <w:rFonts w:eastAsia="Open Sans" w:cs="Open Sans" w:ascii="Tahoma" w:hAnsi="Tahoma"/>
          <w:b/>
          <w:bCs/>
          <w:color w:val="376092"/>
          <w:sz w:val="22"/>
          <w:szCs w:val="22"/>
        </w:rPr>
        <w:t xml:space="preserve"> </w:t>
      </w:r>
      <w:r>
        <w:rPr>
          <w:rFonts w:eastAsia="Open Sans" w:cs="Open Sans" w:ascii="Tahoma" w:hAnsi="Tahoma"/>
          <w:color w:val="376092"/>
          <w:sz w:val="22"/>
          <w:szCs w:val="22"/>
        </w:rPr>
        <w:t>a</w:t>
      </w:r>
      <w:r>
        <w:rPr>
          <w:rFonts w:eastAsia="Open Sans" w:cs="Open Sans" w:ascii="Tahoma" w:hAnsi="Tahoma"/>
          <w:b/>
          <w:bCs/>
          <w:color w:val="376092"/>
          <w:sz w:val="22"/>
          <w:szCs w:val="22"/>
        </w:rPr>
        <w:t xml:space="preserve"> </w:t>
      </w:r>
      <w:r>
        <w:rPr>
          <w:rFonts w:eastAsia="Open Sans" w:cs="Open Sans" w:ascii="Tahoma" w:hAnsi="Tahoma"/>
          <w:color w:val="376092"/>
          <w:sz w:val="22"/>
          <w:szCs w:val="22"/>
        </w:rPr>
        <w:t xml:space="preserve">condição de vulnerabilidade social da parte Autora (inscrição/atualização do CadÚnico em ____, com renda familiar per capita de ____); </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(ii) impossibilidade do recebimento de qualquer benefício do Programa Bolsa Família em razão exclusivamente </w:t>
      </w:r>
      <w:r>
        <w:rPr>
          <w:rFonts w:eastAsia="Open Sans" w:cs="Open Sans" w:ascii="Tahoma" w:hAnsi="Tahoma"/>
          <w:i/>
          <w:iCs/>
          <w:color w:val="376092"/>
          <w:sz w:val="22"/>
          <w:szCs w:val="22"/>
          <w:u w:val="single"/>
          <w:shd w:fill="B8CCE4" w:val="clear"/>
        </w:rPr>
        <w:t>da omissão do Poder Público quanto às entrevistas domiciliares</w:t>
      </w:r>
      <w:r>
        <w:rPr>
          <w:rFonts w:eastAsia="Open Sans" w:cs="Open Sans" w:ascii="Tahoma" w:hAnsi="Tahoma"/>
          <w:i/>
          <w:iCs/>
          <w:color w:val="376092"/>
          <w:sz w:val="22"/>
          <w:szCs w:val="22"/>
          <w:shd w:fill="B8CCE4" w:val="clear"/>
        </w:rPr>
        <w:t xml:space="preserve"> (Ofício ____)</w:t>
      </w:r>
      <w:r>
        <w:rPr>
          <w:rFonts w:eastAsia="Open Sans" w:cs="Open Sans" w:ascii="Tahoma" w:hAnsi="Tahoma"/>
          <w:i/>
          <w:iCs/>
          <w:color w:val="376092"/>
          <w:sz w:val="22"/>
          <w:szCs w:val="22"/>
        </w:rPr>
        <w:t xml:space="preserve"> </w:t>
      </w:r>
      <w:r>
        <w:rPr>
          <w:rFonts w:eastAsia="Open Sans" w:cs="Open Sans" w:ascii="Tahoma" w:hAnsi="Tahoma"/>
          <w:b/>
          <w:bCs/>
          <w:i/>
          <w:iCs/>
          <w:color w:val="376092"/>
          <w:sz w:val="22"/>
          <w:szCs w:val="22"/>
        </w:rPr>
        <w:t>OU</w:t>
      </w:r>
      <w:r>
        <w:rPr>
          <w:rFonts w:eastAsia="Open Sans" w:cs="Open Sans" w:ascii="Tahoma" w:hAnsi="Tahoma"/>
          <w:i/>
          <w:iCs/>
          <w:color w:val="376092"/>
          <w:sz w:val="22"/>
          <w:szCs w:val="22"/>
        </w:rPr>
        <w:t xml:space="preserve"> </w:t>
      </w:r>
      <w:r>
        <w:rPr>
          <w:rFonts w:eastAsia="Open Sans" w:cs="Open Sans" w:ascii="Tahoma" w:hAnsi="Tahoma"/>
          <w:i/>
          <w:iCs/>
          <w:color w:val="376092"/>
          <w:sz w:val="22"/>
          <w:szCs w:val="22"/>
          <w:u w:val="single"/>
          <w:shd w:fill="B8CCE4" w:val="clear"/>
        </w:rPr>
        <w:t>do cancelamento do benefício pela restrição do programa a 16% das famílias unipessoais por Município</w:t>
      </w:r>
      <w:r>
        <w:rPr>
          <w:rFonts w:eastAsia="Open Sans" w:cs="Open Sans" w:ascii="Tahoma" w:hAnsi="Tahoma"/>
          <w:i/>
          <w:iCs/>
          <w:color w:val="376092"/>
          <w:sz w:val="22"/>
          <w:szCs w:val="22"/>
          <w:shd w:fill="B8CCE4" w:val="clear"/>
        </w:rPr>
        <w:t xml:space="preserve"> (Ofício ___/print aplicativo)</w:t>
      </w:r>
      <w:r>
        <w:rPr>
          <w:rFonts w:eastAsia="Open Sans" w:cs="Open Sans" w:ascii="Tahoma" w:hAnsi="Tahoma"/>
          <w:color w:val="376092"/>
          <w:sz w:val="22"/>
          <w:szCs w:val="22"/>
          <w:shd w:fill="B8CCE4" w:val="clear"/>
        </w:rPr>
        <w:t xml:space="preserve"> e a persistente omissão na realização da entrevista domiciliar;</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(iii) a plausibilidade da tese de inconstitucionalidade do art. 12-A da Lei nº 14.601/2023 (incluído pela Lei nº 15.077/2024), cuja relevância o STF reconheceu ao admitir a repercussão geral da matéria (Tema 1.472), a despeito do entendimento firmado pela TNU no Tema 379.</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b/>
          <w:bCs/>
          <w:color w:val="376092"/>
          <w:sz w:val="22"/>
          <w:szCs w:val="22"/>
        </w:rPr>
        <w:t>O perigo da demora</w:t>
      </w:r>
      <w:r>
        <w:rPr>
          <w:rFonts w:eastAsia="Open Sans" w:cs="Open Sans" w:ascii="Tahoma" w:hAnsi="Tahoma"/>
          <w:color w:val="376092"/>
          <w:sz w:val="22"/>
          <w:szCs w:val="22"/>
        </w:rPr>
        <w:t xml:space="preserve">, no caso, também resta preenchido, uma vez que o pedido versa sobre o direito fundamental à </w:t>
      </w:r>
      <w:r>
        <w:rPr>
          <w:rFonts w:eastAsia="Open Sans" w:cs="Open Sans" w:ascii="Tahoma" w:hAnsi="Tahoma"/>
          <w:b/>
          <w:bCs/>
          <w:color w:val="376092"/>
          <w:sz w:val="22"/>
          <w:szCs w:val="22"/>
        </w:rPr>
        <w:t>alimentação</w:t>
      </w:r>
      <w:r>
        <w:rPr>
          <w:rFonts w:eastAsia="Open Sans" w:cs="Open Sans" w:ascii="Tahoma" w:hAnsi="Tahoma"/>
          <w:color w:val="376092"/>
          <w:sz w:val="22"/>
          <w:szCs w:val="22"/>
        </w:rPr>
        <w:t xml:space="preserve">, assegurado no artigo 6º, </w:t>
      </w:r>
      <w:r>
        <w:rPr>
          <w:rFonts w:eastAsia="Open Sans" w:cs="Open Sans" w:ascii="Tahoma" w:hAnsi="Tahoma"/>
          <w:i/>
          <w:iCs/>
          <w:color w:val="376092"/>
          <w:sz w:val="22"/>
          <w:szCs w:val="22"/>
        </w:rPr>
        <w:t>caput,</w:t>
      </w:r>
      <w:r>
        <w:rPr>
          <w:rFonts w:eastAsia="Open Sans" w:cs="Open Sans" w:ascii="Tahoma" w:hAnsi="Tahoma"/>
          <w:color w:val="376092"/>
          <w:sz w:val="22"/>
          <w:szCs w:val="22"/>
        </w:rPr>
        <w:t xml:space="preserve"> da Constituição Federal, bem como pela ausência de atendimento no maior programa de transferência de renda do Brasil, apesar de estarem preenchidos todos os requisitos de elegibilidade do Programa Bolsa Família (artigo 5º, Lei 14.601/23).</w:t>
      </w:r>
    </w:p>
    <w:p>
      <w:pPr>
        <w:pStyle w:val="Normal"/>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Dessa forma, tendo em vista que toda a documentação capaz de elucidar os fatos ora narrados já foi acostada aos autos para corroborar a total procedência da ação, requer-se seja deferida tutela provisória de urgência, </w:t>
      </w:r>
      <w:r>
        <w:rPr>
          <w:rFonts w:eastAsia="Open Sans" w:cs="Open Sans" w:ascii="Tahoma" w:hAnsi="Tahoma"/>
          <w:b/>
          <w:bCs/>
          <w:color w:val="376092"/>
          <w:sz w:val="22"/>
          <w:szCs w:val="22"/>
        </w:rPr>
        <w:t>a fim de que seja determinada a imediata inclusão do/a autor/a no Programa Bolsa Família.</w:t>
      </w:r>
    </w:p>
    <w:p>
      <w:pPr>
        <w:pStyle w:val="Normal"/>
        <w:spacing w:lineRule="auto" w:line="360" w:before="192" w:after="192"/>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VII</w:t>
      </w:r>
      <w:r>
        <w:rPr>
          <w:rFonts w:eastAsia="Open Sans" w:cs="Open Sans" w:ascii="Tahoma" w:hAnsi="Tahoma"/>
          <w:b/>
          <w:bCs/>
          <w:i/>
          <w:iCs/>
          <w:color w:val="376092"/>
          <w:sz w:val="22"/>
          <w:szCs w:val="22"/>
        </w:rPr>
        <w:t>.   DO PREQUESTIONAMENTO</w:t>
      </w:r>
    </w:p>
    <w:p>
      <w:pPr>
        <w:pStyle w:val="Normal"/>
        <w:widowControl w:val="false"/>
        <w:suppressAutoHyphens w:val="false"/>
        <w:bidi w:val="0"/>
        <w:spacing w:lineRule="auto" w:line="360" w:before="192" w:after="192"/>
        <w:ind w:left="0" w:right="0" w:firstLine="907"/>
        <w:jc w:val="both"/>
        <w:rPr>
          <w:rFonts w:ascii="Tahoma" w:hAnsi="Tahoma" w:cs="Open Sans"/>
          <w:color w:val="376092"/>
          <w:sz w:val="22"/>
          <w:szCs w:val="22"/>
        </w:rPr>
      </w:pPr>
      <w:r>
        <w:rPr>
          <w:rFonts w:eastAsia="Open Sans" w:cs="Open Sans" w:ascii="Tahoma" w:hAnsi="Tahoma"/>
          <w:color w:val="376092"/>
          <w:sz w:val="22"/>
          <w:szCs w:val="22"/>
        </w:rPr>
        <w:t>A parte autora desde já indica os dispositivos constitucionais para fins de prequestionamento. São eles: artigo 1º, III; artigo 2º; artigo 3º, III e IV; artigo 5º, caput e incisos I e II; artigo 6º, caput e parágrafo único; e artigo 37, caput, todos da Constituição Federal; e violação à decisão proferida pelo Supremo Tribunal Federal no Mandado de Injunção n. 7.300/DF.</w:t>
      </w:r>
    </w:p>
    <w:p>
      <w:pPr>
        <w:pStyle w:val="Normal"/>
        <w:widowControl w:val="false"/>
        <w:suppressAutoHyphens w:val="false"/>
        <w:bidi w:val="0"/>
        <w:spacing w:lineRule="auto" w:line="360" w:before="192" w:after="192"/>
        <w:ind w:left="0" w:right="0" w:firstLine="907"/>
        <w:jc w:val="both"/>
        <w:rPr>
          <w:rFonts w:ascii="Tahoma" w:hAnsi="Tahoma" w:cs="Open Sans"/>
          <w:color w:val="376092"/>
          <w:sz w:val="22"/>
          <w:szCs w:val="22"/>
        </w:rPr>
      </w:pPr>
      <w:r>
        <w:rPr>
          <w:rFonts w:eastAsia="Open Sans" w:cs="Open Sans" w:ascii="Tahoma" w:hAnsi="Tahoma"/>
          <w:color w:val="376092"/>
          <w:sz w:val="22"/>
          <w:szCs w:val="22"/>
        </w:rPr>
        <w:t>Da mesma forma, indica os dispositivos legais e infralegais para fins de prequestionamento: artigo 1º c/c § 1º da Lei nº 10.835/04; artigo 4º, I e IV, da Lei nº 8.742/92; artigos 1º, § 1º, 5º e 12-A da Lei nº 14.601/2023; artigo 2º, § 3º, da Lei nº 15.077/2024; artigo 6º, § 2º (incluído pela Portaria MDS nº 911/2023) e § 3º, IX (com redação dada pela Portaria MDS nº 1.003/2024), da Portaria MDS nº 897/2023; e artigo 1.035, § 5º, do Código de Processo Civil.</w:t>
      </w:r>
    </w:p>
    <w:p>
      <w:pPr>
        <w:pStyle w:val="Normal"/>
        <w:spacing w:lineRule="auto" w:line="360" w:before="192" w:after="192"/>
        <w:ind w:left="0" w:right="0" w:firstLine="851"/>
        <w:jc w:val="both"/>
        <w:rPr>
          <w:rFonts w:ascii="Tahoma" w:hAnsi="Tahoma" w:cs="Open Sans"/>
          <w:color w:val="376092"/>
          <w:sz w:val="22"/>
          <w:szCs w:val="22"/>
        </w:rPr>
      </w:pPr>
      <w:r>
        <w:rPr>
          <w:rFonts w:cs="Open Sans" w:ascii="Tahoma" w:hAnsi="Tahoma"/>
          <w:color w:val="376092"/>
          <w:sz w:val="22"/>
          <w:szCs w:val="22"/>
        </w:rPr>
      </w:r>
    </w:p>
    <w:p>
      <w:pPr>
        <w:pStyle w:val="Normal"/>
        <w:spacing w:lineRule="auto" w:line="360" w:before="192" w:after="192"/>
        <w:jc w:val="both"/>
        <w:rPr>
          <w:rFonts w:ascii="Tahoma" w:hAnsi="Tahoma" w:eastAsia="Open Sans" w:cs="Open Sans"/>
          <w:b/>
          <w:b/>
          <w:bCs/>
          <w:i/>
          <w:i/>
          <w:iCs/>
          <w:color w:val="376092"/>
          <w:sz w:val="22"/>
          <w:szCs w:val="22"/>
        </w:rPr>
      </w:pPr>
      <w:r>
        <w:rPr>
          <w:rFonts w:eastAsia="Open Sans" w:cs="Open Sans" w:ascii="Tahoma" w:hAnsi="Tahoma"/>
          <w:b/>
          <w:bCs/>
          <w:i/>
          <w:iCs/>
          <w:color w:val="376092"/>
          <w:sz w:val="22"/>
          <w:szCs w:val="22"/>
        </w:rPr>
        <w:t>VIII</w:t>
      </w:r>
      <w:r>
        <w:rPr>
          <w:rFonts w:eastAsia="Open Sans" w:cs="Open Sans" w:ascii="Tahoma" w:hAnsi="Tahoma"/>
          <w:b/>
          <w:bCs/>
          <w:i/>
          <w:iCs/>
          <w:color w:val="376092"/>
          <w:sz w:val="22"/>
          <w:szCs w:val="22"/>
        </w:rPr>
        <w:t>.   DOS PEDIDOS</w:t>
      </w:r>
    </w:p>
    <w:p>
      <w:pPr>
        <w:pStyle w:val="Normal"/>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 xml:space="preserve">Ante os fundamentos acima expostos, a parte autora requer: </w:t>
      </w:r>
    </w:p>
    <w:p>
      <w:pPr>
        <w:pStyle w:val="Normal"/>
        <w:numPr>
          <w:ilvl w:val="0"/>
          <w:numId w:val="2"/>
        </w:numPr>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A concessão da gratuidade de justiça, nos termos do artigo 98 do CPC, por não suportar os custos processuais sem prejuízo da manutenção, conforme declaração de hipossuficiência anexa;</w:t>
      </w:r>
    </w:p>
    <w:p>
      <w:pPr>
        <w:pStyle w:val="Normal"/>
        <w:numPr>
          <w:ilvl w:val="0"/>
          <w:numId w:val="2"/>
        </w:numPr>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Seja </w:t>
      </w:r>
      <w:r>
        <w:rPr>
          <w:rFonts w:eastAsia="Open Sans" w:cs="Open Sans" w:ascii="Tahoma" w:hAnsi="Tahoma"/>
          <w:b/>
          <w:bCs/>
          <w:color w:val="376092"/>
          <w:sz w:val="22"/>
          <w:szCs w:val="22"/>
        </w:rPr>
        <w:t xml:space="preserve">deferida a tutela de urgência antecipada, </w:t>
      </w:r>
      <w:r>
        <w:rPr>
          <w:rFonts w:eastAsia="Open Sans" w:cs="Open Sans" w:ascii="Tahoma" w:hAnsi="Tahoma"/>
          <w:color w:val="376092"/>
          <w:sz w:val="22"/>
          <w:szCs w:val="22"/>
        </w:rPr>
        <w:t xml:space="preserve">nos termos do art. 300 do CPC, </w:t>
      </w:r>
      <w:r>
        <w:rPr>
          <w:rFonts w:eastAsia="Open Sans" w:cs="Open Sans" w:ascii="Tahoma" w:hAnsi="Tahoma"/>
          <w:color w:val="376092"/>
          <w:sz w:val="22"/>
          <w:szCs w:val="22"/>
        </w:rPr>
        <w:t>determinando-se, sob pena de multa diária:</w:t>
      </w:r>
    </w:p>
    <w:p>
      <w:pPr>
        <w:pStyle w:val="Normal"/>
        <w:numPr>
          <w:ilvl w:val="0"/>
          <w:numId w:val="0"/>
        </w:numPr>
        <w:spacing w:lineRule="auto" w:line="360" w:before="192" w:after="192"/>
        <w:ind w:left="0" w:right="0" w:hanging="0"/>
        <w:jc w:val="both"/>
        <w:rPr>
          <w:rFonts w:ascii="Tahoma" w:hAnsi="Tahoma"/>
          <w:sz w:val="22"/>
          <w:szCs w:val="22"/>
        </w:rPr>
      </w:pPr>
      <w:r>
        <w:rPr>
          <w:rFonts w:eastAsia="Open Sans" w:cs="Open Sans" w:ascii="Tahoma" w:hAnsi="Tahoma"/>
          <w:color w:val="376092"/>
          <w:sz w:val="22"/>
          <w:szCs w:val="22"/>
        </w:rPr>
        <w:t xml:space="preserve">(b.1) à UNIÃO, a </w:t>
      </w:r>
      <w:r>
        <w:rPr>
          <w:rFonts w:eastAsia="Open Sans" w:cs="Open Sans" w:ascii="Tahoma" w:hAnsi="Tahoma"/>
          <w:color w:val="376092"/>
          <w:sz w:val="22"/>
          <w:szCs w:val="22"/>
        </w:rPr>
        <w:t xml:space="preserve">imediata inclusão da parte autora no Programa Bolsa Família e consequente concessão/restabelecimento do benefício </w:t>
      </w:r>
      <w:r>
        <w:rPr>
          <w:rFonts w:eastAsia="Open Sans" w:cs="Open Sans" w:ascii="Tahoma" w:hAnsi="Tahoma"/>
          <w:color w:val="376092"/>
          <w:sz w:val="22"/>
          <w:szCs w:val="22"/>
        </w:rPr>
        <w:t xml:space="preserve">do Bolsa Família, </w:t>
      </w:r>
      <w:r>
        <w:rPr>
          <w:rFonts w:eastAsia="Open Sans" w:cs="Open Sans" w:ascii="Tahoma" w:hAnsi="Tahoma"/>
          <w:color w:val="376092"/>
          <w:sz w:val="22"/>
          <w:szCs w:val="22"/>
        </w:rPr>
        <w:t xml:space="preserve">nos termos da Lei nº 14.601/2023, afastando-se, nesta fase, o limite de 16% de famílias unipessoais por Município (art. 6º, V, §§ 2º e 3º, caput, da Portaria MDS nº 897/2023), </w:t>
      </w:r>
      <w:r>
        <w:rPr>
          <w:rFonts w:eastAsia="Open Sans" w:cs="Open Sans" w:ascii="Tahoma" w:hAnsi="Tahoma"/>
          <w:color w:val="376092"/>
          <w:sz w:val="22"/>
          <w:szCs w:val="22"/>
        </w:rPr>
        <w:t xml:space="preserve">seja em razão da mora do Município da realização da entrevista domiciliar, seja em razão da </w:t>
      </w:r>
      <w:r>
        <w:rPr>
          <w:rFonts w:eastAsia="Open Sans" w:cs="Open Sans" w:ascii="Tahoma" w:hAnsi="Tahoma"/>
          <w:color w:val="376092"/>
          <w:sz w:val="22"/>
          <w:szCs w:val="22"/>
        </w:rPr>
        <w:t>plausibilidade da tese de inconstitucionalidade do art. 12-A da Lei nº 14.601/2023;</w:t>
      </w:r>
    </w:p>
    <w:p>
      <w:pPr>
        <w:pStyle w:val="Normal"/>
        <w:numPr>
          <w:ilvl w:val="0"/>
          <w:numId w:val="0"/>
        </w:numPr>
        <w:spacing w:lineRule="auto" w:line="360" w:before="192" w:after="192"/>
        <w:ind w:left="0" w:right="0" w:hanging="0"/>
        <w:jc w:val="both"/>
        <w:rPr>
          <w:rFonts w:ascii="Tahoma" w:hAnsi="Tahoma"/>
          <w:sz w:val="22"/>
          <w:szCs w:val="22"/>
        </w:rPr>
      </w:pPr>
      <w:r>
        <w:rPr>
          <w:rFonts w:eastAsia="Open Sans" w:cs="Open Sans" w:ascii="Tahoma" w:hAnsi="Tahoma"/>
          <w:color w:val="376092"/>
          <w:sz w:val="22"/>
          <w:szCs w:val="22"/>
        </w:rPr>
        <w:t>(b.2) ao MUNICÍPIO DE ______, a realização da entrevista domiciliar da parte autora no prazo de ___ dias;</w:t>
      </w:r>
    </w:p>
    <w:p>
      <w:pPr>
        <w:pStyle w:val="Normal"/>
        <w:numPr>
          <w:ilvl w:val="0"/>
          <w:numId w:val="2"/>
        </w:numPr>
        <w:spacing w:lineRule="auto" w:line="360" w:before="192" w:after="192"/>
        <w:ind w:left="0" w:right="0" w:firstLine="851"/>
        <w:jc w:val="both"/>
        <w:rPr>
          <w:rFonts w:ascii="Tahoma" w:hAnsi="Tahoma" w:eastAsia="Open Sans" w:cs="Open Sans"/>
          <w:color w:val="376092"/>
          <w:sz w:val="22"/>
          <w:szCs w:val="22"/>
        </w:rPr>
      </w:pPr>
      <w:r>
        <w:rPr>
          <w:rFonts w:eastAsia="Open Sans" w:cs="Open Sans" w:ascii="Tahoma" w:hAnsi="Tahoma"/>
          <w:color w:val="376092"/>
          <w:sz w:val="22"/>
          <w:szCs w:val="22"/>
        </w:rPr>
        <w:t xml:space="preserve">A citação das partes rés para, querendo, oferecerem resposta no prazo legal; </w:t>
      </w:r>
    </w:p>
    <w:p>
      <w:pPr>
        <w:pStyle w:val="Normal"/>
        <w:numPr>
          <w:ilvl w:val="0"/>
          <w:numId w:val="2"/>
        </w:numPr>
        <w:spacing w:lineRule="auto" w:line="360" w:before="192" w:after="192"/>
        <w:ind w:left="0" w:right="0" w:firstLine="851"/>
        <w:jc w:val="both"/>
        <w:rPr>
          <w:rFonts w:ascii="Tahoma" w:hAnsi="Tahoma"/>
          <w:sz w:val="22"/>
          <w:szCs w:val="22"/>
        </w:rPr>
      </w:pPr>
      <w:r>
        <w:rPr>
          <w:rFonts w:eastAsia="Open Sans" w:cs="Open Sans" w:ascii="Tahoma" w:hAnsi="Tahoma"/>
          <w:color w:val="376092"/>
          <w:sz w:val="22"/>
          <w:szCs w:val="22"/>
        </w:rPr>
        <w:t xml:space="preserve">Seja julgado </w:t>
      </w:r>
      <w:r>
        <w:rPr>
          <w:rFonts w:eastAsia="Open Sans" w:cs="Open Sans" w:ascii="Tahoma" w:hAnsi="Tahoma"/>
          <w:b/>
          <w:bCs/>
          <w:color w:val="376092"/>
          <w:sz w:val="22"/>
          <w:szCs w:val="22"/>
        </w:rPr>
        <w:t>PROCEDENTE</w:t>
      </w:r>
      <w:r>
        <w:rPr>
          <w:rFonts w:eastAsia="Open Sans" w:cs="Open Sans" w:ascii="Tahoma" w:hAnsi="Tahoma"/>
          <w:color w:val="376092"/>
          <w:sz w:val="22"/>
          <w:szCs w:val="22"/>
        </w:rPr>
        <w:t xml:space="preserve"> o pedido, confirmando-se em sede de sentença a tutela antecipada, a fim de:</w:t>
      </w:r>
    </w:p>
    <w:p>
      <w:pPr>
        <w:pStyle w:val="Normal"/>
        <w:spacing w:lineRule="auto" w:line="360" w:before="192" w:after="192"/>
        <w:ind w:left="720" w:right="0" w:firstLine="720"/>
        <w:jc w:val="both"/>
        <w:rPr>
          <w:rFonts w:ascii="Tahoma" w:hAnsi="Tahoma"/>
          <w:sz w:val="22"/>
          <w:szCs w:val="22"/>
        </w:rPr>
      </w:pPr>
      <w:r>
        <w:rPr>
          <w:rFonts w:eastAsia="Open Sans" w:cs="Open Sans" w:ascii="Tahoma" w:hAnsi="Tahoma"/>
          <w:color w:val="376092"/>
          <w:sz w:val="22"/>
          <w:szCs w:val="22"/>
        </w:rPr>
        <w:t>(d.1.) reconhec</w:t>
      </w:r>
      <w:r>
        <w:rPr>
          <w:rFonts w:eastAsia="Open Sans" w:cs="Open Sans" w:ascii="Tahoma" w:hAnsi="Tahoma"/>
          <w:color w:val="376092"/>
          <w:sz w:val="22"/>
          <w:szCs w:val="22"/>
        </w:rPr>
        <w:t xml:space="preserve">er </w:t>
      </w:r>
      <w:r>
        <w:rPr>
          <w:rFonts w:eastAsia="Open Sans" w:cs="Open Sans" w:ascii="Tahoma" w:hAnsi="Tahoma"/>
          <w:color w:val="376092"/>
          <w:sz w:val="22"/>
          <w:szCs w:val="22"/>
        </w:rPr>
        <w:t xml:space="preserve">a condição de família unipessoal no CadÚnico, </w:t>
      </w:r>
      <w:r>
        <w:rPr>
          <w:rFonts w:eastAsia="Open Sans" w:cs="Open Sans" w:ascii="Tahoma" w:hAnsi="Tahoma"/>
          <w:color w:val="376092"/>
          <w:sz w:val="22"/>
          <w:szCs w:val="22"/>
        </w:rPr>
        <w:t xml:space="preserve">suprindo-se judicialmente a entrevista domiciliar não realizada por mora exclusiva dos réus, para os fins do art. 2º, § 3º, da Lei nº 15.077/2024, do art. 18, § 3º, do Decreto nº 12.064/2024 e do art. 10, § 1º, da Portaria MDS nº 897/2023, enquadrando-a na exceção do art. 6º, § 3º, IX, da mesma Portaria </w:t>
      </w:r>
      <w:r>
        <w:rPr>
          <w:rFonts w:eastAsia="Open Sans" w:cs="Open Sans" w:ascii="Tahoma" w:hAnsi="Tahoma"/>
          <w:color w:val="376092"/>
          <w:sz w:val="22"/>
          <w:szCs w:val="22"/>
          <w:shd w:fill="FFFF00" w:val="clear"/>
        </w:rPr>
        <w:t>[CASO INTEGRE GRUPO EXCEPCIONAL:</w:t>
      </w:r>
      <w:r>
        <w:rPr>
          <w:rFonts w:eastAsia="Open Sans" w:cs="Open Sans" w:ascii="Tahoma" w:hAnsi="Tahoma"/>
          <w:color w:val="376092"/>
          <w:sz w:val="22"/>
          <w:szCs w:val="22"/>
        </w:rPr>
        <w:t xml:space="preserve"> reconhecer a condição de ______, prevista no art. 6º, § 3º, ___, da Portaria MDS nº 897/2023, com dispensa da entrevista domiciliar (art. 10, § 2º, da Portaria ou art. 1º da IN SAGICAD/MDS nº 20/2026, com a redação da IN nº 22/2026)], </w:t>
      </w:r>
      <w:r>
        <w:rPr>
          <w:rFonts w:eastAsia="Open Sans" w:cs="Open Sans" w:ascii="Tahoma" w:hAnsi="Tahoma"/>
          <w:color w:val="376092"/>
          <w:sz w:val="22"/>
          <w:szCs w:val="22"/>
        </w:rPr>
        <w:t xml:space="preserve">com a </w:t>
      </w:r>
      <w:r>
        <w:rPr>
          <w:rFonts w:eastAsia="Open Sans" w:cs="Open Sans" w:ascii="Tahoma" w:hAnsi="Tahoma"/>
          <w:color w:val="376092"/>
          <w:sz w:val="22"/>
          <w:szCs w:val="22"/>
        </w:rPr>
        <w:t>consequente concessão do benefício do Programa Bolsa Família;</w:t>
      </w:r>
    </w:p>
    <w:p>
      <w:pPr>
        <w:pStyle w:val="Normal"/>
        <w:spacing w:lineRule="auto" w:line="360" w:before="192" w:after="192"/>
        <w:ind w:left="720" w:right="0" w:firstLine="720"/>
        <w:jc w:val="both"/>
        <w:rPr>
          <w:rFonts w:ascii="Tahoma" w:hAnsi="Tahoma"/>
          <w:sz w:val="22"/>
          <w:szCs w:val="22"/>
        </w:rPr>
      </w:pPr>
      <w:r>
        <w:rPr>
          <w:rFonts w:eastAsia="Open Sans" w:cs="Open Sans" w:ascii="Tahoma" w:hAnsi="Tahoma"/>
          <w:color w:val="376092"/>
          <w:sz w:val="22"/>
          <w:szCs w:val="22"/>
        </w:rPr>
        <w:t>(d.2) condenar o MUNICÍPIO DE ______ a registrar no CadÚnico, no prazo de ___ dias, a inscrição/atualização cadastral da parte autora como realizada mediante entrevista domiciliar, suprida judicialmente, nos termos do art. 4º, II, do Decreto nº 12.064/2024 [CASO INTEGRE GRUPO EXCEPCIONAL: ou, conforme o caso, a condição de ______];</w:t>
      </w:r>
    </w:p>
    <w:p>
      <w:pPr>
        <w:pStyle w:val="Normal"/>
        <w:spacing w:lineRule="auto" w:line="360" w:before="192" w:after="192"/>
        <w:ind w:left="720" w:right="0" w:firstLine="720"/>
        <w:jc w:val="both"/>
        <w:rPr>
          <w:rFonts w:ascii="Tahoma" w:hAnsi="Tahoma"/>
          <w:sz w:val="22"/>
          <w:szCs w:val="22"/>
        </w:rPr>
      </w:pPr>
      <w:r>
        <w:rPr>
          <w:rFonts w:eastAsia="Open Sans" w:cs="Open Sans" w:ascii="Tahoma" w:hAnsi="Tahoma"/>
          <w:color w:val="376092"/>
          <w:sz w:val="22"/>
          <w:szCs w:val="22"/>
        </w:rPr>
        <w:t xml:space="preserve">(d.3) </w:t>
      </w:r>
      <w:r>
        <w:rPr>
          <w:rFonts w:eastAsia="Open Sans" w:cs="Open Sans" w:ascii="Tahoma" w:hAnsi="Tahoma"/>
          <w:color w:val="376092"/>
          <w:sz w:val="22"/>
          <w:szCs w:val="22"/>
        </w:rPr>
        <w:t xml:space="preserve">reconhecer </w:t>
      </w:r>
      <w:r>
        <w:rPr>
          <w:rFonts w:eastAsia="Open Sans" w:cs="Open Sans" w:ascii="Tahoma" w:hAnsi="Tahoma"/>
          <w:color w:val="376092"/>
          <w:sz w:val="22"/>
          <w:szCs w:val="22"/>
        </w:rPr>
        <w:t>incidental</w:t>
      </w:r>
      <w:r>
        <w:rPr>
          <w:rFonts w:eastAsia="Open Sans" w:cs="Open Sans" w:ascii="Tahoma" w:hAnsi="Tahoma"/>
          <w:color w:val="376092"/>
          <w:sz w:val="22"/>
          <w:szCs w:val="22"/>
        </w:rPr>
        <w:t>mente</w:t>
      </w:r>
      <w:r>
        <w:rPr>
          <w:rFonts w:eastAsia="Open Sans" w:cs="Open Sans" w:ascii="Tahoma" w:hAnsi="Tahoma"/>
          <w:color w:val="376092"/>
          <w:sz w:val="22"/>
          <w:szCs w:val="22"/>
        </w:rPr>
        <w:t xml:space="preserve"> (incidenter tantum), em controle difuso de constitucionalidade, a inconstitucionalidade do art. 12-A da Lei nº 14.601/2023, incluído pela Lei nº 15.077/2024, por violação aos arts. 1º, III; 2º; 3º, III e IV; 5º, caput, I e II; 6º, caput e parágrafo único; e 37, caput, da Constituição Federal, bem como ao princípio da vedação ao retrocesso social, a fim de afastar, no caso concreto, a incidência do art. 6º, § 2º, da Portaria MDS nº 897/2023 (incluído pela Portaria MDS nº 911/2023) e determinar a inclusão da parte autora no Programa;</w:t>
      </w:r>
    </w:p>
    <w:p>
      <w:pPr>
        <w:pStyle w:val="Normal"/>
        <w:spacing w:lineRule="auto" w:line="360" w:before="192" w:after="192"/>
        <w:ind w:left="72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(d.3) condenar a União ao pagamento das parcelas vencidas e vincendas do benefício do Programa Bolsa Família, desde a data da atualização/cadastramento no CadÚnico/exclusão do PBF, acrescidas de juros e correção monetária, nos termos da legislação aplicável à Fazenda Pública (art. 3º da EC nº 113/2021);</w:t>
      </w:r>
    </w:p>
    <w:p>
      <w:pPr>
        <w:pStyle w:val="Normal"/>
        <w:spacing w:lineRule="auto" w:line="276" w:before="192" w:after="192"/>
        <w:ind w:left="0" w:right="0" w:firstLine="709"/>
        <w:jc w:val="both"/>
        <w:rPr>
          <w:rFonts w:ascii="Tahoma" w:hAnsi="Tahoma"/>
          <w:sz w:val="22"/>
          <w:szCs w:val="22"/>
        </w:rPr>
      </w:pPr>
      <w:r>
        <w:rPr>
          <w:rFonts w:eastAsia="Open Sans" w:cs="Open Sans" w:ascii="Tahoma" w:hAnsi="Tahoma"/>
          <w:color w:val="376092"/>
          <w:sz w:val="22"/>
          <w:szCs w:val="22"/>
        </w:rPr>
        <w:t>(</w:t>
      </w:r>
      <w:r>
        <w:rPr>
          <w:rFonts w:eastAsia="Open Sans" w:cs="Open Sans" w:ascii="Tahoma" w:hAnsi="Tahoma"/>
          <w:color w:val="376092"/>
          <w:sz w:val="22"/>
          <w:szCs w:val="22"/>
        </w:rPr>
        <w:t>e</w:t>
      </w:r>
      <w:r>
        <w:rPr>
          <w:rFonts w:eastAsia="Open Sans" w:cs="Open Sans" w:ascii="Tahoma" w:hAnsi="Tahoma"/>
          <w:color w:val="376092"/>
          <w:sz w:val="22"/>
          <w:szCs w:val="22"/>
        </w:rPr>
        <w:t xml:space="preserve">) </w:t>
      </w:r>
      <w:r>
        <w:rPr>
          <w:rFonts w:eastAsia="Open Sans" w:cs="Open Sans" w:ascii="Tahoma" w:hAnsi="Tahoma"/>
          <w:b w:val="false"/>
          <w:bCs w:val="false"/>
          <w:color w:val="376092"/>
          <w:sz w:val="22"/>
          <w:szCs w:val="22"/>
          <w:shd w:fill="FFFFFF" w:val="clear"/>
        </w:rPr>
        <w:t>Caso este Juízo entenda pela necessidade de sobrestamento do feito em razão do reconhecimento da repercussão geral no Tema 1.472 do STF (art. 1.035, § 5º, do CPC), requer-se a manutenção/apreciação da tutela de urgência, tendo em vista: (i) a natureza alimentar e urgente do benefício postulado,</w:t>
      </w:r>
      <w:r>
        <w:rPr>
          <w:rFonts w:eastAsia="Open Sans" w:cs="Open Sans" w:ascii="Tahoma" w:hAnsi="Tahoma"/>
          <w:color w:val="376092"/>
          <w:sz w:val="22"/>
          <w:szCs w:val="22"/>
          <w:shd w:fill="FFFFFF" w:val="clear"/>
        </w:rPr>
        <w:t xml:space="preserve"> incompatível com a espera indefinida pelo desate da controvérsia constitucional; (ii) o fato de a própria </w:t>
      </w:r>
      <w:r>
        <w:rPr>
          <w:rFonts w:eastAsia="Open Sans" w:cs="Open Sans" w:ascii="Tahoma" w:hAnsi="Tahoma"/>
          <w:b w:val="false"/>
          <w:bCs w:val="false"/>
          <w:color w:val="376092"/>
          <w:sz w:val="22"/>
          <w:szCs w:val="22"/>
          <w:shd w:fill="FFFFFF" w:val="clear"/>
        </w:rPr>
        <w:t xml:space="preserve">Defensoria Pública da União ser a recorrente no Recurso Extraordinário que deu origem ao Tema 1.472, </w:t>
      </w:r>
      <w:r>
        <w:rPr>
          <w:rFonts w:eastAsia="Open Sans" w:cs="Open Sans" w:ascii="Tahoma" w:hAnsi="Tahoma"/>
          <w:color w:val="376092"/>
          <w:sz w:val="22"/>
          <w:szCs w:val="22"/>
          <w:shd w:fill="FFFFFF" w:val="clear"/>
        </w:rPr>
        <w:t xml:space="preserve">sustentando nele exatamente a tese aqui deduzida, de modo que o julgamento do caso concreto em conformidade com essa mesma tese não importa risco de decisões conflitantes; e (iii) a </w:t>
      </w:r>
      <w:r>
        <w:rPr>
          <w:rFonts w:eastAsia="Open Sans" w:cs="Open Sans" w:ascii="Tahoma" w:hAnsi="Tahoma"/>
          <w:b w:val="false"/>
          <w:bCs w:val="false"/>
          <w:color w:val="376092"/>
          <w:sz w:val="22"/>
          <w:szCs w:val="22"/>
          <w:shd w:fill="FFFFFF" w:val="clear"/>
        </w:rPr>
        <w:t>ausência, até o momento, de determinação expressa do Supremo Tribunal Federal para o sobrestamento nacional</w:t>
      </w:r>
      <w:r>
        <w:rPr>
          <w:rFonts w:eastAsia="Open Sans" w:cs="Open Sans" w:ascii="Tahoma" w:hAnsi="Tahoma"/>
          <w:color w:val="376092"/>
          <w:sz w:val="22"/>
          <w:szCs w:val="22"/>
          <w:shd w:fill="FFFFFF" w:val="clear"/>
        </w:rPr>
        <w:t xml:space="preserve"> dos processos que versem sobre a matéria</w:t>
      </w:r>
      <w:r>
        <w:rPr>
          <w:rFonts w:eastAsia="Open Sans" w:cs="Open Sans" w:ascii="Tahoma" w:hAnsi="Tahoma"/>
          <w:color w:val="376092"/>
          <w:sz w:val="22"/>
          <w:szCs w:val="22"/>
        </w:rPr>
        <w:t>;</w:t>
      </w:r>
    </w:p>
    <w:p>
      <w:pPr>
        <w:pStyle w:val="Normal"/>
        <w:spacing w:lineRule="auto" w:line="360" w:before="192" w:after="192"/>
        <w:ind w:left="0" w:right="0" w:firstLine="720"/>
        <w:jc w:val="both"/>
        <w:rPr>
          <w:rFonts w:ascii="Tahoma" w:hAnsi="Tahoma" w:eastAsia="Open Sans" w:cs="Open Sans"/>
          <w:color w:val="376092"/>
          <w:sz w:val="22"/>
          <w:szCs w:val="22"/>
        </w:rPr>
      </w:pPr>
      <w:r>
        <w:rPr>
          <w:rFonts w:eastAsia="Open Sans" w:cs="Open Sans" w:ascii="Tahoma" w:hAnsi="Tahoma"/>
          <w:color w:val="376092"/>
          <w:sz w:val="22"/>
          <w:szCs w:val="22"/>
        </w:rPr>
        <w:t xml:space="preserve">Considerando o disposto no art. 334, § 5º, do CPC/2015, e o princípio da cooperação processual, manifesta-se desde logo o interesse na realização de audiência de conciliação. </w:t>
      </w:r>
    </w:p>
    <w:p>
      <w:pPr>
        <w:pStyle w:val="Normal"/>
        <w:spacing w:lineRule="auto" w:line="360" w:before="192" w:after="192"/>
        <w:ind w:left="0" w:right="0" w:firstLine="720"/>
        <w:jc w:val="both"/>
        <w:rPr>
          <w:rFonts w:ascii="Tahoma" w:hAnsi="Tahoma"/>
          <w:sz w:val="22"/>
          <w:szCs w:val="22"/>
        </w:rPr>
      </w:pPr>
      <w:r>
        <w:rPr>
          <w:rFonts w:eastAsia="Open Sans" w:cs="Open Sans" w:ascii="Tahoma" w:hAnsi="Tahoma"/>
          <w:color w:val="376092"/>
          <w:sz w:val="22"/>
          <w:szCs w:val="22"/>
        </w:rPr>
        <w:t xml:space="preserve">Requer-se desde já a produção de todos os meios de prova em direito admitidos, </w:t>
      </w:r>
      <w:r>
        <w:rPr>
          <w:rFonts w:eastAsia="Open Sans" w:cs="Open Sans" w:ascii="Tahoma" w:hAnsi="Tahoma"/>
          <w:b/>
          <w:bCs/>
          <w:color w:val="376092"/>
          <w:sz w:val="22"/>
          <w:szCs w:val="22"/>
        </w:rPr>
        <w:t>especialmente a realização da perícia social e mandado de constatação por Oficial de Justiça para constatação da condição de unipessoal da parte autora e suprimento judicial da entrevista domiciliar não realizada.</w:t>
      </w:r>
    </w:p>
    <w:p>
      <w:pPr>
        <w:pStyle w:val="Normal"/>
        <w:spacing w:lineRule="auto" w:line="360" w:before="192" w:after="192"/>
        <w:jc w:val="center"/>
        <w:rPr>
          <w:rFonts w:ascii="Tahoma" w:hAnsi="Tahoma" w:eastAsia="Open Sans" w:cs="Open Sans"/>
          <w:b/>
          <w:b/>
          <w:bCs/>
          <w:color w:val="376092"/>
          <w:sz w:val="22"/>
          <w:szCs w:val="22"/>
        </w:rPr>
      </w:pPr>
      <w:r>
        <w:rPr>
          <w:rFonts w:eastAsia="Open Sans" w:cs="Open Sans" w:ascii="Tahoma" w:hAnsi="Tahoma"/>
          <w:b/>
          <w:bCs/>
          <w:color w:val="376092"/>
          <w:sz w:val="22"/>
          <w:szCs w:val="22"/>
        </w:rPr>
        <w:t>Dá-se à causa o valor de R$ ______ (_______).</w:t>
      </w:r>
    </w:p>
    <w:p>
      <w:pPr>
        <w:pStyle w:val="Normal"/>
        <w:spacing w:lineRule="auto" w:line="360" w:before="192" w:after="192"/>
        <w:jc w:val="center"/>
        <w:rPr>
          <w:rFonts w:ascii="Tahoma" w:hAnsi="Tahoma" w:eastAsia="Open Sans" w:cs="Open Sans"/>
          <w:color w:val="376092"/>
          <w:sz w:val="22"/>
          <w:szCs w:val="22"/>
        </w:rPr>
      </w:pPr>
      <w:r>
        <w:rPr>
          <w:rFonts w:eastAsia="Open Sans" w:cs="Open Sans" w:ascii="Tahoma" w:hAnsi="Tahoma"/>
          <w:color w:val="376092"/>
          <w:sz w:val="22"/>
          <w:szCs w:val="22"/>
        </w:rPr>
        <w:t xml:space="preserve">Termos em que pede deferimento. </w:t>
      </w:r>
    </w:p>
    <w:p>
      <w:pPr>
        <w:pStyle w:val="Normal"/>
        <w:spacing w:lineRule="auto" w:line="360" w:before="192" w:after="192"/>
        <w:jc w:val="center"/>
        <w:rPr>
          <w:rFonts w:ascii="Tahoma" w:hAnsi="Tahoma" w:eastAsia="Open Sans" w:cs="Open Sans"/>
          <w:color w:val="376092"/>
          <w:sz w:val="22"/>
          <w:szCs w:val="22"/>
        </w:rPr>
      </w:pPr>
      <w:r>
        <w:rPr>
          <w:rFonts w:eastAsia="Open Sans" w:cs="Open Sans" w:ascii="Tahoma" w:hAnsi="Tahoma"/>
          <w:color w:val="376092"/>
          <w:sz w:val="22"/>
          <w:szCs w:val="22"/>
        </w:rPr>
        <w:t>Local, data.</w:t>
      </w:r>
    </w:p>
    <w:p>
      <w:pPr>
        <w:pStyle w:val="Normal"/>
        <w:spacing w:lineRule="auto" w:line="360" w:before="192" w:after="192"/>
        <w:jc w:val="center"/>
        <w:rPr>
          <w:rFonts w:ascii="Tahoma" w:hAnsi="Tahoma" w:eastAsia="Open Sans" w:cs="Open Sans"/>
          <w:color w:val="376092"/>
          <w:sz w:val="22"/>
          <w:szCs w:val="22"/>
        </w:rPr>
      </w:pPr>
      <w:r>
        <w:rPr>
          <w:rFonts w:eastAsia="Open Sans" w:cs="Open Sans" w:ascii="Tahoma" w:hAnsi="Tahoma"/>
          <w:color w:val="376092"/>
          <w:sz w:val="22"/>
          <w:szCs w:val="22"/>
        </w:rPr>
        <w:t>DEFENSOR/A PÚBLICO/A FEDERAL</w:t>
      </w:r>
    </w:p>
    <w:p>
      <w:pPr>
        <w:pStyle w:val="Normal"/>
        <w:spacing w:lineRule="auto" w:line="360" w:before="192" w:after="192"/>
        <w:jc w:val="center"/>
        <w:rPr>
          <w:rFonts w:ascii="Tahoma" w:hAnsi="Tahoma" w:eastAsia="Open Sans" w:cs="Open Sans"/>
          <w:color w:val="376092"/>
          <w:sz w:val="22"/>
          <w:szCs w:val="22"/>
        </w:rPr>
      </w:pPr>
      <w:r>
        <w:rPr>
          <w:rFonts w:eastAsia="Open Sans" w:cs="Open Sans" w:ascii="Tahoma" w:hAnsi="Tahoma"/>
          <w:color w:val="376092"/>
          <w:sz w:val="22"/>
          <w:szCs w:val="22"/>
        </w:rPr>
      </w:r>
    </w:p>
    <w:p>
      <w:pPr>
        <w:pStyle w:val="Normal"/>
        <w:spacing w:lineRule="auto" w:line="360" w:before="192" w:after="192"/>
        <w:jc w:val="center"/>
        <w:rPr>
          <w:rFonts w:ascii="Tahoma" w:hAnsi="Tahoma" w:cs="Open Sans"/>
          <w:color w:val="1F497D"/>
          <w:sz w:val="22"/>
          <w:szCs w:val="22"/>
        </w:rPr>
      </w:pPr>
      <w:r>
        <w:rPr>
          <w:rFonts w:cs="Open Sans" w:ascii="Tahoma" w:hAnsi="Tahoma"/>
          <w:color w:val="1F497D"/>
          <w:sz w:val="22"/>
          <w:szCs w:val="22"/>
        </w:rPr>
      </w:r>
    </w:p>
    <w:p>
      <w:pPr>
        <w:pStyle w:val="Normal"/>
        <w:spacing w:lineRule="auto" w:line="360" w:before="192" w:after="192"/>
        <w:jc w:val="center"/>
        <w:rPr>
          <w:rFonts w:ascii="Tahoma" w:hAnsi="Tahoma" w:eastAsia="Quattrocento Sans" w:cs="Quattrocento Sans"/>
          <w:color w:val="1F497D"/>
          <w:sz w:val="22"/>
          <w:szCs w:val="22"/>
        </w:rPr>
      </w:pPr>
      <w:r>
        <w:rPr>
          <w:rFonts w:eastAsia="Quattrocento Sans" w:cs="Quattrocento Sans" w:ascii="Tahoma" w:hAnsi="Tahoma"/>
          <w:color w:val="1F497D"/>
          <w:sz w:val="22"/>
          <w:szCs w:val="22"/>
        </w:rPr>
      </w:r>
      <w:r>
        <mc:AlternateContent>
          <mc:Choice Requires="wps">
            <w:drawing>
              <wp:anchor behindDoc="0" distT="0" distB="0" distL="89535" distR="89535" simplePos="0" locked="0" layoutInCell="0" allowOverlap="1" relativeHeight="3">
                <wp:simplePos x="0" y="0"/>
                <wp:positionH relativeFrom="column">
                  <wp:posOffset>50165</wp:posOffset>
                </wp:positionH>
                <wp:positionV relativeFrom="paragraph">
                  <wp:posOffset>133985</wp:posOffset>
                </wp:positionV>
                <wp:extent cx="6077585" cy="2488565"/>
                <wp:effectExtent l="0" t="0" r="0" b="0"/>
                <wp:wrapSquare wrapText="bothSides"/>
                <wp:docPr id="1" name="Quadro1"/>
                <a:graphic xmlns:a="http://schemas.openxmlformats.org/drawingml/2006/main">
                  <a:graphicData uri="http://schemas.microsoft.com/office/word/2010/wordprocessingShape">
                    <wps:wsp>
                      <wps:cNvSpPr txBox="1"/>
                      <wps:spPr>
                        <a:xfrm>
                          <a:off x="0" y="0"/>
                          <a:ext cx="6077585" cy="2488565"/>
                        </a:xfrm>
                        <a:prstGeom prst="rect"/>
                        <a:solidFill>
                          <a:srgbClr val="FFFFFF">
                            <a:alpha val="0"/>
                          </a:srgbClr>
                        </a:solidFill>
                      </wps:spPr>
                      <wps:txbx>
                        <w:txbxContent>
                          <w:tbl>
                            <w:tblPr>
                              <w:tblW w:w="9354" w:type="dxa"/>
                              <w:jc w:val="left"/>
                              <w:tblInd w:w="0" w:type="dxa"/>
                              <w:tblLayout w:type="fixed"/>
                              <w:tblCellMar>
                                <w:top w:w="0" w:type="dxa"/>
                                <w:left w:w="108" w:type="dxa"/>
                                <w:bottom w:w="0" w:type="dxa"/>
                                <w:right w:w="108" w:type="dxa"/>
                              </w:tblCellMar>
                            </w:tblPr>
                            <w:tblGrid>
                              <w:gridCol w:w="6466"/>
                              <w:gridCol w:w="2888"/>
                            </w:tblGrid>
                            <w:tr>
                              <w:trPr>
                                <w:trHeight w:val="62" w:hRule="atLeast"/>
                              </w:trPr>
                              <w:tc>
                                <w:tcPr>
                                  <w:tcW w:w="6466" w:type="dxa"/>
                                  <w:tcBorders/>
                                  <w:shd w:fill="B8CCE4" w:val="clear"/>
                                  <w:vAlign w:val="center"/>
                                </w:tcPr>
                                <w:p>
                                  <w:pPr>
                                    <w:pStyle w:val="Normal"/>
                                    <w:widowControl w:val="false"/>
                                    <w:spacing w:lineRule="auto" w:line="240" w:before="0" w:after="0"/>
                                    <w:ind w:left="0" w:right="126" w:hanging="0"/>
                                    <w:jc w:val="right"/>
                                    <w:rPr>
                                      <w:rFonts w:ascii="Open Sans" w:hAnsi="Open Sans" w:cs="Open Sans"/>
                                      <w:b/>
                                      <w:b/>
                                      <w:bCs/>
                                      <w:color w:val="376092"/>
                                      <w:sz w:val="18"/>
                                      <w:szCs w:val="18"/>
                                    </w:rPr>
                                  </w:pPr>
                                  <w:r>
                                    <w:rPr>
                                      <w:rFonts w:eastAsia="Quattrocento Sans" w:ascii="Quattrocento Sans" w:hAnsi="Quattrocento Sans"/>
                                      <w:b/>
                                      <w:color w:val="376092"/>
                                      <w:sz w:val="18"/>
                                      <w:szCs w:val="18"/>
                                    </w:rPr>
                                    <w:t xml:space="preserve"> </w:t>
                                  </w:r>
                                  <w:r>
                                    <w:rPr>
                                      <w:rFonts w:eastAsia="Open Sans" w:cs="Open Sans" w:ascii="Open Sans" w:hAnsi="Open Sans"/>
                                      <w:b/>
                                      <w:color w:val="376092"/>
                                      <w:sz w:val="18"/>
                                      <w:szCs w:val="18"/>
                                    </w:rPr>
                                    <w:t xml:space="preserve"> </w:t>
                                  </w:r>
                                  <w:r>
                                    <w:rPr>
                                      <w:rFonts w:eastAsia="Open Sans" w:cs="Open Sans" w:ascii="Open Sans" w:hAnsi="Open Sans"/>
                                      <w:b/>
                                      <w:color w:val="376092"/>
                                      <w:sz w:val="18"/>
                                      <w:szCs w:val="18"/>
                                    </w:rPr>
                                    <w:t>Membros/as da Câmara de Coordenação e Revisão Cível:</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Alexandre Mendes Lima de Oliveira</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 xml:space="preserve">Clemens Emanuel Santana de Freitas </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Denise Tanaka dos Santos</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rPr>
                                    <w:t>Fernando da Cunha Cavalcanti</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rPr>
                                    <w:t>Luísa Ayumi Komoda Paes de Figueiredo</w:t>
                                  </w:r>
                                </w:p>
                                <w:p>
                                  <w:pPr>
                                    <w:pStyle w:val="Normal"/>
                                    <w:widowControl w:val="false"/>
                                    <w:spacing w:lineRule="auto" w:line="240"/>
                                    <w:ind w:left="4508" w:right="123" w:hanging="471"/>
                                    <w:jc w:val="right"/>
                                    <w:rPr>
                                      <w:b w:val="false"/>
                                      <w:b w:val="false"/>
                                      <w:bCs w:val="false"/>
                                    </w:rPr>
                                  </w:pPr>
                                  <w:r>
                                    <w:rPr>
                                      <w:rFonts w:eastAsia="Open Sans" w:cs="Open Sans" w:ascii="Open Sans" w:hAnsi="Open Sans"/>
                                      <w:b w:val="false"/>
                                      <w:bCs w:val="false"/>
                                      <w:color w:val="376092"/>
                                      <w:sz w:val="18"/>
                                      <w:szCs w:val="18"/>
                                    </w:rPr>
                                    <w:t>Polianna Maia Paiva</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lang w:val="pt-BR"/>
                                    </w:rPr>
                                    <w:t xml:space="preserve">                                                                          </w:t>
                                  </w:r>
                                  <w:r>
                                    <w:rPr>
                                      <w:rFonts w:eastAsia="Open Sans" w:cs="Open Sans" w:ascii="Open Sans" w:hAnsi="Open Sans"/>
                                      <w:b w:val="false"/>
                                      <w:bCs w:val="false"/>
                                      <w:color w:val="376092"/>
                                      <w:sz w:val="18"/>
                                      <w:szCs w:val="18"/>
                                    </w:rPr>
                                    <w:t xml:space="preserve">Wilza Carla Folchini Barreiros </w:t>
                                  </w:r>
                                </w:p>
                                <w:p>
                                  <w:pPr>
                                    <w:pStyle w:val="Normal"/>
                                    <w:widowControl w:val="false"/>
                                    <w:spacing w:lineRule="auto" w:line="240"/>
                                    <w:ind w:left="0" w:right="123" w:hanging="0"/>
                                    <w:jc w:val="left"/>
                                    <w:rPr>
                                      <w:rFonts w:ascii="Open Sans" w:hAnsi="Open Sans" w:cs="Open Sans"/>
                                      <w:color w:val="376092"/>
                                      <w:sz w:val="18"/>
                                      <w:szCs w:val="18"/>
                                    </w:rPr>
                                  </w:pPr>
                                  <w:r>
                                    <w:rPr/>
                                  </w:r>
                                </w:p>
                                <w:p>
                                  <w:pPr>
                                    <w:pStyle w:val="Normal"/>
                                    <w:widowControl w:val="false"/>
                                    <w:spacing w:lineRule="auto" w:line="240" w:before="0" w:after="0"/>
                                    <w:ind w:left="0" w:right="130" w:hanging="0"/>
                                    <w:jc w:val="right"/>
                                    <w:rPr>
                                      <w:rFonts w:ascii="Open Sans" w:hAnsi="Open Sans" w:cs="Open Sans"/>
                                      <w:color w:val="376092"/>
                                      <w:sz w:val="18"/>
                                      <w:szCs w:val="18"/>
                                    </w:rPr>
                                  </w:pPr>
                                  <w:r>
                                    <w:rPr>
                                      <w:rFonts w:eastAsia="Open Sans" w:cs="Open Sans" w:ascii="Open Sans" w:hAnsi="Open Sans"/>
                                      <w:b/>
                                      <w:color w:val="376092"/>
                                      <w:sz w:val="18"/>
                                      <w:szCs w:val="18"/>
                                    </w:rPr>
                                    <w:t>Assessoria da Câmara de Coordenação e Revisão Cível:</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Gabriella Ramalho Uchoa Sinachi</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Maria Clara de Almeida Ferraz</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ab/>
                                    <w:t>Mariana Albuquerque de Lima Ribeiro</w:t>
                                  </w:r>
                                </w:p>
                                <w:p>
                                  <w:pPr>
                                    <w:pStyle w:val="Normal"/>
                                    <w:widowControl w:val="false"/>
                                    <w:spacing w:lineRule="auto" w:line="240" w:before="0" w:after="0"/>
                                    <w:ind w:left="0" w:right="130" w:hanging="0"/>
                                    <w:jc w:val="right"/>
                                    <w:rPr>
                                      <w:rFonts w:ascii="Open Sans" w:hAnsi="Open Sans" w:cs="Open Sans"/>
                                      <w:color w:val="376092"/>
                                      <w:sz w:val="18"/>
                                      <w:szCs w:val="18"/>
                                    </w:rPr>
                                  </w:pPr>
                                  <w:r>
                                    <w:rPr>
                                      <w:rFonts w:cs="Open Sans" w:ascii="Open Sans" w:hAnsi="Open Sans"/>
                                      <w:color w:val="376092"/>
                                      <w:sz w:val="18"/>
                                      <w:szCs w:val="18"/>
                                    </w:rPr>
                                  </w:r>
                                </w:p>
                                <w:p>
                                  <w:pPr>
                                    <w:pStyle w:val="Normal"/>
                                    <w:widowControl w:val="false"/>
                                    <w:spacing w:lineRule="auto" w:line="240" w:before="0" w:after="0"/>
                                    <w:ind w:left="0" w:right="126" w:hanging="0"/>
                                    <w:jc w:val="right"/>
                                    <w:rPr>
                                      <w:rFonts w:ascii="Open Sans" w:hAnsi="Open Sans" w:eastAsia="Open Sans" w:cs="Open Sans"/>
                                      <w:b/>
                                      <w:b/>
                                      <w:bCs/>
                                      <w:color w:val="376092"/>
                                      <w:sz w:val="18"/>
                                      <w:szCs w:val="18"/>
                                    </w:rPr>
                                  </w:pPr>
                                  <w:r>
                                    <w:rPr>
                                      <w:rFonts w:eastAsia="Open Sans" w:cs="Open Sans" w:ascii="Open Sans" w:hAnsi="Open Sans"/>
                                      <w:b/>
                                      <w:color w:val="376092"/>
                                      <w:sz w:val="18"/>
                                      <w:szCs w:val="18"/>
                                    </w:rPr>
                                    <w:t>Coordenadora da Câmara de Coordenação e Revisão Cível:</w:t>
                                  </w:r>
                                </w:p>
                                <w:p>
                                  <w:pPr>
                                    <w:pStyle w:val="Normal"/>
                                    <w:widowControl w:val="false"/>
                                    <w:spacing w:lineRule="auto" w:line="240" w:before="0" w:after="0"/>
                                    <w:ind w:left="0" w:right="126" w:hanging="0"/>
                                    <w:jc w:val="right"/>
                                    <w:rPr>
                                      <w:b w:val="false"/>
                                      <w:b w:val="false"/>
                                      <w:bCs w:val="false"/>
                                    </w:rPr>
                                  </w:pPr>
                                  <w:r>
                                    <w:rPr>
                                      <w:rFonts w:eastAsia="Open Sans" w:cs="Open Sans" w:ascii="Open Sans" w:hAnsi="Open Sans"/>
                                      <w:b w:val="false"/>
                                      <w:bCs w:val="false"/>
                                      <w:color w:val="376092"/>
                                      <w:sz w:val="18"/>
                                      <w:szCs w:val="18"/>
                                      <w:lang w:val="pt-BR"/>
                                    </w:rPr>
                                    <w:t>Polianna Maia de Paiva</w:t>
                                  </w:r>
                                </w:p>
                              </w:tc>
                              <w:tc>
                                <w:tcPr>
                                  <w:tcW w:w="2888" w:type="dxa"/>
                                  <w:tcBorders/>
                                  <w:shd w:fill="B8CCE4" w:val="clear"/>
                                  <w:vAlign w:val="center"/>
                                </w:tcPr>
                                <w:p>
                                  <w:pPr>
                                    <w:pStyle w:val="Normal"/>
                                    <w:widowControl w:val="false"/>
                                    <w:spacing w:lineRule="auto" w:line="240" w:before="0" w:after="0"/>
                                    <w:ind w:left="0" w:right="570" w:hanging="0"/>
                                    <w:rPr>
                                      <w:rFonts w:ascii="Quattrocento Sans" w:hAnsi="Quattrocento Sans"/>
                                      <w:b/>
                                      <w:b/>
                                      <w:color w:val="376092"/>
                                      <w:sz w:val="18"/>
                                      <w:szCs w:val="18"/>
                                    </w:rPr>
                                  </w:pPr>
                                  <w:r>
                                    <w:rPr>
                                      <w:rFonts w:ascii="Quattrocento Sans" w:hAnsi="Quattrocento Sans"/>
                                      <w:b/>
                                      <w:color w:val="376092"/>
                                      <w:sz w:val="18"/>
                                      <w:szCs w:val="18"/>
                                    </w:rPr>
                                  </w:r>
                                </w:p>
                                <w:p>
                                  <w:pPr>
                                    <w:pStyle w:val="Normal"/>
                                    <w:widowControl w:val="false"/>
                                    <w:spacing w:lineRule="auto" w:line="240" w:before="0" w:after="0"/>
                                    <w:ind w:left="-444" w:right="0" w:hanging="0"/>
                                    <w:rPr>
                                      <w:rFonts w:ascii="Quattrocento Sans" w:hAnsi="Quattrocento Sans"/>
                                      <w:b/>
                                      <w:b/>
                                      <w:color w:val="376092"/>
                                      <w:sz w:val="18"/>
                                      <w:szCs w:val="18"/>
                                    </w:rPr>
                                  </w:pPr>
                                  <w:r>
                                    <w:rPr>
                                      <w:rFonts w:ascii="Quattrocento Sans" w:hAnsi="Quattrocento Sans"/>
                                      <w:b/>
                                      <w:color w:val="376092"/>
                                      <w:sz w:val="18"/>
                                      <w:szCs w:val="18"/>
                                    </w:rPr>
                                  </w:r>
                                </w:p>
                                <w:p>
                                  <w:pPr>
                                    <w:pStyle w:val="Normal"/>
                                    <w:widowControl w:val="false"/>
                                    <w:spacing w:lineRule="auto" w:line="240" w:before="0" w:after="0"/>
                                    <w:ind w:left="137" w:right="0" w:hanging="0"/>
                                    <w:rPr>
                                      <w:rFonts w:ascii="Open Sans" w:hAnsi="Open Sans" w:cs="Open Sans"/>
                                      <w:color w:val="376092"/>
                                      <w:sz w:val="18"/>
                                      <w:szCs w:val="18"/>
                                    </w:rPr>
                                  </w:pPr>
                                  <w:hyperlink r:id="rId2" w:tgtFrame="mailto:ccrcivel@dpu.def.br">
                                    <w:r>
                                      <w:rPr>
                                        <w:rFonts w:eastAsia="Open Sans" w:cs="Open Sans" w:ascii="Open Sans" w:hAnsi="Open Sans"/>
                                        <w:color w:val="376092"/>
                                        <w:sz w:val="18"/>
                                        <w:szCs w:val="18"/>
                                      </w:rPr>
                                      <w:t>ccrcivel@dpu.def.br</w:t>
                                    </w:r>
                                  </w:hyperlink>
                                  <w:r>
                                    <w:rPr>
                                      <w:rFonts w:eastAsia="Open Sans" w:cs="Open Sans" w:ascii="Open Sans" w:hAnsi="Open Sans"/>
                                      <w:color w:val="376092"/>
                                      <w:sz w:val="18"/>
                                      <w:szCs w:val="18"/>
                                    </w:rPr>
                                    <w:t xml:space="preserve"> </w:t>
                                  </w:r>
                                </w:p>
                                <w:p>
                                  <w:pPr>
                                    <w:pStyle w:val="Normal"/>
                                    <w:widowControl w:val="false"/>
                                    <w:spacing w:lineRule="auto" w:line="240" w:before="0" w:after="0"/>
                                    <w:ind w:left="137" w:right="0" w:hanging="0"/>
                                    <w:rPr>
                                      <w:rFonts w:ascii="Open Sans" w:hAnsi="Open Sans" w:cs="Open Sans"/>
                                      <w:color w:val="376092"/>
                                      <w:sz w:val="18"/>
                                      <w:szCs w:val="18"/>
                                    </w:rPr>
                                  </w:pPr>
                                  <w:hyperlink r:id="rId3" w:tgtFrame="mailto:camaras.secretaria@dpu.def.br">
                                    <w:r>
                                      <w:rPr>
                                        <w:rStyle w:val="LinkdaInternet"/>
                                        <w:rFonts w:eastAsia="Open Sans" w:cs="Open Sans" w:ascii="Open Sans" w:hAnsi="Open Sans"/>
                                        <w:color w:val="376092"/>
                                        <w:sz w:val="18"/>
                                        <w:szCs w:val="18"/>
                                      </w:rPr>
                                      <w:t>camaras.secretaria@dpu.def.br</w:t>
                                    </w:r>
                                  </w:hyperlink>
                                  <w:r>
                                    <w:rPr>
                                      <w:rFonts w:eastAsia="Open Sans" w:cs="Open Sans" w:ascii="Open Sans" w:hAnsi="Open Sans"/>
                                      <w:color w:val="376092"/>
                                      <w:sz w:val="18"/>
                                      <w:szCs w:val="18"/>
                                    </w:rPr>
                                    <w:t xml:space="preserve"> </w:t>
                                  </w:r>
                                  <w:hyperlink r:id="rId4" w:tgtFrame="https://www.dpu.def.br/camaras">
                                    <w:r>
                                      <w:rPr>
                                        <w:rFonts w:eastAsia="Open Sans" w:cs="Open Sans" w:ascii="Open Sans" w:hAnsi="Open Sans"/>
                                        <w:color w:val="376092"/>
                                        <w:sz w:val="18"/>
                                        <w:szCs w:val="18"/>
                                      </w:rPr>
                                      <w:t>https://www.dpu.def.br/camaras</w:t>
                                    </w:r>
                                  </w:hyperlink>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color w:val="376092"/>
                                      <w:sz w:val="18"/>
                                      <w:szCs w:val="18"/>
                                    </w:rPr>
                                    <w:t>(61) 3318-0205</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146" w:hanging="0"/>
                                    <w:rPr>
                                      <w:rFonts w:ascii="Open Sans" w:hAnsi="Open Sans" w:cs="Open Sans"/>
                                      <w:b/>
                                      <w:b/>
                                      <w:color w:val="376092"/>
                                      <w:sz w:val="18"/>
                                      <w:szCs w:val="18"/>
                                    </w:rPr>
                                  </w:pPr>
                                  <w:r>
                                    <w:rPr>
                                      <w:rFonts w:eastAsia="Open Sans" w:cs="Open Sans" w:ascii="Open Sans" w:hAnsi="Open Sans"/>
                                      <w:b/>
                                      <w:color w:val="376092"/>
                                      <w:sz w:val="18"/>
                                      <w:szCs w:val="18"/>
                                    </w:rPr>
                                    <w:t xml:space="preserve">Secretaria das Câmaras: </w:t>
                                  </w:r>
                                </w:p>
                                <w:p>
                                  <w:pPr>
                                    <w:pStyle w:val="Normal"/>
                                    <w:widowControl w:val="false"/>
                                    <w:spacing w:lineRule="auto" w:line="240" w:before="0" w:after="0"/>
                                    <w:ind w:left="120" w:right="1015" w:hanging="0"/>
                                    <w:rPr>
                                      <w:rFonts w:ascii="Open Sans" w:hAnsi="Open Sans" w:cs="Open Sans"/>
                                      <w:color w:val="376092"/>
                                      <w:sz w:val="18"/>
                                      <w:szCs w:val="18"/>
                                    </w:rPr>
                                  </w:pPr>
                                  <w:r>
                                    <w:rPr>
                                      <w:rFonts w:eastAsia="Open Sans" w:cs="Open Sans" w:ascii="Open Sans" w:hAnsi="Open Sans"/>
                                      <w:color w:val="376092"/>
                                      <w:sz w:val="18"/>
                                      <w:szCs w:val="18"/>
                                    </w:rPr>
                                    <w:t>Linivy Stefani Silva</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b/>
                                      <w:color w:val="376092"/>
                                      <w:sz w:val="18"/>
                                      <w:szCs w:val="18"/>
                                    </w:rPr>
                                    <w:t>Estagiária da secretaria:</w:t>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color w:val="376092"/>
                                      <w:sz w:val="18"/>
                                      <w:szCs w:val="18"/>
                                    </w:rPr>
                                    <w:t>Sophia Bezerra da Silva</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b/>
                                      <w:color w:val="376092"/>
                                      <w:sz w:val="18"/>
                                      <w:szCs w:val="18"/>
                                    </w:rPr>
                                    <w:t>Elaboração/Atualização deste modelo:</w:t>
                                  </w:r>
                                </w:p>
                                <w:p>
                                  <w:pPr>
                                    <w:pStyle w:val="Normal"/>
                                    <w:widowControl w:val="false"/>
                                    <w:spacing w:lineRule="auto" w:line="240" w:before="0" w:after="0"/>
                                    <w:ind w:left="85" w:right="0" w:hanging="0"/>
                                    <w:rPr>
                                      <w:b w:val="false"/>
                                      <w:b w:val="false"/>
                                      <w:bCs w:val="false"/>
                                    </w:rPr>
                                  </w:pPr>
                                  <w:r>
                                    <w:rPr>
                                      <w:rFonts w:eastAsia="Open Sans" w:cs="Open Sans" w:ascii="Open Sans" w:hAnsi="Open Sans"/>
                                      <w:b w:val="false"/>
                                      <w:bCs w:val="false"/>
                                      <w:color w:val="376092"/>
                                      <w:sz w:val="18"/>
                                      <w:szCs w:val="18"/>
                                      <w:lang w:val="pt-BR"/>
                                    </w:rPr>
                                    <w:t>Polianna Maia de Paiva</w:t>
                                  </w:r>
                                </w:p>
                                <w:p>
                                  <w:pPr>
                                    <w:pStyle w:val="Normal"/>
                                    <w:widowControl w:val="false"/>
                                    <w:spacing w:lineRule="auto" w:line="240" w:before="0" w:after="0"/>
                                    <w:ind w:left="85" w:right="0" w:hanging="0"/>
                                    <w:rPr>
                                      <w:rFonts w:ascii="Open Sans" w:hAnsi="Open Sans" w:cs="Open Sans"/>
                                      <w:b/>
                                      <w:b/>
                                      <w:bCs/>
                                      <w:color w:val="376092"/>
                                      <w:sz w:val="18"/>
                                      <w:szCs w:val="18"/>
                                    </w:rPr>
                                  </w:pPr>
                                  <w:r>
                                    <w:rPr>
                                      <w:rFonts w:cs="Open Sans" w:ascii="Open Sans" w:hAnsi="Open Sans"/>
                                      <w:b/>
                                      <w:bCs/>
                                      <w:color w:val="376092"/>
                                      <w:sz w:val="18"/>
                                      <w:szCs w:val="18"/>
                                    </w:rPr>
                                  </w:r>
                                </w:p>
                              </w:tc>
                            </w:tr>
                          </w:tbl>
                        </w:txbxContent>
                      </wps:txbx>
                      <wps:bodyPr anchor="t" lIns="0" tIns="0" rIns="0" bIns="0">
                        <a:noAutofit/>
                      </wps:bodyPr>
                    </wps:wsp>
                  </a:graphicData>
                </a:graphic>
              </wp:anchor>
            </w:drawing>
          </mc:Choice>
          <mc:Fallback>
            <w:pict>
              <v:rect style="position:absolute;rotation:-0;width:478.55pt;height:195.95pt;mso-wrap-distance-left:7.05pt;mso-wrap-distance-right:7.05pt;mso-wrap-distance-top:0pt;mso-wrap-distance-bottom:0pt;margin-top:10.55pt;mso-position-vertical-relative:text;margin-left:3.95pt;mso-position-horizontal-relative:text">
                <v:textbox inset="0in,0in,0in,0in">
                  <w:txbxContent>
                    <w:tbl>
                      <w:tblPr>
                        <w:tblW w:w="9354" w:type="dxa"/>
                        <w:jc w:val="left"/>
                        <w:tblInd w:w="0" w:type="dxa"/>
                        <w:tblLayout w:type="fixed"/>
                        <w:tblCellMar>
                          <w:top w:w="0" w:type="dxa"/>
                          <w:left w:w="108" w:type="dxa"/>
                          <w:bottom w:w="0" w:type="dxa"/>
                          <w:right w:w="108" w:type="dxa"/>
                        </w:tblCellMar>
                      </w:tblPr>
                      <w:tblGrid>
                        <w:gridCol w:w="6466"/>
                        <w:gridCol w:w="2888"/>
                      </w:tblGrid>
                      <w:tr>
                        <w:trPr>
                          <w:trHeight w:val="62" w:hRule="atLeast"/>
                        </w:trPr>
                        <w:tc>
                          <w:tcPr>
                            <w:tcW w:w="6466" w:type="dxa"/>
                            <w:tcBorders/>
                            <w:shd w:fill="B8CCE4" w:val="clear"/>
                            <w:vAlign w:val="center"/>
                          </w:tcPr>
                          <w:p>
                            <w:pPr>
                              <w:pStyle w:val="Normal"/>
                              <w:widowControl w:val="false"/>
                              <w:spacing w:lineRule="auto" w:line="240" w:before="0" w:after="0"/>
                              <w:ind w:left="0" w:right="126" w:hanging="0"/>
                              <w:jc w:val="right"/>
                              <w:rPr>
                                <w:rFonts w:ascii="Open Sans" w:hAnsi="Open Sans" w:cs="Open Sans"/>
                                <w:b/>
                                <w:b/>
                                <w:bCs/>
                                <w:color w:val="376092"/>
                                <w:sz w:val="18"/>
                                <w:szCs w:val="18"/>
                              </w:rPr>
                            </w:pPr>
                            <w:r>
                              <w:rPr>
                                <w:rFonts w:eastAsia="Quattrocento Sans" w:ascii="Quattrocento Sans" w:hAnsi="Quattrocento Sans"/>
                                <w:b/>
                                <w:color w:val="376092"/>
                                <w:sz w:val="18"/>
                                <w:szCs w:val="18"/>
                              </w:rPr>
                              <w:t xml:space="preserve"> </w:t>
                            </w:r>
                            <w:r>
                              <w:rPr>
                                <w:rFonts w:eastAsia="Open Sans" w:cs="Open Sans" w:ascii="Open Sans" w:hAnsi="Open Sans"/>
                                <w:b/>
                                <w:color w:val="376092"/>
                                <w:sz w:val="18"/>
                                <w:szCs w:val="18"/>
                              </w:rPr>
                              <w:t xml:space="preserve"> </w:t>
                            </w:r>
                            <w:r>
                              <w:rPr>
                                <w:rFonts w:eastAsia="Open Sans" w:cs="Open Sans" w:ascii="Open Sans" w:hAnsi="Open Sans"/>
                                <w:b/>
                                <w:color w:val="376092"/>
                                <w:sz w:val="18"/>
                                <w:szCs w:val="18"/>
                              </w:rPr>
                              <w:t>Membros/as da Câmara de Coordenação e Revisão Cível:</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Alexandre Mendes Lima de Oliveira</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 xml:space="preserve">Clemens Emanuel Santana de Freitas </w:t>
                            </w:r>
                          </w:p>
                          <w:p>
                            <w:pPr>
                              <w:pStyle w:val="Normal"/>
                              <w:widowControl w:val="false"/>
                              <w:spacing w:lineRule="auto" w:line="240"/>
                              <w:ind w:left="0" w:right="127" w:hanging="0"/>
                              <w:jc w:val="right"/>
                              <w:rPr>
                                <w:b w:val="false"/>
                                <w:b w:val="false"/>
                                <w:bCs w:val="false"/>
                              </w:rPr>
                            </w:pPr>
                            <w:r>
                              <w:rPr>
                                <w:rFonts w:eastAsia="Open Sans" w:cs="Open Sans" w:ascii="Open Sans" w:hAnsi="Open Sans"/>
                                <w:b w:val="false"/>
                                <w:bCs w:val="false"/>
                                <w:color w:val="376092"/>
                                <w:sz w:val="18"/>
                                <w:szCs w:val="18"/>
                              </w:rPr>
                              <w:t>Denise Tanaka dos Santos</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rPr>
                              <w:t>Fernando da Cunha Cavalcanti</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rPr>
                              <w:t>Luísa Ayumi Komoda Paes de Figueiredo</w:t>
                            </w:r>
                          </w:p>
                          <w:p>
                            <w:pPr>
                              <w:pStyle w:val="Normal"/>
                              <w:widowControl w:val="false"/>
                              <w:spacing w:lineRule="auto" w:line="240"/>
                              <w:ind w:left="4508" w:right="123" w:hanging="471"/>
                              <w:jc w:val="right"/>
                              <w:rPr>
                                <w:b w:val="false"/>
                                <w:b w:val="false"/>
                                <w:bCs w:val="false"/>
                              </w:rPr>
                            </w:pPr>
                            <w:r>
                              <w:rPr>
                                <w:rFonts w:eastAsia="Open Sans" w:cs="Open Sans" w:ascii="Open Sans" w:hAnsi="Open Sans"/>
                                <w:b w:val="false"/>
                                <w:bCs w:val="false"/>
                                <w:color w:val="376092"/>
                                <w:sz w:val="18"/>
                                <w:szCs w:val="18"/>
                              </w:rPr>
                              <w:t>Polianna Maia Paiva</w:t>
                            </w:r>
                          </w:p>
                          <w:p>
                            <w:pPr>
                              <w:pStyle w:val="Normal"/>
                              <w:widowControl w:val="false"/>
                              <w:spacing w:lineRule="auto" w:line="240"/>
                              <w:ind w:left="0" w:right="123" w:hanging="0"/>
                              <w:jc w:val="right"/>
                              <w:rPr>
                                <w:b w:val="false"/>
                                <w:b w:val="false"/>
                                <w:bCs w:val="false"/>
                              </w:rPr>
                            </w:pPr>
                            <w:r>
                              <w:rPr>
                                <w:rFonts w:eastAsia="Open Sans" w:cs="Open Sans" w:ascii="Open Sans" w:hAnsi="Open Sans"/>
                                <w:b w:val="false"/>
                                <w:bCs w:val="false"/>
                                <w:color w:val="376092"/>
                                <w:sz w:val="18"/>
                                <w:szCs w:val="18"/>
                                <w:lang w:val="pt-BR"/>
                              </w:rPr>
                              <w:t xml:space="preserve">                                                                          </w:t>
                            </w:r>
                            <w:r>
                              <w:rPr>
                                <w:rFonts w:eastAsia="Open Sans" w:cs="Open Sans" w:ascii="Open Sans" w:hAnsi="Open Sans"/>
                                <w:b w:val="false"/>
                                <w:bCs w:val="false"/>
                                <w:color w:val="376092"/>
                                <w:sz w:val="18"/>
                                <w:szCs w:val="18"/>
                              </w:rPr>
                              <w:t xml:space="preserve">Wilza Carla Folchini Barreiros </w:t>
                            </w:r>
                          </w:p>
                          <w:p>
                            <w:pPr>
                              <w:pStyle w:val="Normal"/>
                              <w:widowControl w:val="false"/>
                              <w:spacing w:lineRule="auto" w:line="240"/>
                              <w:ind w:left="0" w:right="123" w:hanging="0"/>
                              <w:jc w:val="left"/>
                              <w:rPr>
                                <w:rFonts w:ascii="Open Sans" w:hAnsi="Open Sans" w:cs="Open Sans"/>
                                <w:color w:val="376092"/>
                                <w:sz w:val="18"/>
                                <w:szCs w:val="18"/>
                              </w:rPr>
                            </w:pPr>
                            <w:r>
                              <w:rPr/>
                            </w:r>
                          </w:p>
                          <w:p>
                            <w:pPr>
                              <w:pStyle w:val="Normal"/>
                              <w:widowControl w:val="false"/>
                              <w:spacing w:lineRule="auto" w:line="240" w:before="0" w:after="0"/>
                              <w:ind w:left="0" w:right="130" w:hanging="0"/>
                              <w:jc w:val="right"/>
                              <w:rPr>
                                <w:rFonts w:ascii="Open Sans" w:hAnsi="Open Sans" w:cs="Open Sans"/>
                                <w:color w:val="376092"/>
                                <w:sz w:val="18"/>
                                <w:szCs w:val="18"/>
                              </w:rPr>
                            </w:pPr>
                            <w:r>
                              <w:rPr>
                                <w:rFonts w:eastAsia="Open Sans" w:cs="Open Sans" w:ascii="Open Sans" w:hAnsi="Open Sans"/>
                                <w:b/>
                                <w:color w:val="376092"/>
                                <w:sz w:val="18"/>
                                <w:szCs w:val="18"/>
                              </w:rPr>
                              <w:t>Assessoria da Câmara de Coordenação e Revisão Cível:</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Gabriella Ramalho Uchoa Sinachi</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Maria Clara de Almeida Ferraz</w:t>
                            </w:r>
                          </w:p>
                          <w:p>
                            <w:pPr>
                              <w:pStyle w:val="Normal"/>
                              <w:widowControl w:val="false"/>
                              <w:spacing w:lineRule="auto" w:line="240"/>
                              <w:ind w:left="0" w:right="119" w:hanging="0"/>
                              <w:jc w:val="right"/>
                              <w:rPr>
                                <w:b w:val="false"/>
                                <w:b w:val="false"/>
                                <w:bCs w:val="false"/>
                              </w:rPr>
                            </w:pPr>
                            <w:r>
                              <w:rPr>
                                <w:rFonts w:eastAsia="Open Sans" w:cs="Open Sans" w:ascii="Open Sans" w:hAnsi="Open Sans"/>
                                <w:b w:val="false"/>
                                <w:bCs w:val="false"/>
                                <w:color w:val="376092"/>
                                <w:sz w:val="18"/>
                                <w:szCs w:val="18"/>
                              </w:rPr>
                              <w:tab/>
                              <w:t>Mariana Albuquerque de Lima Ribeiro</w:t>
                            </w:r>
                          </w:p>
                          <w:p>
                            <w:pPr>
                              <w:pStyle w:val="Normal"/>
                              <w:widowControl w:val="false"/>
                              <w:spacing w:lineRule="auto" w:line="240" w:before="0" w:after="0"/>
                              <w:ind w:left="0" w:right="130" w:hanging="0"/>
                              <w:jc w:val="right"/>
                              <w:rPr>
                                <w:rFonts w:ascii="Open Sans" w:hAnsi="Open Sans" w:cs="Open Sans"/>
                                <w:color w:val="376092"/>
                                <w:sz w:val="18"/>
                                <w:szCs w:val="18"/>
                              </w:rPr>
                            </w:pPr>
                            <w:r>
                              <w:rPr>
                                <w:rFonts w:cs="Open Sans" w:ascii="Open Sans" w:hAnsi="Open Sans"/>
                                <w:color w:val="376092"/>
                                <w:sz w:val="18"/>
                                <w:szCs w:val="18"/>
                              </w:rPr>
                            </w:r>
                          </w:p>
                          <w:p>
                            <w:pPr>
                              <w:pStyle w:val="Normal"/>
                              <w:widowControl w:val="false"/>
                              <w:spacing w:lineRule="auto" w:line="240" w:before="0" w:after="0"/>
                              <w:ind w:left="0" w:right="126" w:hanging="0"/>
                              <w:jc w:val="right"/>
                              <w:rPr>
                                <w:rFonts w:ascii="Open Sans" w:hAnsi="Open Sans" w:eastAsia="Open Sans" w:cs="Open Sans"/>
                                <w:b/>
                                <w:b/>
                                <w:bCs/>
                                <w:color w:val="376092"/>
                                <w:sz w:val="18"/>
                                <w:szCs w:val="18"/>
                              </w:rPr>
                            </w:pPr>
                            <w:r>
                              <w:rPr>
                                <w:rFonts w:eastAsia="Open Sans" w:cs="Open Sans" w:ascii="Open Sans" w:hAnsi="Open Sans"/>
                                <w:b/>
                                <w:color w:val="376092"/>
                                <w:sz w:val="18"/>
                                <w:szCs w:val="18"/>
                              </w:rPr>
                              <w:t>Coordenadora da Câmara de Coordenação e Revisão Cível:</w:t>
                            </w:r>
                          </w:p>
                          <w:p>
                            <w:pPr>
                              <w:pStyle w:val="Normal"/>
                              <w:widowControl w:val="false"/>
                              <w:spacing w:lineRule="auto" w:line="240" w:before="0" w:after="0"/>
                              <w:ind w:left="0" w:right="126" w:hanging="0"/>
                              <w:jc w:val="right"/>
                              <w:rPr>
                                <w:b w:val="false"/>
                                <w:b w:val="false"/>
                                <w:bCs w:val="false"/>
                              </w:rPr>
                            </w:pPr>
                            <w:r>
                              <w:rPr>
                                <w:rFonts w:eastAsia="Open Sans" w:cs="Open Sans" w:ascii="Open Sans" w:hAnsi="Open Sans"/>
                                <w:b w:val="false"/>
                                <w:bCs w:val="false"/>
                                <w:color w:val="376092"/>
                                <w:sz w:val="18"/>
                                <w:szCs w:val="18"/>
                                <w:lang w:val="pt-BR"/>
                              </w:rPr>
                              <w:t>Polianna Maia de Paiva</w:t>
                            </w:r>
                          </w:p>
                        </w:tc>
                        <w:tc>
                          <w:tcPr>
                            <w:tcW w:w="2888" w:type="dxa"/>
                            <w:tcBorders/>
                            <w:shd w:fill="B8CCE4" w:val="clear"/>
                            <w:vAlign w:val="center"/>
                          </w:tcPr>
                          <w:p>
                            <w:pPr>
                              <w:pStyle w:val="Normal"/>
                              <w:widowControl w:val="false"/>
                              <w:spacing w:lineRule="auto" w:line="240" w:before="0" w:after="0"/>
                              <w:ind w:left="0" w:right="570" w:hanging="0"/>
                              <w:rPr>
                                <w:rFonts w:ascii="Quattrocento Sans" w:hAnsi="Quattrocento Sans"/>
                                <w:b/>
                                <w:b/>
                                <w:color w:val="376092"/>
                                <w:sz w:val="18"/>
                                <w:szCs w:val="18"/>
                              </w:rPr>
                            </w:pPr>
                            <w:r>
                              <w:rPr>
                                <w:rFonts w:ascii="Quattrocento Sans" w:hAnsi="Quattrocento Sans"/>
                                <w:b/>
                                <w:color w:val="376092"/>
                                <w:sz w:val="18"/>
                                <w:szCs w:val="18"/>
                              </w:rPr>
                            </w:r>
                          </w:p>
                          <w:p>
                            <w:pPr>
                              <w:pStyle w:val="Normal"/>
                              <w:widowControl w:val="false"/>
                              <w:spacing w:lineRule="auto" w:line="240" w:before="0" w:after="0"/>
                              <w:ind w:left="-444" w:right="0" w:hanging="0"/>
                              <w:rPr>
                                <w:rFonts w:ascii="Quattrocento Sans" w:hAnsi="Quattrocento Sans"/>
                                <w:b/>
                                <w:b/>
                                <w:color w:val="376092"/>
                                <w:sz w:val="18"/>
                                <w:szCs w:val="18"/>
                              </w:rPr>
                            </w:pPr>
                            <w:r>
                              <w:rPr>
                                <w:rFonts w:ascii="Quattrocento Sans" w:hAnsi="Quattrocento Sans"/>
                                <w:b/>
                                <w:color w:val="376092"/>
                                <w:sz w:val="18"/>
                                <w:szCs w:val="18"/>
                              </w:rPr>
                            </w:r>
                          </w:p>
                          <w:p>
                            <w:pPr>
                              <w:pStyle w:val="Normal"/>
                              <w:widowControl w:val="false"/>
                              <w:spacing w:lineRule="auto" w:line="240" w:before="0" w:after="0"/>
                              <w:ind w:left="137" w:right="0" w:hanging="0"/>
                              <w:rPr>
                                <w:rFonts w:ascii="Open Sans" w:hAnsi="Open Sans" w:cs="Open Sans"/>
                                <w:color w:val="376092"/>
                                <w:sz w:val="18"/>
                                <w:szCs w:val="18"/>
                              </w:rPr>
                            </w:pPr>
                            <w:hyperlink r:id="rId5" w:tgtFrame="mailto:ccrcivel@dpu.def.br">
                              <w:r>
                                <w:rPr>
                                  <w:rFonts w:eastAsia="Open Sans" w:cs="Open Sans" w:ascii="Open Sans" w:hAnsi="Open Sans"/>
                                  <w:color w:val="376092"/>
                                  <w:sz w:val="18"/>
                                  <w:szCs w:val="18"/>
                                </w:rPr>
                                <w:t>ccrcivel@dpu.def.br</w:t>
                              </w:r>
                            </w:hyperlink>
                            <w:r>
                              <w:rPr>
                                <w:rFonts w:eastAsia="Open Sans" w:cs="Open Sans" w:ascii="Open Sans" w:hAnsi="Open Sans"/>
                                <w:color w:val="376092"/>
                                <w:sz w:val="18"/>
                                <w:szCs w:val="18"/>
                              </w:rPr>
                              <w:t xml:space="preserve"> </w:t>
                            </w:r>
                          </w:p>
                          <w:p>
                            <w:pPr>
                              <w:pStyle w:val="Normal"/>
                              <w:widowControl w:val="false"/>
                              <w:spacing w:lineRule="auto" w:line="240" w:before="0" w:after="0"/>
                              <w:ind w:left="137" w:right="0" w:hanging="0"/>
                              <w:rPr>
                                <w:rFonts w:ascii="Open Sans" w:hAnsi="Open Sans" w:cs="Open Sans"/>
                                <w:color w:val="376092"/>
                                <w:sz w:val="18"/>
                                <w:szCs w:val="18"/>
                              </w:rPr>
                            </w:pPr>
                            <w:hyperlink r:id="rId6" w:tgtFrame="mailto:camaras.secretaria@dpu.def.br">
                              <w:r>
                                <w:rPr>
                                  <w:rStyle w:val="LinkdaInternet"/>
                                  <w:rFonts w:eastAsia="Open Sans" w:cs="Open Sans" w:ascii="Open Sans" w:hAnsi="Open Sans"/>
                                  <w:color w:val="376092"/>
                                  <w:sz w:val="18"/>
                                  <w:szCs w:val="18"/>
                                </w:rPr>
                                <w:t>camaras.secretaria@dpu.def.br</w:t>
                              </w:r>
                            </w:hyperlink>
                            <w:r>
                              <w:rPr>
                                <w:rFonts w:eastAsia="Open Sans" w:cs="Open Sans" w:ascii="Open Sans" w:hAnsi="Open Sans"/>
                                <w:color w:val="376092"/>
                                <w:sz w:val="18"/>
                                <w:szCs w:val="18"/>
                              </w:rPr>
                              <w:t xml:space="preserve"> </w:t>
                            </w:r>
                            <w:hyperlink r:id="rId7" w:tgtFrame="https://www.dpu.def.br/camaras">
                              <w:r>
                                <w:rPr>
                                  <w:rFonts w:eastAsia="Open Sans" w:cs="Open Sans" w:ascii="Open Sans" w:hAnsi="Open Sans"/>
                                  <w:color w:val="376092"/>
                                  <w:sz w:val="18"/>
                                  <w:szCs w:val="18"/>
                                </w:rPr>
                                <w:t>https://www.dpu.def.br/camaras</w:t>
                              </w:r>
                            </w:hyperlink>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color w:val="376092"/>
                                <w:sz w:val="18"/>
                                <w:szCs w:val="18"/>
                              </w:rPr>
                              <w:t>(61) 3318-0205</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146" w:hanging="0"/>
                              <w:rPr>
                                <w:rFonts w:ascii="Open Sans" w:hAnsi="Open Sans" w:cs="Open Sans"/>
                                <w:b/>
                                <w:b/>
                                <w:color w:val="376092"/>
                                <w:sz w:val="18"/>
                                <w:szCs w:val="18"/>
                              </w:rPr>
                            </w:pPr>
                            <w:r>
                              <w:rPr>
                                <w:rFonts w:eastAsia="Open Sans" w:cs="Open Sans" w:ascii="Open Sans" w:hAnsi="Open Sans"/>
                                <w:b/>
                                <w:color w:val="376092"/>
                                <w:sz w:val="18"/>
                                <w:szCs w:val="18"/>
                              </w:rPr>
                              <w:t xml:space="preserve">Secretaria das Câmaras: </w:t>
                            </w:r>
                          </w:p>
                          <w:p>
                            <w:pPr>
                              <w:pStyle w:val="Normal"/>
                              <w:widowControl w:val="false"/>
                              <w:spacing w:lineRule="auto" w:line="240" w:before="0" w:after="0"/>
                              <w:ind w:left="120" w:right="1015" w:hanging="0"/>
                              <w:rPr>
                                <w:rFonts w:ascii="Open Sans" w:hAnsi="Open Sans" w:cs="Open Sans"/>
                                <w:color w:val="376092"/>
                                <w:sz w:val="18"/>
                                <w:szCs w:val="18"/>
                              </w:rPr>
                            </w:pPr>
                            <w:r>
                              <w:rPr>
                                <w:rFonts w:eastAsia="Open Sans" w:cs="Open Sans" w:ascii="Open Sans" w:hAnsi="Open Sans"/>
                                <w:color w:val="376092"/>
                                <w:sz w:val="18"/>
                                <w:szCs w:val="18"/>
                              </w:rPr>
                              <w:t>Linivy Stefani Silva</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b/>
                                <w:color w:val="376092"/>
                                <w:sz w:val="18"/>
                                <w:szCs w:val="18"/>
                              </w:rPr>
                              <w:t>Estagiária da secretaria:</w:t>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color w:val="376092"/>
                                <w:sz w:val="18"/>
                                <w:szCs w:val="18"/>
                              </w:rPr>
                              <w:t>Sophia Bezerra da Silva</w:t>
                            </w:r>
                          </w:p>
                          <w:p>
                            <w:pPr>
                              <w:pStyle w:val="Normal"/>
                              <w:widowControl w:val="false"/>
                              <w:spacing w:lineRule="auto" w:line="240" w:before="0" w:after="0"/>
                              <w:rPr>
                                <w:rFonts w:ascii="Open Sans" w:hAnsi="Open Sans" w:cs="Open Sans"/>
                                <w:b/>
                                <w:b/>
                                <w:color w:val="376092"/>
                                <w:sz w:val="18"/>
                                <w:szCs w:val="18"/>
                              </w:rPr>
                            </w:pPr>
                            <w:r>
                              <w:rPr>
                                <w:rFonts w:cs="Open Sans" w:ascii="Open Sans" w:hAnsi="Open Sans"/>
                                <w:b/>
                                <w:color w:val="376092"/>
                                <w:sz w:val="18"/>
                                <w:szCs w:val="18"/>
                              </w:rPr>
                            </w:r>
                          </w:p>
                          <w:p>
                            <w:pPr>
                              <w:pStyle w:val="Normal"/>
                              <w:widowControl w:val="false"/>
                              <w:spacing w:lineRule="auto" w:line="240" w:before="0" w:after="0"/>
                              <w:ind w:left="120" w:right="0" w:hanging="0"/>
                              <w:rPr>
                                <w:rFonts w:ascii="Open Sans" w:hAnsi="Open Sans" w:cs="Open Sans"/>
                                <w:color w:val="376092"/>
                                <w:sz w:val="18"/>
                                <w:szCs w:val="18"/>
                              </w:rPr>
                            </w:pPr>
                            <w:r>
                              <w:rPr>
                                <w:rFonts w:eastAsia="Open Sans" w:cs="Open Sans" w:ascii="Open Sans" w:hAnsi="Open Sans"/>
                                <w:b/>
                                <w:color w:val="376092"/>
                                <w:sz w:val="18"/>
                                <w:szCs w:val="18"/>
                              </w:rPr>
                              <w:t>Elaboração/Atualização deste modelo:</w:t>
                            </w:r>
                          </w:p>
                          <w:p>
                            <w:pPr>
                              <w:pStyle w:val="Normal"/>
                              <w:widowControl w:val="false"/>
                              <w:spacing w:lineRule="auto" w:line="240" w:before="0" w:after="0"/>
                              <w:ind w:left="85" w:right="0" w:hanging="0"/>
                              <w:rPr>
                                <w:b w:val="false"/>
                                <w:b w:val="false"/>
                                <w:bCs w:val="false"/>
                              </w:rPr>
                            </w:pPr>
                            <w:r>
                              <w:rPr>
                                <w:rFonts w:eastAsia="Open Sans" w:cs="Open Sans" w:ascii="Open Sans" w:hAnsi="Open Sans"/>
                                <w:b w:val="false"/>
                                <w:bCs w:val="false"/>
                                <w:color w:val="376092"/>
                                <w:sz w:val="18"/>
                                <w:szCs w:val="18"/>
                                <w:lang w:val="pt-BR"/>
                              </w:rPr>
                              <w:t>Polianna Maia de Paiva</w:t>
                            </w:r>
                          </w:p>
                          <w:p>
                            <w:pPr>
                              <w:pStyle w:val="Normal"/>
                              <w:widowControl w:val="false"/>
                              <w:spacing w:lineRule="auto" w:line="240" w:before="0" w:after="0"/>
                              <w:ind w:left="85" w:right="0" w:hanging="0"/>
                              <w:rPr>
                                <w:rFonts w:ascii="Open Sans" w:hAnsi="Open Sans" w:cs="Open Sans"/>
                                <w:b/>
                                <w:b/>
                                <w:bCs/>
                                <w:color w:val="376092"/>
                                <w:sz w:val="18"/>
                                <w:szCs w:val="18"/>
                              </w:rPr>
                            </w:pPr>
                            <w:r>
                              <w:rPr>
                                <w:rFonts w:cs="Open Sans" w:ascii="Open Sans" w:hAnsi="Open Sans"/>
                                <w:b/>
                                <w:bCs/>
                                <w:color w:val="376092"/>
                                <w:sz w:val="18"/>
                                <w:szCs w:val="18"/>
                              </w:rPr>
                            </w:r>
                          </w:p>
                        </w:tc>
                      </w:tr>
                    </w:tbl>
                  </w:txbxContent>
                </v:textbox>
                <w10:wrap type="square"/>
              </v:rect>
            </w:pict>
          </mc:Fallback>
        </mc:AlternateContent>
      </w:r>
    </w:p>
    <w:p>
      <w:pPr>
        <w:pStyle w:val="Normal"/>
        <w:spacing w:lineRule="auto" w:line="360" w:before="192" w:after="192"/>
        <w:jc w:val="center"/>
        <w:rPr>
          <w:rFonts w:ascii="Tahoma" w:hAnsi="Tahoma"/>
          <w:sz w:val="22"/>
          <w:szCs w:val="22"/>
        </w:rPr>
      </w:pPr>
      <w:r>
        <w:rPr>
          <w:rFonts w:ascii="Tahoma" w:hAnsi="Tahoma"/>
          <w:sz w:val="22"/>
          <w:szCs w:val="22"/>
        </w:rPr>
      </w:r>
    </w:p>
    <w:sectPr>
      <w:headerReference w:type="default" r:id="rId8"/>
      <w:headerReference w:type="first" r:id="rId9"/>
      <w:footerReference w:type="first" r:id="rId10"/>
      <w:footnotePr>
        <w:numFmt w:val="decimal"/>
      </w:footnotePr>
      <w:type w:val="nextPage"/>
      <w:pgSz w:w="11906" w:h="16838"/>
      <w:pgMar w:left="1134" w:right="991" w:gutter="0" w:header="0" w:top="1130" w:footer="794" w:bottom="1202"/>
      <w:pgNumType w:start="16"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eblySleek UI Semibold">
    <w:charset w:val="00"/>
    <w:family w:val="roman"/>
    <w:pitch w:val="variable"/>
  </w:font>
  <w:font w:name="Play">
    <w:charset w:val="00"/>
    <w:family w:val="roman"/>
    <w:pitch w:val="variable"/>
  </w:font>
  <w:font w:name="Arial">
    <w:charset w:val="00"/>
    <w:family w:val="roman"/>
    <w:pitch w:val="variable"/>
  </w:font>
  <w:font w:name="Liberation Sans">
    <w:altName w:val="Arial"/>
    <w:charset w:val="00"/>
    <w:family w:val="roman"/>
    <w:pitch w:val="variable"/>
  </w:font>
  <w:font w:name="Tahoma">
    <w:charset w:val="00"/>
    <w:family w:val="swiss"/>
    <w:pitch w:val="variable"/>
  </w:font>
  <w:font w:name="Quattrocento Sans">
    <w:charset w:val="00"/>
    <w:family w:val="roman"/>
    <w:pitch w:val="variable"/>
  </w:font>
  <w:font w:name="Open San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spacing w:lineRule="auto" w:line="276" w:before="0" w:after="160"/>
        <w:jc w:val="both"/>
        <w:rPr>
          <w:rFonts w:ascii="Quattrocento Sans" w:hAnsi="Quattrocento Sans"/>
          <w:sz w:val="18"/>
          <w:szCs w:val="18"/>
        </w:rPr>
      </w:pPr>
      <w:r>
        <w:rPr>
          <w:rStyle w:val="Caracteresdenotaderodap"/>
        </w:rPr>
        <w:footnoteRef/>
      </w:r>
      <w:r>
        <w:rPr>
          <w:rFonts w:ascii="Quattrocento Sans" w:hAnsi="Quattrocento Sans"/>
          <w:sz w:val="18"/>
          <w:szCs w:val="18"/>
        </w:rPr>
        <w:t xml:space="preserve"> </w:t>
      </w:r>
      <w:r>
        <w:rPr>
          <w:rFonts w:eastAsia="Quattrocento Sans" w:cs="Quattrocento Sans" w:ascii="Quattrocento Sans" w:hAnsi="Quattrocento Sans"/>
          <w:i/>
          <w:iCs/>
          <w:color w:val="2F5496"/>
          <w:sz w:val="18"/>
          <w:szCs w:val="18"/>
        </w:rPr>
        <w:t>Art. 12. A execução e a gestão do Programa Bolsa Família são públicas e governamentais e ocorrerão de forma descentralizada, por meio da conjugação de esforços entre os entes federativos, observados a intersetorialidade, a participação comunitária e o controle social.</w:t>
      </w:r>
    </w:p>
  </w:footnote>
  <w:footnote w:id="3">
    <w:p>
      <w:pPr>
        <w:pStyle w:val="Normal"/>
        <w:rPr>
          <w:rFonts w:ascii="Quattrocento Sans" w:hAnsi="Quattrocento Sans" w:cs="Segoe UI"/>
          <w:i/>
          <w:i/>
          <w:iCs/>
          <w:color w:val="1F497D"/>
          <w:sz w:val="18"/>
          <w:szCs w:val="18"/>
        </w:rPr>
      </w:pPr>
      <w:r>
        <w:rPr>
          <w:rStyle w:val="Caracteresdenotaderodap"/>
        </w:rPr>
        <w:footnoteRef/>
      </w:r>
      <w:r>
        <w:rPr>
          <w:rFonts w:cs="Segoe UI" w:ascii="Quattrocento Sans" w:hAnsi="Quattrocento Sans"/>
          <w:i/>
          <w:iCs/>
          <w:color w:val="1F497D"/>
          <w:sz w:val="18"/>
          <w:szCs w:val="18"/>
        </w:rPr>
        <w:t xml:space="preserve"> </w:t>
      </w:r>
      <w:r>
        <w:rPr>
          <w:rFonts w:cs="Segoe UI" w:ascii="Quattrocento Sans" w:hAnsi="Quattrocento Sans"/>
          <w:i/>
          <w:iCs/>
          <w:color w:val="1F497D"/>
          <w:sz w:val="18"/>
          <w:szCs w:val="18"/>
        </w:rPr>
        <w:t>Os incisos VII a IX foram incluídos pela Portaria MDS 1.003/2024, após acordo com efeitos nacionais firmado nos autos da Ação Civil Pública nº 5024187-38.2024.4.04.7100/RS, ajuizada pelo Defensor Regional de Direitos Humanos da Defensoria Pública da União do Rio Grande do Sul.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color w:val="000000"/>
      </w:rPr>
    </w:pPr>
    <w:r>
      <w:rPr>
        <w:color w:val="000000"/>
      </w:rPr>
    </w:r>
  </w:p>
  <w:p>
    <w:pPr>
      <w:pStyle w:val="Normal"/>
      <w:tabs>
        <w:tab w:val="clear" w:pos="720"/>
        <w:tab w:val="center" w:pos="4252" w:leader="none"/>
        <w:tab w:val="right" w:pos="8504" w:leader="none"/>
      </w:tabs>
      <w:jc w:val="right"/>
      <w:rPr>
        <w:color w:val="000000"/>
      </w:rPr>
    </w:pPr>
    <w:r>
      <w:rPr>
        <w:color w:val="000000"/>
      </w:rPr>
    </w:r>
  </w:p>
  <w:p>
    <w:pPr>
      <w:pStyle w:val="Normal"/>
      <w:tabs>
        <w:tab w:val="clear" w:pos="720"/>
        <w:tab w:val="center" w:pos="4252" w:leader="none"/>
        <w:tab w:val="right" w:pos="8504" w:leader="none"/>
      </w:tabs>
      <w:jc w:val="right"/>
      <w:rPr>
        <w:color w:val="1F497D"/>
      </w:rPr>
    </w:pPr>
    <w:r>
      <w:rPr>
        <w:color w:val="1F497D"/>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114300" distR="114300" simplePos="0" locked="0" layoutInCell="0" allowOverlap="1" relativeHeight="2">
          <wp:simplePos x="0" y="0"/>
          <wp:positionH relativeFrom="column">
            <wp:posOffset>-720090</wp:posOffset>
          </wp:positionH>
          <wp:positionV relativeFrom="paragraph">
            <wp:posOffset>635</wp:posOffset>
          </wp:positionV>
          <wp:extent cx="7552690" cy="2232660"/>
          <wp:effectExtent l="0" t="0" r="0" b="0"/>
          <wp:wrapSquare wrapText="bothSides"/>
          <wp:docPr id="2" name="image1.png" descr="Padrão do plano de f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Padrão do plano de fundo"/>
                  <pic:cNvPicPr>
                    <a:picLocks noChangeAspect="1" noChangeArrowheads="1"/>
                  </pic:cNvPicPr>
                </pic:nvPicPr>
                <pic:blipFill>
                  <a:blip r:embed="rId1"/>
                  <a:stretch>
                    <a:fillRect/>
                  </a:stretch>
                </pic:blipFill>
                <pic:spPr bwMode="auto">
                  <a:xfrm>
                    <a:off x="0" y="0"/>
                    <a:ext cx="7552690" cy="223266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lowerLetter"/>
      <w:lvlText w:val="(%1)"/>
      <w:lvlJc w:val="left"/>
      <w:pPr>
        <w:tabs>
          <w:tab w:val="num" w:pos="0"/>
        </w:tabs>
        <w:ind w:left="2203" w:hanging="360"/>
      </w:pPr>
      <w:rPr>
        <w:b w:val="false"/>
        <w:bCs w:val="false"/>
        <w:color w:val="2F5496"/>
      </w:rPr>
    </w:lvl>
    <w:lvl w:ilvl="1">
      <w:start w:val="1"/>
      <w:numFmt w:val="lowerLetter"/>
      <w:lvlText w:val="%2."/>
      <w:lvlJc w:val="left"/>
      <w:pPr>
        <w:tabs>
          <w:tab w:val="num" w:pos="0"/>
        </w:tabs>
        <w:ind w:left="2923" w:hanging="360"/>
      </w:pPr>
      <w:rPr/>
    </w:lvl>
    <w:lvl w:ilvl="2">
      <w:start w:val="1"/>
      <w:numFmt w:val="lowerRoman"/>
      <w:lvlText w:val="%3."/>
      <w:lvlJc w:val="right"/>
      <w:pPr>
        <w:tabs>
          <w:tab w:val="num" w:pos="0"/>
        </w:tabs>
        <w:ind w:left="3643" w:hanging="180"/>
      </w:pPr>
      <w:rPr/>
    </w:lvl>
    <w:lvl w:ilvl="3">
      <w:start w:val="1"/>
      <w:numFmt w:val="decimal"/>
      <w:lvlText w:val="%4."/>
      <w:lvlJc w:val="left"/>
      <w:pPr>
        <w:tabs>
          <w:tab w:val="num" w:pos="0"/>
        </w:tabs>
        <w:ind w:left="4363" w:hanging="360"/>
      </w:pPr>
      <w:rPr/>
    </w:lvl>
    <w:lvl w:ilvl="4">
      <w:start w:val="1"/>
      <w:numFmt w:val="lowerLetter"/>
      <w:lvlText w:val="%5."/>
      <w:lvlJc w:val="left"/>
      <w:pPr>
        <w:tabs>
          <w:tab w:val="num" w:pos="0"/>
        </w:tabs>
        <w:ind w:left="5083" w:hanging="360"/>
      </w:pPr>
      <w:rPr/>
    </w:lvl>
    <w:lvl w:ilvl="5">
      <w:start w:val="1"/>
      <w:numFmt w:val="lowerRoman"/>
      <w:lvlText w:val="%6."/>
      <w:lvlJc w:val="right"/>
      <w:pPr>
        <w:tabs>
          <w:tab w:val="num" w:pos="0"/>
        </w:tabs>
        <w:ind w:left="5803" w:hanging="180"/>
      </w:pPr>
      <w:rPr/>
    </w:lvl>
    <w:lvl w:ilvl="6">
      <w:start w:val="1"/>
      <w:numFmt w:val="decimal"/>
      <w:lvlText w:val="%7."/>
      <w:lvlJc w:val="left"/>
      <w:pPr>
        <w:tabs>
          <w:tab w:val="num" w:pos="0"/>
        </w:tabs>
        <w:ind w:left="6523" w:hanging="360"/>
      </w:pPr>
      <w:rPr/>
    </w:lvl>
    <w:lvl w:ilvl="7">
      <w:start w:val="1"/>
      <w:numFmt w:val="lowerLetter"/>
      <w:lvlText w:val="%8."/>
      <w:lvlJc w:val="left"/>
      <w:pPr>
        <w:tabs>
          <w:tab w:val="num" w:pos="0"/>
        </w:tabs>
        <w:ind w:left="7243" w:hanging="360"/>
      </w:pPr>
      <w:rPr/>
    </w:lvl>
    <w:lvl w:ilvl="8">
      <w:start w:val="1"/>
      <w:numFmt w:val="lowerRoman"/>
      <w:lvlText w:val="%9."/>
      <w:lvlJc w:val="right"/>
      <w:pPr>
        <w:tabs>
          <w:tab w:val="num" w:pos="0"/>
        </w:tabs>
        <w:ind w:left="7963" w:hanging="180"/>
      </w:pPr>
      <w:rPr/>
    </w:lvl>
  </w:abstractNum>
  <w:abstractNum w:abstractNumId="3">
    <w:lvl w:ilvl="0">
      <w:start w:val="1"/>
      <w:numFmt w:val="lowerLetter"/>
      <w:lvlText w:val="%1)"/>
      <w:lvlJc w:val="left"/>
      <w:pPr>
        <w:tabs>
          <w:tab w:val="num" w:pos="0"/>
        </w:tabs>
        <w:ind w:left="1777" w:hanging="360"/>
      </w:pPr>
      <w:rPr>
        <w:dstrike w:val="false"/>
        <w:strike w:val="false"/>
        <w:u w:val="none"/>
        <w:b/>
        <w:bCs/>
      </w:rPr>
    </w:lvl>
    <w:lvl w:ilvl="1">
      <w:start w:val="1"/>
      <w:numFmt w:val="lowerLetter"/>
      <w:lvlText w:val="%2."/>
      <w:lvlJc w:val="left"/>
      <w:pPr>
        <w:tabs>
          <w:tab w:val="num" w:pos="0"/>
        </w:tabs>
        <w:ind w:left="2497" w:hanging="360"/>
      </w:pPr>
      <w:rPr/>
    </w:lvl>
    <w:lvl w:ilvl="2">
      <w:start w:val="1"/>
      <w:numFmt w:val="lowerRoman"/>
      <w:lvlText w:val="%3."/>
      <w:lvlJc w:val="right"/>
      <w:pPr>
        <w:tabs>
          <w:tab w:val="num" w:pos="0"/>
        </w:tabs>
        <w:ind w:left="3217" w:hanging="180"/>
      </w:pPr>
      <w:rPr/>
    </w:lvl>
    <w:lvl w:ilvl="3">
      <w:start w:val="1"/>
      <w:numFmt w:val="decimal"/>
      <w:lvlText w:val="%4."/>
      <w:lvlJc w:val="left"/>
      <w:pPr>
        <w:tabs>
          <w:tab w:val="num" w:pos="0"/>
        </w:tabs>
        <w:ind w:left="3937" w:hanging="360"/>
      </w:pPr>
      <w:rPr/>
    </w:lvl>
    <w:lvl w:ilvl="4">
      <w:start w:val="1"/>
      <w:numFmt w:val="lowerLetter"/>
      <w:lvlText w:val="%5."/>
      <w:lvlJc w:val="left"/>
      <w:pPr>
        <w:tabs>
          <w:tab w:val="num" w:pos="0"/>
        </w:tabs>
        <w:ind w:left="4657" w:hanging="360"/>
      </w:pPr>
      <w:rPr/>
    </w:lvl>
    <w:lvl w:ilvl="5">
      <w:start w:val="1"/>
      <w:numFmt w:val="lowerRoman"/>
      <w:lvlText w:val="%6."/>
      <w:lvlJc w:val="right"/>
      <w:pPr>
        <w:tabs>
          <w:tab w:val="num" w:pos="0"/>
        </w:tabs>
        <w:ind w:left="5377" w:hanging="180"/>
      </w:pPr>
      <w:rPr/>
    </w:lvl>
    <w:lvl w:ilvl="6">
      <w:start w:val="1"/>
      <w:numFmt w:val="decimal"/>
      <w:lvlText w:val="%7."/>
      <w:lvlJc w:val="left"/>
      <w:pPr>
        <w:tabs>
          <w:tab w:val="num" w:pos="0"/>
        </w:tabs>
        <w:ind w:left="6097" w:hanging="360"/>
      </w:pPr>
      <w:rPr/>
    </w:lvl>
    <w:lvl w:ilvl="7">
      <w:start w:val="1"/>
      <w:numFmt w:val="lowerLetter"/>
      <w:lvlText w:val="%8."/>
      <w:lvlJc w:val="left"/>
      <w:pPr>
        <w:tabs>
          <w:tab w:val="num" w:pos="0"/>
        </w:tabs>
        <w:ind w:left="6817" w:hanging="360"/>
      </w:pPr>
      <w:rPr/>
    </w:lvl>
    <w:lvl w:ilvl="8">
      <w:start w:val="1"/>
      <w:numFmt w:val="lowerRoman"/>
      <w:lvlText w:val="%9."/>
      <w:lvlJc w:val="right"/>
      <w:pPr>
        <w:tabs>
          <w:tab w:val="num" w:pos="0"/>
        </w:tabs>
        <w:ind w:left="7537"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425"/>
  <w:footnotePr>
    <w:numFmt w:val="decimal"/>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WeblySleek UI Semibold" w:hAnsi="WeblySleek UI Semibold" w:eastAsia="WeblySleek UI Semibold" w:cs="WeblySleek UI Semibold"/>
        <w:sz w:val="22"/>
        <w:szCs w:val="22"/>
        <w:lang w:val="pt-BR" w:eastAsia="pt-BR" w:bidi="ar-SA"/>
      </w:rPr>
    </w:rPrDefault>
    <w:pPrDefault>
      <w:pPr>
        <w:suppressAutoHyphens w:val="true"/>
      </w:pPr>
    </w:pPrDefault>
  </w:docDefaults>
  <w:style w:type="paragraph" w:styleId="Normal">
    <w:name w:val="Normal"/>
    <w:qFormat/>
    <w:pPr>
      <w:widowControl w:val="false"/>
      <w:suppressAutoHyphens w:val="false"/>
      <w:kinsoku w:val="true"/>
      <w:overflowPunct w:val="true"/>
      <w:autoSpaceDE w:val="true"/>
      <w:bidi w:val="0"/>
      <w:spacing w:before="0" w:after="0"/>
      <w:jc w:val="left"/>
    </w:pPr>
    <w:rPr>
      <w:rFonts w:ascii="WeblySleek UI Semibold" w:hAnsi="WeblySleek UI Semibold" w:eastAsia="WeblySleek UI Semibold" w:cs="WeblySleek UI Semibold"/>
      <w:color w:val="auto"/>
      <w:kern w:val="0"/>
      <w:sz w:val="22"/>
      <w:szCs w:val="22"/>
      <w:lang w:val="pt-BR" w:eastAsia="pt-BR" w:bidi="ar-SA"/>
    </w:rPr>
  </w:style>
  <w:style w:type="paragraph" w:styleId="Ttulo1">
    <w:name w:val="Heading 1"/>
    <w:basedOn w:val="Normal"/>
    <w:next w:val="Normal"/>
    <w:qFormat/>
    <w:pPr>
      <w:keepNext w:val="true"/>
      <w:keepLines/>
      <w:numPr>
        <w:ilvl w:val="0"/>
        <w:numId w:val="0"/>
      </w:numPr>
      <w:spacing w:before="360" w:after="80"/>
      <w:outlineLvl w:val="0"/>
    </w:pPr>
    <w:rPr>
      <w:rFonts w:ascii="Play" w:hAnsi="Play" w:eastAsia="Play" w:cs="Play"/>
      <w:color w:val="0F4761"/>
      <w:sz w:val="40"/>
      <w:szCs w:val="40"/>
    </w:rPr>
  </w:style>
  <w:style w:type="paragraph" w:styleId="Ttulo2">
    <w:name w:val="Heading 2"/>
    <w:basedOn w:val="Normal"/>
    <w:next w:val="Normal"/>
    <w:qFormat/>
    <w:pPr>
      <w:keepNext w:val="true"/>
      <w:keepLines/>
      <w:numPr>
        <w:ilvl w:val="0"/>
        <w:numId w:val="0"/>
      </w:numPr>
      <w:spacing w:before="160" w:after="80"/>
      <w:outlineLvl w:val="1"/>
    </w:pPr>
    <w:rPr>
      <w:rFonts w:ascii="Play" w:hAnsi="Play" w:eastAsia="Play" w:cs="Play"/>
      <w:color w:val="0F4761"/>
      <w:sz w:val="32"/>
      <w:szCs w:val="32"/>
    </w:rPr>
  </w:style>
  <w:style w:type="paragraph" w:styleId="Ttulo3">
    <w:name w:val="Heading 3"/>
    <w:basedOn w:val="Normal"/>
    <w:next w:val="Normal"/>
    <w:qFormat/>
    <w:pPr>
      <w:keepNext w:val="true"/>
      <w:keepLines/>
      <w:numPr>
        <w:ilvl w:val="0"/>
        <w:numId w:val="0"/>
      </w:numPr>
      <w:spacing w:before="160" w:after="80"/>
      <w:outlineLvl w:val="2"/>
    </w:pPr>
    <w:rPr>
      <w:color w:val="0F4761"/>
      <w:sz w:val="28"/>
      <w:szCs w:val="28"/>
    </w:rPr>
  </w:style>
  <w:style w:type="paragraph" w:styleId="Ttulo4">
    <w:name w:val="Heading 4"/>
    <w:basedOn w:val="Normal"/>
    <w:next w:val="Normal"/>
    <w:qFormat/>
    <w:pPr>
      <w:keepNext w:val="true"/>
      <w:keepLines/>
      <w:numPr>
        <w:ilvl w:val="0"/>
        <w:numId w:val="0"/>
      </w:numPr>
      <w:spacing w:before="80" w:after="40"/>
      <w:outlineLvl w:val="3"/>
    </w:pPr>
    <w:rPr>
      <w:i/>
      <w:iCs/>
      <w:color w:val="0F4761"/>
    </w:rPr>
  </w:style>
  <w:style w:type="paragraph" w:styleId="Ttulo5">
    <w:name w:val="Heading 5"/>
    <w:basedOn w:val="Normal"/>
    <w:next w:val="Normal"/>
    <w:qFormat/>
    <w:pPr>
      <w:keepNext w:val="true"/>
      <w:keepLines/>
      <w:numPr>
        <w:ilvl w:val="0"/>
        <w:numId w:val="0"/>
      </w:numPr>
      <w:spacing w:before="80" w:after="40"/>
      <w:outlineLvl w:val="4"/>
    </w:pPr>
    <w:rPr>
      <w:color w:val="0F4761"/>
    </w:rPr>
  </w:style>
  <w:style w:type="paragraph" w:styleId="Ttulo6">
    <w:name w:val="Heading 6"/>
    <w:basedOn w:val="Normal"/>
    <w:next w:val="Normal"/>
    <w:qFormat/>
    <w:pPr>
      <w:keepNext w:val="true"/>
      <w:keepLines/>
      <w:numPr>
        <w:ilvl w:val="0"/>
        <w:numId w:val="0"/>
      </w:numPr>
      <w:spacing w:before="40" w:after="0"/>
      <w:outlineLvl w:val="5"/>
    </w:pPr>
    <w:rPr>
      <w:i/>
      <w:iCs/>
      <w:color w:val="595959"/>
    </w:rPr>
  </w:style>
  <w:style w:type="paragraph" w:styleId="Ttulo7">
    <w:name w:val="Heading 7"/>
    <w:basedOn w:val="Normal"/>
    <w:next w:val="Normal"/>
    <w:link w:val="Heading7Char"/>
    <w:qFormat/>
    <w:pPr>
      <w:keepNext w:val="true"/>
      <w:keepLines/>
      <w:numPr>
        <w:ilvl w:val="0"/>
        <w:numId w:val="0"/>
      </w:numPr>
      <w:spacing w:before="40" w:after="0"/>
      <w:outlineLvl w:val="6"/>
    </w:pPr>
    <w:rPr>
      <w:rFonts w:ascii="Arial" w:hAnsi="Arial" w:eastAsia="Arial" w:cs="Arial"/>
      <w:color w:val="595959"/>
    </w:rPr>
  </w:style>
  <w:style w:type="paragraph" w:styleId="Ttulo8">
    <w:name w:val="Heading 8"/>
    <w:basedOn w:val="Normal"/>
    <w:next w:val="Normal"/>
    <w:link w:val="Heading8Char"/>
    <w:qFormat/>
    <w:pPr>
      <w:keepNext w:val="true"/>
      <w:keepLines/>
      <w:numPr>
        <w:ilvl w:val="0"/>
        <w:numId w:val="0"/>
      </w:numPr>
      <w:spacing w:before="0" w:after="0"/>
      <w:outlineLvl w:val="7"/>
    </w:pPr>
    <w:rPr>
      <w:rFonts w:ascii="Arial" w:hAnsi="Arial" w:eastAsia="Arial" w:cs="Arial"/>
      <w:i/>
      <w:iCs/>
      <w:color w:val="272727"/>
    </w:rPr>
  </w:style>
  <w:style w:type="paragraph" w:styleId="Ttulo9">
    <w:name w:val="Heading 9"/>
    <w:basedOn w:val="Normal"/>
    <w:next w:val="Normal"/>
    <w:link w:val="Heading9Char"/>
    <w:qFormat/>
    <w:pPr>
      <w:keepNext w:val="true"/>
      <w:keepLines/>
      <w:numPr>
        <w:ilvl w:val="0"/>
        <w:numId w:val="0"/>
      </w:numPr>
      <w:spacing w:before="0" w:after="0"/>
      <w:outlineLvl w:val="8"/>
    </w:pPr>
    <w:rPr>
      <w:rFonts w:ascii="Arial" w:hAnsi="Arial" w:eastAsia="Arial" w:cs="Arial"/>
      <w:i/>
      <w:iCs/>
      <w:color w:val="272727"/>
    </w:rPr>
  </w:style>
  <w:style w:type="character" w:styleId="Heading1Char">
    <w:name w:val="Heading 1 Char"/>
    <w:basedOn w:val="DefaultParagraphFont"/>
    <w:qFormat/>
    <w:rPr>
      <w:rFonts w:ascii="Arial" w:hAnsi="Arial" w:eastAsia="Arial" w:cs="Arial"/>
      <w:color w:val="0F4761"/>
      <w:sz w:val="40"/>
      <w:szCs w:val="40"/>
    </w:rPr>
  </w:style>
  <w:style w:type="character" w:styleId="Heading2Char">
    <w:name w:val="Heading 2 Char"/>
    <w:basedOn w:val="DefaultParagraphFont"/>
    <w:qFormat/>
    <w:rPr>
      <w:rFonts w:ascii="Arial" w:hAnsi="Arial" w:eastAsia="Arial" w:cs="Arial"/>
      <w:color w:val="0F4761"/>
      <w:sz w:val="32"/>
      <w:szCs w:val="32"/>
    </w:rPr>
  </w:style>
  <w:style w:type="character" w:styleId="Heading3Char">
    <w:name w:val="Heading 3 Char"/>
    <w:basedOn w:val="DefaultParagraphFont"/>
    <w:qFormat/>
    <w:rPr>
      <w:rFonts w:ascii="Arial" w:hAnsi="Arial" w:eastAsia="Arial" w:cs="Arial"/>
      <w:color w:val="0F4761"/>
      <w:sz w:val="28"/>
      <w:szCs w:val="28"/>
    </w:rPr>
  </w:style>
  <w:style w:type="character" w:styleId="Heading4Char">
    <w:name w:val="Heading 4 Char"/>
    <w:basedOn w:val="DefaultParagraphFont"/>
    <w:qFormat/>
    <w:rPr>
      <w:rFonts w:ascii="Arial" w:hAnsi="Arial" w:eastAsia="Arial" w:cs="Arial"/>
      <w:i/>
      <w:iCs/>
      <w:color w:val="0F4761"/>
    </w:rPr>
  </w:style>
  <w:style w:type="character" w:styleId="Heading5Char">
    <w:name w:val="Heading 5 Char"/>
    <w:basedOn w:val="DefaultParagraphFont"/>
    <w:qFormat/>
    <w:rPr>
      <w:rFonts w:ascii="Arial" w:hAnsi="Arial" w:eastAsia="Arial" w:cs="Arial"/>
      <w:color w:val="0F4761"/>
    </w:rPr>
  </w:style>
  <w:style w:type="character" w:styleId="Heading6Char">
    <w:name w:val="Heading 6 Char"/>
    <w:basedOn w:val="DefaultParagraphFont"/>
    <w:qFormat/>
    <w:rPr>
      <w:rFonts w:ascii="Arial" w:hAnsi="Arial" w:eastAsia="Arial" w:cs="Arial"/>
      <w:i/>
      <w:iCs/>
      <w:color w:val="595959"/>
    </w:rPr>
  </w:style>
  <w:style w:type="character" w:styleId="Heading7Char">
    <w:name w:val="Heading 7 Char"/>
    <w:basedOn w:val="DefaultParagraphFont"/>
    <w:qFormat/>
    <w:rPr>
      <w:rFonts w:ascii="Arial" w:hAnsi="Arial" w:eastAsia="Arial" w:cs="Arial"/>
      <w:color w:val="595959"/>
    </w:rPr>
  </w:style>
  <w:style w:type="character" w:styleId="Heading8Char">
    <w:name w:val="Heading 8 Char"/>
    <w:basedOn w:val="DefaultParagraphFont"/>
    <w:qFormat/>
    <w:rPr>
      <w:rFonts w:ascii="Arial" w:hAnsi="Arial" w:eastAsia="Arial" w:cs="Arial"/>
      <w:i/>
      <w:iCs/>
      <w:color w:val="272727"/>
    </w:rPr>
  </w:style>
  <w:style w:type="character" w:styleId="Heading9Char">
    <w:name w:val="Heading 9 Char"/>
    <w:basedOn w:val="DefaultParagraphFont"/>
    <w:qFormat/>
    <w:rPr>
      <w:rFonts w:ascii="Arial" w:hAnsi="Arial" w:eastAsia="Arial" w:cs="Arial"/>
      <w:i/>
      <w:iCs/>
      <w:color w:val="272727"/>
    </w:rPr>
  </w:style>
  <w:style w:type="character" w:styleId="TitleChar">
    <w:name w:val="Title Char"/>
    <w:basedOn w:val="DefaultParagraphFont"/>
    <w:qFormat/>
    <w:rPr>
      <w:rFonts w:ascii="Arial" w:hAnsi="Arial" w:eastAsia="Arial" w:cs="Arial"/>
      <w:spacing w:val="-10"/>
      <w:sz w:val="56"/>
      <w:szCs w:val="56"/>
    </w:rPr>
  </w:style>
  <w:style w:type="character" w:styleId="SubtitleChar">
    <w:name w:val="Subtitle Char"/>
    <w:basedOn w:val="DefaultParagraphFont"/>
    <w:qFormat/>
    <w:rPr>
      <w:color w:val="595959"/>
      <w:spacing w:val="15"/>
      <w:sz w:val="28"/>
      <w:szCs w:val="28"/>
    </w:rPr>
  </w:style>
  <w:style w:type="character" w:styleId="QuoteChar">
    <w:name w:val="Quote Char"/>
    <w:basedOn w:val="DefaultParagraphFont"/>
    <w:link w:val="Quote"/>
    <w:qFormat/>
    <w:rPr>
      <w:i/>
      <w:iCs/>
      <w:color w:val="404040"/>
    </w:rPr>
  </w:style>
  <w:style w:type="character" w:styleId="IntenseEmphasis">
    <w:name w:val="Intense Emphasis"/>
    <w:basedOn w:val="DefaultParagraphFont"/>
    <w:qFormat/>
    <w:rPr>
      <w:i/>
      <w:iCs/>
      <w:color w:val="0F4761"/>
    </w:rPr>
  </w:style>
  <w:style w:type="character" w:styleId="IntenseQuoteChar">
    <w:name w:val="Intense Quote Char"/>
    <w:basedOn w:val="DefaultParagraphFont"/>
    <w:link w:val="IntenseQuote"/>
    <w:qFormat/>
    <w:rPr>
      <w:i/>
      <w:iCs/>
      <w:color w:val="0F4761"/>
    </w:rPr>
  </w:style>
  <w:style w:type="character" w:styleId="IntenseReference">
    <w:name w:val="Intense Reference"/>
    <w:basedOn w:val="DefaultParagraphFont"/>
    <w:qFormat/>
    <w:rPr>
      <w:b/>
      <w:bCs/>
      <w:smallCaps/>
      <w:color w:val="0F4761"/>
      <w:spacing w:val="5"/>
    </w:rPr>
  </w:style>
  <w:style w:type="character" w:styleId="SubtleEmphasis">
    <w:name w:val="Subtle Emphasis"/>
    <w:basedOn w:val="DefaultParagraphFont"/>
    <w:qFormat/>
    <w:rPr>
      <w:i/>
      <w:iCs/>
      <w:color w:val="404040"/>
    </w:rPr>
  </w:style>
  <w:style w:type="character" w:styleId="SubtleReference">
    <w:name w:val="Subtle Reference"/>
    <w:basedOn w:val="DefaultParagraphFont"/>
    <w:qFormat/>
    <w:rPr>
      <w:smallCaps/>
      <w:color w:val="5A5A5A"/>
    </w:rPr>
  </w:style>
  <w:style w:type="character" w:styleId="BookTitle">
    <w:name w:val="Book Title"/>
    <w:basedOn w:val="DefaultParagraphFont"/>
    <w:qFormat/>
    <w:rPr>
      <w:b/>
      <w:bCs/>
      <w:i/>
      <w:iCs/>
      <w:spacing w:val="5"/>
    </w:rPr>
  </w:style>
  <w:style w:type="character" w:styleId="HeaderChar">
    <w:name w:val="Header Char"/>
    <w:basedOn w:val="DefaultParagraphFont"/>
    <w:qFormat/>
    <w:rPr/>
  </w:style>
  <w:style w:type="character" w:styleId="FooterChar">
    <w:name w:val="Footer Char"/>
    <w:basedOn w:val="DefaultParagraphFont"/>
    <w:qFormat/>
    <w:rPr/>
  </w:style>
  <w:style w:type="character" w:styleId="EndnoteTextChar">
    <w:name w:val="Endnote Text Char"/>
    <w:basedOn w:val="DefaultParagraphFont"/>
    <w:qFormat/>
    <w:rPr>
      <w:sz w:val="20"/>
      <w:szCs w:val="20"/>
    </w:rPr>
  </w:style>
  <w:style w:type="character" w:styleId="Linkdainternetvisitado">
    <w:name w:val="FollowedHyperlink"/>
    <w:basedOn w:val="DefaultParagraphFont"/>
    <w:rPr>
      <w:color w:val="954F72"/>
      <w:u w:val="single"/>
    </w:rPr>
  </w:style>
  <w:style w:type="character" w:styleId="PlaceholderText">
    <w:name w:val="Placeholder Text"/>
    <w:basedOn w:val="DefaultParagraphFont"/>
    <w:qFormat/>
    <w:rPr>
      <w:color w:val="666666"/>
    </w:rPr>
  </w:style>
  <w:style w:type="character" w:styleId="DefaultParagraphFont">
    <w:name w:val="Default Paragraph Font"/>
    <w:qFormat/>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FootnoteTextChar">
    <w:name w:val="Footnote Text Char"/>
    <w:basedOn w:val="DefaultParagraphFont"/>
    <w:qFormat/>
    <w:rPr>
      <w:sz w:val="20"/>
      <w:szCs w:val="20"/>
    </w:rPr>
  </w:style>
  <w:style w:type="character" w:styleId="Caracteresdenotaderodap">
    <w:name w:val="Caracteres de nota de rodapé"/>
    <w:qFormat/>
    <w:rPr>
      <w:vertAlign w:val="superscript"/>
    </w:rPr>
  </w:style>
  <w:style w:type="character" w:styleId="Ncoradanotaderodap">
    <w:name w:val="Footnote Reference"/>
    <w:rPr>
      <w:vertAlign w:val="superscript"/>
    </w:rPr>
  </w:style>
  <w:style w:type="character" w:styleId="LinkdaInternet">
    <w:name w:val="Hyperlink"/>
    <w:basedOn w:val="DefaultParagraphFont"/>
    <w:rPr>
      <w:color w:val="0000FF"/>
      <w:u w:val="single"/>
    </w:rPr>
  </w:style>
  <w:style w:type="character" w:styleId="UnresolvedMention">
    <w:name w:val="Unresolved Mention"/>
    <w:basedOn w:val="DefaultParagraphFont"/>
    <w:qFormat/>
    <w:rPr>
      <w:color w:val="605E5C"/>
      <w:shd w:fill="E1DFDD" w:val="clear"/>
    </w:rPr>
  </w:style>
  <w:style w:type="character" w:styleId="Caracteresdenotadefim">
    <w:name w:val="Caracteres de nota de fim"/>
    <w:qFormat/>
    <w:rPr>
      <w:vertAlign w:val="superscript"/>
    </w:rPr>
  </w:style>
  <w:style w:type="character" w:styleId="Ncoradanotadefim">
    <w:name w:val="Endnote Reference"/>
    <w:rPr>
      <w:vertAlign w:val="superscript"/>
    </w:rPr>
  </w:style>
  <w:style w:type="character" w:styleId="Strong">
    <w:name w:val="Strong"/>
    <w:qFormat/>
    <w:rPr>
      <w:b/>
      <w:bCs/>
    </w:rPr>
  </w:style>
  <w:style w:type="character" w:styleId="Nfase">
    <w:name w:val="Emphasis"/>
    <w:qFormat/>
    <w:rPr>
      <w:i/>
      <w:iCs/>
    </w:rPr>
  </w:style>
  <w:style w:type="character" w:styleId="Smbolosdenumerao">
    <w:name w:val="Símbolos de numeração"/>
    <w:qFormat/>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Quote">
    <w:name w:val="Quote"/>
    <w:basedOn w:val="Normal"/>
    <w:next w:val="Normal"/>
    <w:link w:val="QuoteChar"/>
    <w:qFormat/>
    <w:pPr>
      <w:spacing w:before="160" w:after="0"/>
      <w:jc w:val="center"/>
    </w:pPr>
    <w:rPr>
      <w:i/>
      <w:iCs/>
      <w:color w:val="404040"/>
    </w:rPr>
  </w:style>
  <w:style w:type="paragraph" w:styleId="IntenseQuote">
    <w:name w:val="Intense Quote"/>
    <w:basedOn w:val="Normal"/>
    <w:next w:val="Normal"/>
    <w:link w:val="IntenseQuoteChar"/>
    <w:qFormat/>
    <w:pPr>
      <w:pBdr>
        <w:top w:val="single" w:sz="4" w:space="10" w:color="0F4761"/>
        <w:bottom w:val="single" w:sz="4" w:space="10" w:color="0F4761"/>
      </w:pBdr>
      <w:spacing w:before="360" w:after="360"/>
      <w:ind w:left="864" w:right="864" w:hanging="0"/>
      <w:jc w:val="center"/>
    </w:pPr>
    <w:rPr>
      <w:i/>
      <w:iCs/>
      <w:color w:val="0F4761"/>
    </w:rPr>
  </w:style>
  <w:style w:type="paragraph" w:styleId="NoSpacing">
    <w:name w:val="No Spacing"/>
    <w:basedOn w:val="Normal"/>
    <w:qFormat/>
    <w:pPr>
      <w:spacing w:lineRule="auto" w:line="240" w:before="0" w:after="0"/>
    </w:pPr>
    <w:rPr/>
  </w:style>
  <w:style w:type="paragraph" w:styleId="Notadefim">
    <w:name w:val="Endnote Text"/>
    <w:basedOn w:val="Normal"/>
    <w:link w:val="EndnoteTextChar"/>
    <w:pPr>
      <w:spacing w:lineRule="auto" w:line="240" w:before="0" w:after="0"/>
    </w:pPr>
    <w:rPr>
      <w:sz w:val="20"/>
      <w:szCs w:val="20"/>
    </w:rPr>
  </w:style>
  <w:style w:type="paragraph" w:styleId="Sumrio1">
    <w:name w:val="TOC 1"/>
    <w:basedOn w:val="Normal"/>
    <w:next w:val="Normal"/>
    <w:pPr>
      <w:spacing w:before="0" w:after="100"/>
    </w:pPr>
    <w:rPr/>
  </w:style>
  <w:style w:type="paragraph" w:styleId="Sumrio2">
    <w:name w:val="TOC 2"/>
    <w:basedOn w:val="Normal"/>
    <w:next w:val="Normal"/>
    <w:pPr>
      <w:spacing w:before="0" w:after="100"/>
      <w:ind w:left="220" w:right="0" w:hanging="0"/>
    </w:pPr>
    <w:rPr/>
  </w:style>
  <w:style w:type="paragraph" w:styleId="Sumrio3">
    <w:name w:val="TOC 3"/>
    <w:basedOn w:val="Normal"/>
    <w:next w:val="Normal"/>
    <w:pPr>
      <w:spacing w:before="0" w:after="100"/>
      <w:ind w:left="440" w:right="0" w:hanging="0"/>
    </w:pPr>
    <w:rPr/>
  </w:style>
  <w:style w:type="paragraph" w:styleId="Sumrio4">
    <w:name w:val="TOC 4"/>
    <w:basedOn w:val="Normal"/>
    <w:next w:val="Normal"/>
    <w:pPr>
      <w:spacing w:before="0" w:after="100"/>
      <w:ind w:left="660" w:right="0" w:hanging="0"/>
    </w:pPr>
    <w:rPr/>
  </w:style>
  <w:style w:type="paragraph" w:styleId="Sumrio5">
    <w:name w:val="TOC 5"/>
    <w:basedOn w:val="Normal"/>
    <w:next w:val="Normal"/>
    <w:pPr>
      <w:spacing w:before="0" w:after="100"/>
      <w:ind w:left="880" w:right="0" w:hanging="0"/>
    </w:pPr>
    <w:rPr/>
  </w:style>
  <w:style w:type="paragraph" w:styleId="Sumrio6">
    <w:name w:val="TOC 6"/>
    <w:basedOn w:val="Normal"/>
    <w:next w:val="Normal"/>
    <w:pPr>
      <w:spacing w:before="0" w:after="100"/>
      <w:ind w:left="1100" w:right="0" w:hanging="0"/>
    </w:pPr>
    <w:rPr/>
  </w:style>
  <w:style w:type="paragraph" w:styleId="Sumrio7">
    <w:name w:val="TOC 7"/>
    <w:basedOn w:val="Normal"/>
    <w:next w:val="Normal"/>
    <w:pPr>
      <w:spacing w:before="0" w:after="100"/>
      <w:ind w:left="1320" w:right="0" w:hanging="0"/>
    </w:pPr>
    <w:rPr/>
  </w:style>
  <w:style w:type="paragraph" w:styleId="Sumrio8">
    <w:name w:val="TOC 8"/>
    <w:basedOn w:val="Normal"/>
    <w:next w:val="Normal"/>
    <w:pPr>
      <w:spacing w:before="0" w:after="100"/>
      <w:ind w:left="1540" w:right="0" w:hanging="0"/>
    </w:pPr>
    <w:rPr/>
  </w:style>
  <w:style w:type="paragraph" w:styleId="Sumrio9">
    <w:name w:val="TOC 9"/>
    <w:basedOn w:val="Normal"/>
    <w:next w:val="Normal"/>
    <w:pPr>
      <w:spacing w:before="0" w:after="100"/>
      <w:ind w:left="1760" w:right="0" w:hanging="0"/>
    </w:pPr>
    <w:rPr/>
  </w:style>
  <w:style w:type="paragraph" w:styleId="Ttulodondicealfabtico">
    <w:name w:val="Index Heading"/>
    <w:basedOn w:val="Ttulo"/>
    <w:pPr/>
    <w:rPr/>
  </w:style>
  <w:style w:type="paragraph" w:styleId="Ttulodosumrio">
    <w:name w:val="TOC Heading"/>
    <w:pPr>
      <w:widowControl/>
      <w:suppressAutoHyphens w:val="true"/>
      <w:kinsoku w:val="true"/>
      <w:overflowPunct w:val="true"/>
      <w:autoSpaceDE w:val="true"/>
      <w:bidi w:val="0"/>
      <w:spacing w:before="0" w:after="0"/>
      <w:jc w:val="left"/>
    </w:pPr>
    <w:rPr>
      <w:rFonts w:ascii="WeblySleek UI Semibold" w:hAnsi="WeblySleek UI Semibold" w:eastAsia="WeblySleek UI Semibold" w:cs="WeblySleek UI Semibold"/>
      <w:color w:val="auto"/>
      <w:kern w:val="0"/>
      <w:sz w:val="22"/>
      <w:szCs w:val="22"/>
      <w:lang w:val="pt-BR" w:eastAsia="pt-BR" w:bidi="ar-SA"/>
    </w:rPr>
  </w:style>
  <w:style w:type="paragraph" w:styleId="Tableoffigures">
    <w:name w:val="table of figures"/>
    <w:basedOn w:val="Normal"/>
    <w:next w:val="Normal"/>
    <w:qFormat/>
    <w:pPr>
      <w:spacing w:before="0" w:after="0"/>
    </w:pPr>
    <w:rPr/>
  </w:style>
  <w:style w:type="paragraph" w:styleId="Ttulododocumento">
    <w:name w:val="Title"/>
    <w:basedOn w:val="Normal"/>
    <w:next w:val="Corpodotexto"/>
    <w:qFormat/>
    <w:pPr>
      <w:spacing w:before="0" w:after="80"/>
    </w:pPr>
    <w:rPr>
      <w:rFonts w:ascii="Play" w:hAnsi="Play" w:eastAsia="Play" w:cs="Play"/>
      <w:sz w:val="56"/>
      <w:szCs w:val="56"/>
    </w:rPr>
  </w:style>
  <w:style w:type="paragraph" w:styleId="Subttulo">
    <w:name w:val="Subtitle"/>
    <w:basedOn w:val="Normal"/>
    <w:next w:val="Normal"/>
    <w:qFormat/>
    <w:pPr/>
    <w:rPr>
      <w:color w:val="595959"/>
      <w:sz w:val="28"/>
      <w:szCs w:val="28"/>
    </w:rPr>
  </w:style>
  <w:style w:type="paragraph" w:styleId="Annotationtext">
    <w:name w:val="annotation text"/>
    <w:basedOn w:val="Normal"/>
    <w:link w:val="CommentTextChar"/>
    <w:qFormat/>
    <w:pPr/>
    <w:rPr>
      <w:sz w:val="20"/>
      <w:szCs w:val="20"/>
    </w:rPr>
  </w:style>
  <w:style w:type="paragraph" w:styleId="Notaderodap">
    <w:name w:val="Footnote Text"/>
    <w:basedOn w:val="Normal"/>
    <w:link w:val="FootnoteTextChar"/>
    <w:pPr/>
    <w:rPr>
      <w:sz w:val="20"/>
      <w:szCs w:val="20"/>
    </w:rPr>
  </w:style>
  <w:style w:type="paragraph" w:styleId="ListParagraph">
    <w:name w:val="List Paragraph"/>
    <w:basedOn w:val="Normal"/>
    <w:qFormat/>
    <w:pPr>
      <w:spacing w:before="0" w:after="0"/>
      <w:ind w:left="720" w:right="0" w:hanging="0"/>
      <w:contextualSpacing/>
    </w:pPr>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paragraph" w:styleId="Linhahorizontal">
    <w:name w:val="Linha horizontal"/>
    <w:basedOn w:val="Normal"/>
    <w:next w:val="Corpodotexto"/>
    <w:qFormat/>
    <w:pPr>
      <w:suppressLineNumbers/>
      <w:pBdr>
        <w:bottom w:val="single" w:sz="2" w:space="0" w:color="808080"/>
      </w:pBdr>
      <w:spacing w:before="0" w:after="283"/>
    </w:pPr>
    <w:rPr>
      <w:sz w:val="12"/>
      <w:szCs w:val="12"/>
    </w:rPr>
  </w:style>
  <w:style w:type="paragraph" w:styleId="Citaes">
    <w:name w:val="Citações"/>
    <w:basedOn w:val="Normal"/>
    <w:qFormat/>
    <w:pPr>
      <w:spacing w:before="0" w:after="283"/>
      <w:ind w:left="567" w:right="567" w:hanging="0"/>
    </w:pPr>
    <w:rPr/>
  </w:style>
  <w:style w:type="paragraph" w:styleId="Contedodoquadro">
    <w:name w:val="Conteúdo do quadro"/>
    <w:basedOn w:val="Normal"/>
    <w:qFormat/>
    <w:pPr/>
    <w:rPr/>
  </w:style>
  <w:style w:type="paragraph" w:styleId="Contedodatabela">
    <w:name w:val="Conteúdo da tabela"/>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crcivel@dpu.def.br" TargetMode="External"/><Relationship Id="rId3" Type="http://schemas.openxmlformats.org/officeDocument/2006/relationships/hyperlink" Target="mailto:camaras.secretaria@dpu.def.br" TargetMode="External"/><Relationship Id="rId4" Type="http://schemas.openxmlformats.org/officeDocument/2006/relationships/hyperlink" Target="https://www.dpu.def.br/camaras" TargetMode="External"/><Relationship Id="rId5" Type="http://schemas.openxmlformats.org/officeDocument/2006/relationships/hyperlink" Target="mailto:ccrcivel@dpu.def.br" TargetMode="External"/><Relationship Id="rId6" Type="http://schemas.openxmlformats.org/officeDocument/2006/relationships/hyperlink" Target="mailto:camaras.secretaria@dpu.def.br" TargetMode="External"/><Relationship Id="rId7" Type="http://schemas.openxmlformats.org/officeDocument/2006/relationships/hyperlink" Target="https://www.dpu.def.br/camaras"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586</TotalTime>
  <Application>LibreOffice/7.4.7.2$Windows_X86_64 LibreOffice_project/723314e595e8007d3cf785c16538505a1c878ca5</Application>
  <AppVersion>15.0000</AppVersion>
  <Pages>14</Pages>
  <Words>5277</Words>
  <Characters>28264</Characters>
  <CharactersWithSpaces>33515</CharactersWithSpaces>
  <Paragraphs>144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2026-03-20T16:28:00Z</dcterms:created>
  <dc:creator>Maira de Carvalho Pereira Mesquita</dc:creator>
  <dc:description/>
  <dc:language>pt-BR</dc:language>
  <cp:lastModifiedBy/>
  <dcterms:modified xsi:type="dcterms:W3CDTF">2026-10-06T20:17:01Z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ies>
</file>