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EMBARGOS DE DECLARAÇÃO PADRÃO – PROGRAMA BOLSA FAMÍLIA: LIMITAÇÃO DE 16% PARA FAMÍLIAS UNIPESSOAIS – CASOS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  <w:u w:val="single"/>
        </w:rPr>
        <w:t>ANTERIORES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 À LEI Nº 15.077, DE 27 DE DEZEMBRO DE 2024 – TEMA 379 TNU</w:t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À TURMA RECURSAL DOS JUIZADOS ESPECIAIS FEDERAIS DA SEÇÃO JUDICIÁRIA ______</w:t>
      </w:r>
    </w:p>
    <w:p>
      <w:pPr>
        <w:pStyle w:val="Normal"/>
        <w:spacing w:before="80" w:after="192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Processo nº </w:t>
      </w:r>
    </w:p>
    <w:p>
      <w:pPr>
        <w:pStyle w:val="Normal"/>
        <w:spacing w:before="80" w:after="192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  <w:u w:val="single"/>
        </w:rPr>
        <w:t>NOME DO/A ASSISTIDO/A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, já qualificado/a nos autos, por intermédio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da DEFENSORIA PÚBLICA DA UNIÃO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, vem, respeitosamente, à presença de Vossa Excelência, com fundamento no art. 48 da Lei 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>nº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9.099/95 e no art. 1.022, inciso II, do CPC, opor os presentes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EMBARGOS DE DECLARAÇÃO POR OMISSÃO, COM PEDIDO DE EFEITOS INFRINGENTES E PARA FINS DE PREQUESTIONAMENTO 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em face do acórdão ______, pelas razões a seguir expostas.</w:t>
      </w:r>
    </w:p>
    <w:p>
      <w:pPr>
        <w:pStyle w:val="Normal"/>
        <w:spacing w:before="80" w:after="192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1. 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>CABIMENTO DOS EMBARGOS – OMISSÕES RELEVANTES CAPAZES DE ALTERAR O RESULTADO DO JULGAMENTO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Trata-se de 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>ação para garantir o direito da parte autora (</w:t>
      </w:r>
      <w:r>
        <w:rPr>
          <w:rFonts w:eastAsia="Quattrocento Sans" w:cs="Quattrocento Sans" w:ascii="Quattrocento Sans" w:hAnsi="Quattrocento Sans"/>
          <w:b/>
          <w:bCs/>
          <w:color w:val="215E99" w:themeColor="text2" w:themeTint="bf"/>
          <w:sz w:val="22"/>
          <w:szCs w:val="22"/>
        </w:rPr>
        <w:t>família unipessoal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 xml:space="preserve">) ao recebimento do benefício integrante do Programa Bolsa Família (PBF), regulamentado pela Lei nº 14.601/2023. O acórdão ora embargado negou provimento ao recurso da parte autora/deu provimento ao recurso da União, para julgar improcedente o pedido, porém incorreu em </w:t>
      </w:r>
      <w:r>
        <w:rPr>
          <w:rFonts w:eastAsia="Quattrocento Sans" w:cs="Quattrocento Sans" w:ascii="Quattrocento Sans" w:hAnsi="Quattrocento Sans"/>
          <w:b/>
          <w:bCs/>
          <w:color w:val="215E99" w:themeColor="text2" w:themeTint="bf"/>
          <w:sz w:val="22"/>
          <w:szCs w:val="22"/>
        </w:rPr>
        <w:t>omissão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 xml:space="preserve"> (artigo 1.022, II, CPC), pois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deixou de enfrentar pontos jurídicos centrais para a correta solução da controvérsia, notadamente:</w:t>
      </w:r>
    </w:p>
    <w:p>
      <w:pPr>
        <w:pStyle w:val="Normal"/>
        <w:numPr>
          <w:ilvl w:val="0"/>
          <w:numId w:val="2"/>
        </w:numPr>
        <w:spacing w:before="80" w:after="0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O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marco temporal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expressamente fixado pela Turma Nacional de Uniformização no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Tema 379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; </w:t>
      </w:r>
    </w:p>
    <w:p>
      <w:pPr>
        <w:pStyle w:val="Normal"/>
        <w:numPr>
          <w:ilvl w:val="0"/>
          <w:numId w:val="2"/>
        </w:numPr>
        <w:spacing w:before="0" w:after="0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A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 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natureza restitutória da pretensão deduzida em juízo;</w:t>
      </w:r>
    </w:p>
    <w:p>
      <w:pPr>
        <w:pStyle w:val="Normal"/>
        <w:numPr>
          <w:ilvl w:val="0"/>
          <w:numId w:val="2"/>
        </w:numPr>
        <w:spacing w:before="0" w:after="0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O pedido subsidiário de realização da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visita domiciliar 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para inclusão/atualização no CadÚnico;</w:t>
      </w:r>
    </w:p>
    <w:p>
      <w:pPr>
        <w:pStyle w:val="Normal"/>
        <w:numPr>
          <w:ilvl w:val="0"/>
          <w:numId w:val="2"/>
        </w:numPr>
        <w:spacing w:before="0" w:after="0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A declaração de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inconstitucionalidade incidental 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do art. 12-A da Lei 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>nº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14.601/2023, expressamente suscitada pela parte autora.</w:t>
      </w:r>
    </w:p>
    <w:p>
      <w:pPr>
        <w:pStyle w:val="Normal"/>
        <w:numPr>
          <w:ilvl w:val="0"/>
          <w:numId w:val="2"/>
        </w:numPr>
        <w:spacing w:before="0" w:after="192"/>
        <w:ind w:left="0" w:firstLine="851"/>
        <w:jc w:val="both"/>
        <w:rPr>
          <w:rFonts w:ascii="Quattrocento Sans" w:hAnsi="Quattrocento Sans" w:cs="Calibri"/>
          <w:color w:val="215F9A" w:themeColor="text2" w:themeTint="bf"/>
          <w:sz w:val="22"/>
          <w:szCs w:val="22"/>
        </w:rPr>
      </w:pPr>
      <w:r>
        <w:rPr>
          <w:color w:val="215F9A" w:themeColor="text2" w:themeTint="bf"/>
          <w:sz w:val="22"/>
          <w:szCs w:val="22"/>
        </w:rPr>
        <w:t>A repercussão geral da matéria reconhecida pelo STF no Tema 1.472</w:t>
      </w:r>
      <w:r>
        <w:rPr>
          <w:rFonts w:cs="Calibri" w:ascii="Quattrocento Sans" w:hAnsi="Quattrocento Sans"/>
          <w:color w:val="215F9A" w:themeColor="text2" w:themeTint="bf"/>
          <w:sz w:val="22"/>
          <w:szCs w:val="22"/>
        </w:rPr>
        <w:t>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Trata-se, portanto, de omissões substanciais que comprometem a integridade do julgado e cuja superação tem inequívoco potencial modificativo, justificando inclusive a atribuição de efeitos infringentes aos presentes Embargos de Declaração.</w:t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i/>
          <w:i/>
          <w:i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 xml:space="preserve">2. DA OMISSÃO QUANTO AO MARCO TEMPORAL FIXADO PELO TEMA 379 DA TNU (ILEGALIDADE DA LIMITAÇÃO DE FAMÍLIAS UNIPESSOAIS NO PROGRAMA BOLSA FAMILIA 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  <w:u w:val="single"/>
        </w:rPr>
        <w:t>ANTES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 xml:space="preserve"> DA LEI </w:t>
      </w:r>
      <w:r>
        <w:rPr>
          <w:rFonts w:eastAsia="Quattrocento Sans" w:cs="Quattrocento Sans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>Nº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 xml:space="preserve"> 15.077/2024)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eastAsia="Quattrocento Sans" w:cs="Quattrocento Sans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O acórdão embargado julgou improcedente o pedido de (re)inclusão da parte autora no Programa Bolsa Família, por considerar legítima a limitação de 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  <w:u w:val="single"/>
        </w:rPr>
        <w:t>16% (dezesseis por cento) de família unipessoais por Município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 xml:space="preserve">, prevista no artigo 6º, V, c/c § 2º da Portaria MDS Nº 897/23, com redação incluída pela Portaria MDS nº 911, de 24 de agosto de 2023. 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eastAsia="Quattrocento Sans" w:cs="Quattrocento Sans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Todavia, a decisão omitiu-se quanto ao ponto central da tese fixada pela Turma Nacional de Uniformização no Tema 379, qual seja, o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marco temporal de ilegalidade da limitação administrativa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. 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>No julgamento do PEDILEF 0044230-77.2023.4.05.8300, afetado como representativo da controvérsia, a TNU fixou a seguinte tese</w:t>
      </w:r>
      <w:r>
        <w:rPr>
          <w:rFonts w:eastAsia="Quattrocento Sans" w:cs="Quattrocento Sans" w:ascii="Quattrocento Sans" w:hAnsi="Quattrocento Sans"/>
          <w:b/>
          <w:bCs/>
          <w:color w:val="215E99" w:themeColor="text2" w:themeTint="bf"/>
          <w:sz w:val="22"/>
          <w:szCs w:val="22"/>
        </w:rPr>
        <w:t>:</w:t>
      </w:r>
    </w:p>
    <w:p>
      <w:pPr>
        <w:pStyle w:val="Normal"/>
        <w:spacing w:before="80" w:after="192"/>
        <w:ind w:left="1440" w:hanging="0"/>
        <w:jc w:val="both"/>
        <w:rPr>
          <w:rFonts w:ascii="Quattrocento Sans" w:hAnsi="Quattrocento Sans" w:eastAsia="Quattrocento Sans" w:cs="Quattrocento Sans"/>
          <w:i/>
          <w:i/>
          <w:iCs/>
          <w:color w:val="215E99" w:themeColor="text2" w:themeTint="bf"/>
          <w:sz w:val="20"/>
          <w:szCs w:val="20"/>
        </w:rPr>
      </w:pPr>
      <w:r>
        <w:rPr>
          <w:rFonts w:eastAsia="Quattrocento Sans" w:cs="Quattrocento Sans" w:ascii="Quattrocento Sans" w:hAnsi="Quattrocento Sans"/>
          <w:b/>
          <w:bCs/>
          <w:i/>
          <w:iCs/>
          <w:color w:val="215E99" w:themeColor="text2" w:themeTint="bf"/>
          <w:sz w:val="20"/>
          <w:szCs w:val="20"/>
          <w:highlight w:val="white"/>
          <w:u w:val="single"/>
        </w:rPr>
        <w:t>A partir da vigência do art. 12-A da Lei 14.601/2023</w:t>
      </w:r>
      <w:r>
        <w:rPr>
          <w:rFonts w:eastAsia="Quattrocento Sans" w:cs="Quattrocento Sans" w:ascii="Quattrocento Sans" w:hAnsi="Quattrocento Sans"/>
          <w:i/>
          <w:iCs/>
          <w:color w:val="215E99" w:themeColor="text2" w:themeTint="bf"/>
          <w:sz w:val="20"/>
          <w:szCs w:val="20"/>
          <w:highlight w:val="white"/>
        </w:rPr>
        <w:t xml:space="preserve"> (incluído pela Lei 15.077/2024), do art. 2º, §3º, da Lei 15.077/2024 e do art. 6º, §3º, IX, da Portaria MDS 897/2023 (com a redação dada pela Portaria MDS 1.003/2024), é legal a imposição de um índice máximo de famílias unipessoais por município como condicionante para o ingresso no Programa Bolsa Família, nos termos de ato do Poder Executivo federal (art. 6º, §2, da Portaria MDS 897/2023, incluído pela Portaria MDS 911/2023).</w:t>
      </w:r>
    </w:p>
    <w:p>
      <w:pPr>
        <w:pStyle w:val="Normal"/>
        <w:spacing w:before="80" w:after="192"/>
        <w:ind w:left="1440" w:hanging="0"/>
        <w:jc w:val="both"/>
        <w:rPr>
          <w:rFonts w:ascii="Quattrocento Sans" w:hAnsi="Quattrocento Sans" w:eastAsia="Quattrocento Sans" w:cs="Quattrocento Sans"/>
          <w:color w:val="215E99" w:themeColor="text2" w:themeTint="bf"/>
          <w:sz w:val="22"/>
          <w:szCs w:val="22"/>
        </w:rPr>
      </w:pP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A formulação da tese do Tema 379 TNU não deixa margem para dúvidas: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somente a partir da vigência da Lei </w:t>
      </w:r>
      <w:r>
        <w:rPr>
          <w:rFonts w:eastAsia="Quattrocento Sans" w:cs="Quattrocento Sans" w:ascii="Quattrocento Sans" w:hAnsi="Quattrocento Sans"/>
          <w:b/>
          <w:bCs/>
          <w:color w:val="215E99" w:themeColor="text2" w:themeTint="bf"/>
          <w:sz w:val="22"/>
          <w:szCs w:val="22"/>
        </w:rPr>
        <w:t>nº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 15.077/2024 passou a existir suporte legal para a limitação percentual de famílias unipessoais no Programa Bolsa Família por município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. Em sentido contrário,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  <w:u w:val="single"/>
        </w:rPr>
        <w:t>antes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 da introdução do art. 12-A na Lei </w:t>
      </w:r>
      <w:r>
        <w:rPr>
          <w:rFonts w:eastAsia="Quattrocento Sans" w:cs="Quattrocento Sans" w:ascii="Quattrocento Sans" w:hAnsi="Quattrocento Sans"/>
          <w:b/>
          <w:bCs/>
          <w:color w:val="215E99" w:themeColor="text2" w:themeTint="bf"/>
          <w:sz w:val="22"/>
          <w:szCs w:val="22"/>
        </w:rPr>
        <w:t>nº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 14.601/2023 – hipótese dos autos – inexiste fundamento legal para tal restrição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. Veja-se trecho da ementa de julgamento:</w:t>
      </w:r>
    </w:p>
    <w:p>
      <w:pPr>
        <w:pStyle w:val="Normal"/>
        <w:spacing w:before="80" w:after="192"/>
        <w:ind w:left="1418" w:hanging="0"/>
        <w:jc w:val="both"/>
        <w:rPr>
          <w:rFonts w:ascii="Quattrocento Sans" w:hAnsi="Quattrocento Sans" w:cs="Calibri"/>
          <w:color w:val="215E99" w:themeColor="text2" w:themeTint="bf"/>
          <w:sz w:val="20"/>
          <w:szCs w:val="20"/>
        </w:rPr>
      </w:pPr>
      <w:r>
        <w:rPr>
          <w:rFonts w:cs="Calibri" w:ascii="Quattrocento Sans" w:hAnsi="Quattrocento Sans"/>
          <w:color w:val="215E99" w:themeColor="text2" w:themeTint="bf"/>
          <w:sz w:val="20"/>
          <w:szCs w:val="20"/>
        </w:rPr>
        <w:t xml:space="preserve">8.  </w:t>
      </w:r>
      <w:r>
        <w:rPr>
          <w:rFonts w:cs="Calibri" w:ascii="Quattrocento Sans" w:hAnsi="Quattrocento Sans"/>
          <w:b/>
          <w:bCs/>
          <w:color w:val="215E99" w:themeColor="text2" w:themeTint="bf"/>
          <w:sz w:val="20"/>
          <w:szCs w:val="20"/>
        </w:rPr>
        <w:t xml:space="preserve">A aplicação retroativa da Portaria MDS nº 911/2023 é vedada, especialmente quando o direito ao benefício se consolidou em momento anterior à edição da norma restritiva, em respeito ao princípio da segurança jurídica. </w:t>
      </w:r>
      <w:r>
        <w:rPr>
          <w:rFonts w:cs="Calibri" w:ascii="Quattrocento Sans" w:hAnsi="Quattrocento Sans"/>
          <w:color w:val="215E99" w:themeColor="text2" w:themeTint="bf"/>
          <w:sz w:val="20"/>
          <w:szCs w:val="20"/>
        </w:rPr>
        <w:t xml:space="preserve">(TNU, 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PEDILEF 0044230-77.2023.4.05.8300)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Assim, de acordo com a tese fixada pela TNU, tem-se:</w:t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/>
        <w:drawing>
          <wp:inline distT="0" distB="0" distL="0" distR="0">
            <wp:extent cx="5669915" cy="1645920"/>
            <wp:effectExtent l="0" t="0" r="0" b="0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Portanto, o acórdão omitiu-se quanto à data de preenchimento dos requisitos pela parte autora, notadamente sua exclusão do PBF/sua data de inscrição atualização no CadÚnico. 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Isto porque, de acordo com o precedente vinculante da TNU, a limitação baseada no percentual de famílias unipessoais por meio de Portaria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antes de 27 de dezembro de 2024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representa inovação normativa de caráter administrativo, sem respaldo legal, com manifesta extrapolação do poder regulamentar.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No caso concreto, os fatos são incontroversos:</w:t>
      </w:r>
    </w:p>
    <w:p>
      <w:pPr>
        <w:pStyle w:val="Normal"/>
        <w:numPr>
          <w:ilvl w:val="0"/>
          <w:numId w:val="1"/>
        </w:numPr>
        <w:spacing w:before="80" w:after="0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A exclusão/impedimento de ingresso no Programa Bolsa Família ocorreu em [DATA da inclusão/atualização no CadÚnico]; </w:t>
      </w:r>
    </w:p>
    <w:p>
      <w:pPr>
        <w:pStyle w:val="Normal"/>
        <w:numPr>
          <w:ilvl w:val="0"/>
          <w:numId w:val="1"/>
        </w:numPr>
        <w:spacing w:before="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A negativa administrativa também ocorreu antes de 27/12/2024 [caso haja expedição de Ofício ou tela do SIBEC, indicar].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Ou seja,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todos os eventos juridicamente relevantes ocorreram antes da vigência da Lei </w:t>
      </w:r>
      <w:r>
        <w:rPr>
          <w:rFonts w:eastAsia="Quattrocento Sans" w:cs="Quattrocento Sans" w:ascii="Quattrocento Sans" w:hAnsi="Quattrocento Sans"/>
          <w:b/>
          <w:bCs/>
          <w:color w:val="215E99" w:themeColor="text2" w:themeTint="bf"/>
          <w:sz w:val="22"/>
          <w:szCs w:val="22"/>
        </w:rPr>
        <w:t>nº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 15.077/2024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Dessa forma, ao deixar de considerar o marco temporal — expressamente fixado pela TNU — o acórdão incorreu em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omissão juridicamente relevante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, pois ignorou elemento decisivo para a aferição da legalidade do ato administrativo impugnado.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A integração do acórdão ora embargado, com a consequente adequação à tese fixada no Tema 379 da TNU, conduz inevitavelmente à conclusão da procedência do pedido de (re)inclusão da parte autora no Programa Bolsa Família.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3. 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 xml:space="preserve">DA OMISSÃO QUANTO AO CARÁTER RESTITUTÓRIO DA PRETENSÃO 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  <w:highlight w:val="yellow"/>
        </w:rPr>
        <w:t>[APENAS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 xml:space="preserve"> 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  <w:highlight w:val="yellow"/>
        </w:rPr>
        <w:t>QUANDO O CASO NÃO ENVOLVE INGRESSO NO PROGRAMA, MAS RESTABELECIMENTO DE BENEFÍCIO INDEVIDAMENTE CANCELADO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>]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Outra omissão relevante diz respeito à natureza jurídica da pretensão deduzida em juízo.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O acórdão embargado tratou a controvérsia como se a parte autora estivesse pleiteando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novo ingresso no Programa Bolsa Família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, afirmando que o cadastramento no CadÚnico não gera direito subjetivo ao benefício e que a inclusão de novos beneficiários depende de disponibilidade orçamentária.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Ocorre que essa premissa fática é manifestamente equivocada.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A parte autora já era beneficiária do Programa Bolsa Família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desde [DATA], tendo o benefício sido posteriormente cancelado em decorrência da chamada Averiguação Cadastral Unipessoal. Assim, a pretensão deduzida nos autos não consiste em criar situação jurídica nova, mas sim em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restabelecer situação jurídica preexistente indevidamente desconstituída pela Administração. 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Essa distinção é absolutamente fundamental. Enquanto o ingresso inicial no Programa envolve escolhas administrativas relacionadas à gestão de políticas públicas, o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restabelecimento de benefício cancelado por ato ilegal constitui típico exercício de controle jurisdicional da legalidade administrativa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Permitir que o Estado (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1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)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cancele um benefício com base em critério desprovido de amparo legal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e (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2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) posteriormente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negue o restabelecimento invocando limitações administrativas ou orçamentárias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equivale a legitimar comportamento incompatível com os princípios estruturantes da Administração Pública. 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F9A" w:themeColor="text2" w:themeTint="bf"/>
          <w:sz w:val="22"/>
          <w:szCs w:val="22"/>
          <w:highlight w:val="none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Tal conduta viola frontalmente os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princípios da legalidade, igualdade, segurança jurídica, da proteção da confiança legítima e da boa-fé objetiva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. Mais do que isso, configura hipótese paradigmática de 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>venire contra factum proprium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,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instituto amplamente reconhecido pela doutrina e jurisprudência como limite ao exercício do poder estatal. 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 xml:space="preserve">Ademais, tanto o limite de 16% de famílias unipessoais por município, quanto a tese firmada no tema 379 da TNU referem-se ao ingresso de novas famílias unipessoais no programa bolsa família e a própria tese trata do índice máximo como condicionante “para o ingresso no programa bolsa família”. Nenhum dos dois alcança, portanto, quem já era beneficiário e pleteia apenas o restabelecimento do benefício indevidamente cancelado. 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A omissão quanto a esse aspecto compromete a própria lógica do julgado, pois levou o acórdão a analisar o caso sob premissas fáticas equivocadas, razão pela qual deve ser sanada para reconhecer a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procedência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do pedido de reinclusão da parte autora no Programa Bolsa Família.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i/>
          <w:i/>
          <w:i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4. 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>DA OMISSÃO QUANTO AO PEDIDO DE REALIZAÇÃO DA ENTREVISTA DOMICILIAR [OU DE OUTRO GRUPO EXCEPCIONAL PREVISTO NO art. 6º, §3º, da Portaria MDS nº 897/2023]</w:t>
      </w:r>
    </w:p>
    <w:p>
      <w:pPr>
        <w:pStyle w:val="Standard"/>
        <w:spacing w:lineRule="auto" w:line="240" w:before="0" w:after="240"/>
        <w:ind w:left="0" w:right="0" w:firstLine="849"/>
        <w:jc w:val="both"/>
        <w:rPr/>
      </w:pPr>
      <w:r>
        <w:rPr>
          <w:rFonts w:eastAsia="Tahoma" w:cs="Tahoma" w:ascii="Tahoma" w:hAnsi="Tahoma"/>
          <w:color w:val="2F5496"/>
        </w:rPr>
        <w:t xml:space="preserve">O art. 6°, § 3º, da Portaria MDS n° 897/2023, prevê casos excepcionais que </w:t>
      </w:r>
      <w:r>
        <w:rPr>
          <w:rFonts w:eastAsia="Tahoma" w:cs="Tahoma" w:ascii="Tahoma" w:hAnsi="Tahoma"/>
          <w:b/>
          <w:bCs/>
          <w:color w:val="2F5496"/>
        </w:rPr>
        <w:t>garantem a inclusão</w:t>
      </w:r>
      <w:r>
        <w:rPr>
          <w:rFonts w:eastAsia="Tahoma" w:cs="Tahoma" w:ascii="Tahoma" w:hAnsi="Tahoma"/>
          <w:color w:val="2F5496"/>
        </w:rPr>
        <w:t xml:space="preserve"> de famílias unipessoais no Programa Bolsa Família, </w:t>
      </w:r>
      <w:r>
        <w:rPr>
          <w:rFonts w:eastAsia="Tahoma" w:cs="Tahoma" w:ascii="Tahoma" w:hAnsi="Tahoma"/>
          <w:color w:val="2F5496"/>
          <w:u w:val="single"/>
        </w:rPr>
        <w:t>mesmo quando o município tiver atingido o contingente de 16% (dezesseis por cento).</w:t>
      </w:r>
      <w:r>
        <w:rPr>
          <w:rFonts w:eastAsia="Tahoma" w:cs="Tahoma" w:ascii="Tahoma" w:hAnsi="Tahoma"/>
          <w:color w:val="2F5496"/>
        </w:rPr>
        <w:t xml:space="preserve"> São eles:</w:t>
      </w:r>
    </w:p>
    <w:p>
      <w:pPr>
        <w:pStyle w:val="Standard"/>
        <w:numPr>
          <w:ilvl w:val="0"/>
          <w:numId w:val="4"/>
        </w:numPr>
        <w:spacing w:lineRule="auto" w:line="240" w:before="0" w:after="0"/>
        <w:ind w:left="0" w:right="0" w:hanging="0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  <w:t>Integrantes em situação de trabalho infantil</w:t>
      </w:r>
    </w:p>
    <w:p>
      <w:pPr>
        <w:pStyle w:val="Standard"/>
        <w:numPr>
          <w:ilvl w:val="0"/>
          <w:numId w:val="4"/>
        </w:numPr>
        <w:spacing w:lineRule="auto" w:line="240" w:before="0" w:after="0"/>
        <w:ind w:left="0" w:right="0" w:hanging="0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  <w:t>Integrantes libertos de situação análoga à de trabalho escravo</w:t>
      </w:r>
    </w:p>
    <w:p>
      <w:pPr>
        <w:pStyle w:val="Standard"/>
        <w:numPr>
          <w:ilvl w:val="0"/>
          <w:numId w:val="4"/>
        </w:numPr>
        <w:spacing w:lineRule="auto" w:line="240" w:before="0" w:after="0"/>
        <w:ind w:left="0" w:right="0" w:hanging="0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  <w:t>Famílias quilombolas</w:t>
      </w:r>
    </w:p>
    <w:p>
      <w:pPr>
        <w:pStyle w:val="Standard"/>
        <w:numPr>
          <w:ilvl w:val="0"/>
          <w:numId w:val="4"/>
        </w:numPr>
        <w:spacing w:lineRule="auto" w:line="240" w:before="0" w:after="0"/>
        <w:ind w:left="0" w:right="0" w:hanging="0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  <w:t>Famílias indígenas</w:t>
      </w:r>
    </w:p>
    <w:p>
      <w:pPr>
        <w:pStyle w:val="Standard"/>
        <w:numPr>
          <w:ilvl w:val="0"/>
          <w:numId w:val="4"/>
        </w:numPr>
        <w:spacing w:lineRule="auto" w:line="240" w:before="0" w:after="0"/>
        <w:ind w:left="0" w:right="0" w:hanging="0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  <w:t>Famílias com catadores de material reciclável</w:t>
      </w:r>
    </w:p>
    <w:p>
      <w:pPr>
        <w:pStyle w:val="Standard"/>
        <w:numPr>
          <w:ilvl w:val="0"/>
          <w:numId w:val="4"/>
        </w:numPr>
        <w:spacing w:lineRule="auto" w:line="240" w:before="0" w:after="0"/>
        <w:ind w:left="0" w:right="0" w:hanging="0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  <w:t>Famílias com pessoas em situação de rua</w:t>
      </w:r>
    </w:p>
    <w:p>
      <w:pPr>
        <w:pStyle w:val="Standard"/>
        <w:numPr>
          <w:ilvl w:val="0"/>
          <w:numId w:val="4"/>
        </w:numPr>
        <w:spacing w:lineRule="auto" w:line="240" w:before="0" w:after="0"/>
        <w:ind w:left="0" w:right="0" w:hanging="0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  <w:t>Famílias em risco de insegurança alimentar</w:t>
      </w:r>
    </w:p>
    <w:p>
      <w:pPr>
        <w:pStyle w:val="Standard"/>
        <w:numPr>
          <w:ilvl w:val="0"/>
          <w:numId w:val="4"/>
        </w:numPr>
        <w:spacing w:lineRule="auto" w:line="240" w:before="0" w:after="0"/>
        <w:ind w:left="0" w:right="0" w:hanging="0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  <w:t>Famílias em situação de violação de direitos</w:t>
      </w:r>
    </w:p>
    <w:p>
      <w:pPr>
        <w:pStyle w:val="Standard"/>
        <w:numPr>
          <w:ilvl w:val="0"/>
          <w:numId w:val="4"/>
        </w:numPr>
        <w:spacing w:lineRule="auto" w:line="240" w:before="0" w:after="240"/>
        <w:ind w:left="0" w:right="0" w:hanging="0"/>
        <w:jc w:val="both"/>
        <w:rPr>
          <w:rFonts w:ascii="Tahoma" w:hAnsi="Tahoma" w:eastAsia="Tahoma" w:cs="Tahoma"/>
          <w:b/>
          <w:b/>
          <w:bCs/>
          <w:color w:val="2F5496"/>
        </w:rPr>
      </w:pPr>
      <w:r>
        <w:rPr>
          <w:rFonts w:eastAsia="Tahoma" w:cs="Tahoma" w:ascii="Tahoma" w:hAnsi="Tahoma"/>
          <w:b/>
          <w:bCs/>
          <w:color w:val="2F5496"/>
        </w:rPr>
        <w:t>Famílias que realizaram ou venham a realizar a sua atualização ou inscrição cadastral mediante entrevista em domicílio, a partir de 31 de julho de 2023</w:t>
      </w:r>
    </w:p>
    <w:p>
      <w:pPr>
        <w:pStyle w:val="Standard"/>
        <w:spacing w:lineRule="auto" w:line="240" w:before="0" w:after="240"/>
        <w:ind w:left="0" w:right="0" w:firstLine="849"/>
        <w:jc w:val="both"/>
        <w:rPr/>
      </w:pPr>
      <w:r>
        <w:rPr>
          <w:rFonts w:eastAsia="Tahoma" w:cs="Tahoma" w:ascii="Tahoma" w:hAnsi="Tahoma"/>
          <w:color w:val="2F5496"/>
        </w:rPr>
        <w:t xml:space="preserve">É importante ressaltar que a exceção do limite de 16% quando realizada a entrevista domiciliar foi fruto do acordo com efeitos nacionais firmado nos autos </w:t>
      </w:r>
      <w:r>
        <w:rPr>
          <w:rFonts w:eastAsia="Tahoma" w:cs="Tahoma" w:ascii="Tahoma" w:hAnsi="Tahoma"/>
          <w:b/>
          <w:bCs/>
          <w:color w:val="2F5496"/>
        </w:rPr>
        <w:t>Ação Civil Pública nº 5024187-38.2024.4.04.7100/RS</w:t>
      </w:r>
      <w:r>
        <w:rPr>
          <w:rFonts w:eastAsia="Tahoma" w:cs="Tahoma" w:ascii="Tahoma" w:hAnsi="Tahoma"/>
          <w:color w:val="2F5496"/>
        </w:rPr>
        <w:t>, ajuizada pela Defensoria Pública da União do Rio Grande do Sul. Por meio do acordo coletivo, a União comprometeu-se a determinar a permissão imediata de habilitação ao Programa Bolsa Família de todas as famílias unipessoais que realizaram, a partir de 31 de julho de 2023, atualização ou inscrição cadastral mediante entrevista em domicílio, com efeitos na habilitação do PBF de julho de 2024.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  <w:t>Em seguida, a Portaria MDS nº 1.003, de 16 de julho de 2024, publicada no DOU em 17/07/2024, acrescentou o inciso IX ao §3º do artigo 6º da Portaria 897/2023. Essa alteração permitiu a inclusão de novas famílias unipessoais no PBF, mesmo que ultrapassem o limite de 16% do município.</w:t>
      </w:r>
    </w:p>
    <w:p>
      <w:pPr>
        <w:pStyle w:val="Standard"/>
        <w:spacing w:lineRule="auto" w:line="240" w:before="0" w:after="240"/>
        <w:ind w:left="0" w:right="0" w:firstLine="849"/>
        <w:jc w:val="both"/>
        <w:rPr/>
      </w:pPr>
      <w:r>
        <w:rPr>
          <w:rFonts w:eastAsia="Tahoma" w:cs="Tahoma" w:ascii="Tahoma" w:hAnsi="Tahoma"/>
          <w:color w:val="2F5496"/>
        </w:rPr>
        <w:t xml:space="preserve">Posteriormente, o art. 2º, § 3º, da Lei nº 15.077/2024, de 27/12/2024, estabeleceu que, para a concessão ou manutenção dos benefícios assistenciais a famílias unipessoais, a inscrição ou a atualização do CadÚnico </w:t>
      </w:r>
      <w:r>
        <w:rPr>
          <w:rFonts w:eastAsia="Tahoma" w:cs="Tahoma" w:ascii="Tahoma" w:hAnsi="Tahoma"/>
          <w:b/>
          <w:bCs/>
          <w:color w:val="2F5496"/>
        </w:rPr>
        <w:t>deverá s</w:t>
      </w:r>
      <w:r>
        <w:rPr>
          <w:rFonts w:eastAsia="Tahoma" w:cs="Tahoma" w:ascii="Tahoma" w:hAnsi="Tahoma"/>
          <w:color w:val="2F5496"/>
        </w:rPr>
        <w:t>er feita no domicílio de residência da pessoa. Veja-se:</w:t>
      </w:r>
    </w:p>
    <w:p>
      <w:pPr>
        <w:pStyle w:val="Standard"/>
        <w:spacing w:lineRule="auto" w:line="240" w:before="0" w:after="200"/>
        <w:ind w:left="2268" w:right="0" w:hanging="0"/>
        <w:jc w:val="both"/>
        <w:rPr/>
      </w:pPr>
      <w:r>
        <w:rPr>
          <w:rFonts w:eastAsia="Tahoma" w:cs="Tahoma" w:ascii="Tahoma" w:hAnsi="Tahoma"/>
          <w:color w:val="2F5496"/>
          <w:sz w:val="20"/>
          <w:szCs w:val="20"/>
        </w:rPr>
        <w:t>Art. 2º</w:t>
      </w:r>
      <w:r>
        <w:rPr>
          <w:rFonts w:eastAsia="Tahoma" w:cs="Tahoma" w:ascii="Tahoma" w:hAnsi="Tahoma"/>
          <w:b/>
          <w:bCs/>
          <w:color w:val="2F5496"/>
          <w:sz w:val="20"/>
          <w:szCs w:val="20"/>
        </w:rPr>
        <w:t> </w:t>
      </w:r>
      <w:r>
        <w:rPr>
          <w:rFonts w:eastAsia="Tahoma" w:cs="Tahoma" w:ascii="Tahoma" w:hAnsi="Tahoma"/>
          <w:color w:val="2F5496"/>
          <w:sz w:val="20"/>
          <w:szCs w:val="20"/>
        </w:rPr>
        <w:t xml:space="preserve">§ 3º </w:t>
      </w:r>
      <w:r>
        <w:rPr>
          <w:rFonts w:eastAsia="Tahoma" w:cs="Tahoma" w:ascii="Tahoma" w:hAnsi="Tahoma"/>
          <w:b/>
          <w:bCs/>
          <w:color w:val="2F5496"/>
          <w:sz w:val="20"/>
          <w:szCs w:val="20"/>
        </w:rPr>
        <w:t>Para fins de concessão ou manutenção dos benefícios de que trata o </w:t>
      </w:r>
      <w:r>
        <w:rPr>
          <w:rFonts w:eastAsia="Tahoma" w:cs="Tahoma" w:ascii="Tahoma" w:hAnsi="Tahoma"/>
          <w:b/>
          <w:bCs/>
          <w:i/>
          <w:iCs/>
          <w:color w:val="2F5496"/>
          <w:sz w:val="20"/>
          <w:szCs w:val="20"/>
        </w:rPr>
        <w:t>caput</w:t>
      </w:r>
      <w:r>
        <w:rPr>
          <w:rFonts w:eastAsia="Tahoma" w:cs="Tahoma" w:ascii="Tahoma" w:hAnsi="Tahoma"/>
          <w:b/>
          <w:bCs/>
          <w:color w:val="2F5496"/>
          <w:sz w:val="20"/>
          <w:szCs w:val="20"/>
        </w:rPr>
        <w:t> deste artigo a famílias compostas de 1 (uma) só pessoa ou a indivíduos que residem sem parentes, a inscrição ou a atualização do CadÚnico deverá ser feita no domicílio de residência da pessoa, conforme prazos e exceções estabelecidos em ato do Poder Executivo federal</w:t>
      </w:r>
      <w:r>
        <w:rPr>
          <w:rFonts w:eastAsia="Tahoma" w:cs="Tahoma" w:ascii="Tahoma" w:hAnsi="Tahoma"/>
          <w:color w:val="2F5496"/>
          <w:sz w:val="20"/>
          <w:szCs w:val="20"/>
        </w:rPr>
        <w:t>.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  <w:t>Em suma, a exigência da entrevista domiciliar para famílias unipessoais no Programa Bolsa Família avançou com a Lei nº 15.077, de 27 de dezembro de 2024, que, além de alterar a Lei nº 14.601/2023 para incluir o artigo 12-A, delegando ao Poder Executivo a fixação de índices máximos e procedimentos de controle para esse público, determinou em seu artigo 2º, § 3º, que, em todos os programas federais de transferência de renda que utilizam o CadÚnico, a inscrição ou a atualização no cadastro de famílias unipessoais deverá ser feita no domicílio de residência da pessoa.</w:t>
      </w:r>
    </w:p>
    <w:p>
      <w:pPr>
        <w:pStyle w:val="Standard"/>
        <w:shd w:val="clear" w:color="auto" w:fill="FCFCFC"/>
        <w:spacing w:lineRule="auto" w:line="240" w:before="0" w:after="60"/>
        <w:ind w:left="0" w:right="0" w:firstLine="849"/>
        <w:jc w:val="both"/>
        <w:rPr/>
      </w:pPr>
      <w:r>
        <w:rPr>
          <w:rFonts w:eastAsia="Tahoma" w:cs="Tahoma" w:ascii="Tahoma" w:hAnsi="Tahoma"/>
          <w:color w:val="2F5496"/>
        </w:rPr>
        <w:t xml:space="preserve">Os prazos e as exceções a que remete esse dispositivo foram regulamentados pela Portaria MDS nº 1.145/2025, com a redação da Portaria MDS nº 1.199/2026, e pela Instrução Normativa SAGICAD/MDS nº 20/2026, com a redação da IN SAGICAD/MDS nº 22/2026. </w:t>
      </w:r>
    </w:p>
    <w:p>
      <w:pPr>
        <w:pStyle w:val="Standard"/>
        <w:shd w:val="clear" w:color="auto" w:fill="FCFCFC"/>
        <w:spacing w:lineRule="auto" w:line="240" w:before="0" w:after="60"/>
        <w:ind w:left="0" w:right="0" w:firstLine="849"/>
        <w:jc w:val="both"/>
        <w:rPr/>
      </w:pPr>
      <w:r>
        <w:rPr>
          <w:rFonts w:eastAsia="Tahoma" w:cs="Tahoma" w:ascii="Tahoma" w:hAnsi="Tahoma"/>
          <w:color w:val="2F5496"/>
        </w:rPr>
        <w:t xml:space="preserve">Assim, para a </w:t>
      </w:r>
      <w:r>
        <w:rPr>
          <w:rFonts w:eastAsia="Tahoma" w:cs="Tahoma" w:ascii="Tahoma" w:hAnsi="Tahoma"/>
          <w:b/>
          <w:bCs/>
          <w:color w:val="2F5496"/>
          <w:u w:val="single"/>
        </w:rPr>
        <w:t>nova</w:t>
      </w:r>
      <w:r>
        <w:rPr>
          <w:rFonts w:eastAsia="Tahoma" w:cs="Tahoma" w:ascii="Tahoma" w:hAnsi="Tahoma"/>
          <w:color w:val="2F5496"/>
        </w:rPr>
        <w:t xml:space="preserve"> </w:t>
      </w:r>
      <w:r>
        <w:rPr>
          <w:rFonts w:eastAsia="Tahoma" w:cs="Tahoma" w:ascii="Tahoma" w:hAnsi="Tahoma"/>
          <w:b/>
          <w:bCs/>
          <w:color w:val="2F5496"/>
        </w:rPr>
        <w:t>inclusão</w:t>
      </w:r>
      <w:r>
        <w:rPr>
          <w:rFonts w:eastAsia="Tahoma" w:cs="Tahoma" w:ascii="Tahoma" w:hAnsi="Tahoma"/>
          <w:color w:val="2F5496"/>
        </w:rPr>
        <w:t xml:space="preserve"> no Programa Bolsa Família, a </w:t>
      </w:r>
      <w:r>
        <w:rPr>
          <w:rFonts w:eastAsia="Tahoma" w:cs="Tahoma" w:ascii="Tahoma" w:hAnsi="Tahoma"/>
          <w:b/>
          <w:bCs/>
          <w:color w:val="2F5496"/>
        </w:rPr>
        <w:t>entrevista domiciliar continua exigida</w:t>
      </w:r>
      <w:r>
        <w:rPr>
          <w:rFonts w:eastAsia="Tahoma" w:cs="Tahoma" w:ascii="Tahoma" w:hAnsi="Tahoma"/>
          <w:color w:val="2F5496"/>
        </w:rPr>
        <w:t xml:space="preserve"> (art. 1º, § 2º, da IN SAGICAD/MDS nº 20/2026) – salvo se a família se enquadrar em um dos grupos excepcionais de maior vulnerabilidade — </w:t>
      </w:r>
      <w:r>
        <w:rPr>
          <w:rFonts w:eastAsia="Tahoma" w:cs="Tahoma" w:ascii="Tahoma" w:hAnsi="Tahoma"/>
          <w:b/>
          <w:bCs/>
          <w:color w:val="2F5496"/>
        </w:rPr>
        <w:t>e, realizada, fica afastada a limitação de 16%.</w:t>
      </w:r>
    </w:p>
    <w:p>
      <w:pPr>
        <w:pStyle w:val="Standard"/>
        <w:spacing w:lineRule="auto" w:line="240" w:before="0" w:after="240"/>
        <w:ind w:left="0" w:right="0" w:firstLine="849"/>
        <w:jc w:val="both"/>
        <w:rPr/>
      </w:pPr>
      <w:r>
        <w:rPr>
          <w:rFonts w:eastAsia="Tahoma" w:cs="Tahoma" w:ascii="Tahoma" w:hAnsi="Tahoma"/>
          <w:color w:val="2F5496"/>
        </w:rPr>
        <w:t xml:space="preserve">Veja que, na fundamentação do acórdão proferido no </w:t>
      </w:r>
      <w:r>
        <w:rPr>
          <w:rFonts w:eastAsia="Tahoma" w:cs="Tahoma" w:ascii="Tahoma" w:hAnsi="Tahoma"/>
          <w:b/>
          <w:bCs/>
          <w:color w:val="2F5496"/>
        </w:rPr>
        <w:t xml:space="preserve">Tema 379, </w:t>
      </w:r>
      <w:r>
        <w:rPr>
          <w:rFonts w:eastAsia="Tahoma" w:cs="Tahoma" w:ascii="Tahoma" w:hAnsi="Tahoma"/>
          <w:color w:val="2F5496"/>
        </w:rPr>
        <w:t xml:space="preserve">a TNU afirmou expressamente que a restrição do número de beneficiários unipessoais a partir do artigo 12-A da Lei 14.601/2023 </w:t>
      </w:r>
      <w:r>
        <w:rPr>
          <w:rFonts w:eastAsia="Tahoma" w:cs="Tahoma" w:ascii="Tahoma" w:hAnsi="Tahoma"/>
          <w:b/>
          <w:bCs/>
          <w:color w:val="2F5496"/>
        </w:rPr>
        <w:t>não</w:t>
      </w:r>
      <w:r>
        <w:rPr>
          <w:rFonts w:eastAsia="Tahoma" w:cs="Tahoma" w:ascii="Tahoma" w:hAnsi="Tahoma"/>
          <w:color w:val="2F5496"/>
        </w:rPr>
        <w:t xml:space="preserve"> traz prejuízos diretos aos beneficiários, uma vez que estes podem ingressar no Programa nas </w:t>
      </w:r>
      <w:r>
        <w:rPr>
          <w:rFonts w:eastAsia="Tahoma" w:cs="Tahoma" w:ascii="Tahoma" w:hAnsi="Tahoma"/>
          <w:b/>
          <w:bCs/>
          <w:color w:val="2F5496"/>
        </w:rPr>
        <w:t>hipóteses excepcionais do art. 6º, §3º, da Portaria MDS nº 897/2023</w:t>
      </w:r>
      <w:r>
        <w:rPr>
          <w:rFonts w:eastAsia="Tahoma" w:cs="Tahoma" w:ascii="Tahoma" w:hAnsi="Tahoma"/>
          <w:color w:val="2F5496"/>
        </w:rPr>
        <w:t xml:space="preserve">, inclusive mediante a realização de </w:t>
      </w:r>
      <w:r>
        <w:rPr>
          <w:rFonts w:eastAsia="Tahoma" w:cs="Tahoma" w:ascii="Tahoma" w:hAnsi="Tahoma"/>
          <w:b/>
          <w:bCs/>
          <w:color w:val="2F5496"/>
        </w:rPr>
        <w:t xml:space="preserve">entrevistas domiciliares </w:t>
      </w:r>
      <w:r>
        <w:rPr>
          <w:rFonts w:eastAsia="Tahoma" w:cs="Tahoma" w:ascii="Tahoma" w:hAnsi="Tahoma"/>
          <w:color w:val="2F5496"/>
        </w:rPr>
        <w:t>para a atualização do CadÚnico. Veja-se trecho específico da ementa da TNU:</w:t>
      </w:r>
    </w:p>
    <w:p>
      <w:pPr>
        <w:pStyle w:val="Standard"/>
        <w:spacing w:lineRule="auto" w:line="240" w:before="0" w:after="200"/>
        <w:ind w:left="2268" w:right="0" w:hanging="0"/>
        <w:jc w:val="both"/>
        <w:rPr/>
      </w:pPr>
      <w:r>
        <w:rPr>
          <w:rFonts w:eastAsia="Tahoma" w:cs="Tahoma" w:ascii="Tahoma" w:hAnsi="Tahoma"/>
          <w:color w:val="2F5496"/>
          <w:sz w:val="20"/>
          <w:szCs w:val="20"/>
        </w:rPr>
        <w:t xml:space="preserve">7. A adoção do limite de 16% não implica a exclusão automática das famílias unipessoais, uma vez que </w:t>
      </w:r>
      <w:r>
        <w:rPr>
          <w:rFonts w:eastAsia="Tahoma" w:cs="Tahoma" w:ascii="Tahoma" w:hAnsi="Tahoma"/>
          <w:b/>
          <w:bCs/>
          <w:color w:val="2F5496"/>
          <w:sz w:val="20"/>
          <w:szCs w:val="20"/>
          <w:u w:val="single"/>
        </w:rPr>
        <w:t>há exceções legais e regulamentares que asseguram o acesso de grupos em situação de vulnerabilidade acentuada</w:t>
      </w:r>
      <w:r>
        <w:rPr>
          <w:rFonts w:eastAsia="Tahoma" w:cs="Tahoma" w:ascii="Tahoma" w:hAnsi="Tahoma"/>
          <w:color w:val="2F5496"/>
          <w:sz w:val="20"/>
          <w:szCs w:val="20"/>
        </w:rPr>
        <w:t xml:space="preserve">, como pessoas em situação de rua, famílias indígenas, quilombolas, entre outros. </w:t>
      </w:r>
      <w:r>
        <w:rPr>
          <w:rFonts w:eastAsia="Tahoma" w:cs="Tahoma" w:ascii="Tahoma" w:hAnsi="Tahoma"/>
          <w:b/>
          <w:bCs/>
          <w:color w:val="2F5496"/>
          <w:sz w:val="20"/>
          <w:szCs w:val="20"/>
          <w:u w:val="single"/>
        </w:rPr>
        <w:t>Ademais, as famílias unipessoais que tenham realizado ou venham a realizar a atualização ou inscrição cadastral por meio de entrevista domiciliar estão excepcionadas dessa restrição.</w:t>
      </w:r>
      <w:r>
        <w:rPr>
          <w:rFonts w:eastAsia="Tahoma" w:cs="Tahoma" w:ascii="Tahoma" w:hAnsi="Tahoma"/>
          <w:color w:val="2F5496"/>
          <w:sz w:val="20"/>
          <w:szCs w:val="20"/>
        </w:rPr>
        <w:t xml:space="preserve"> (TNU, PEDILEF 0044230-77.2023.4.05.8300)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</w:r>
    </w:p>
    <w:p>
      <w:pPr>
        <w:pStyle w:val="Standard"/>
        <w:spacing w:lineRule="auto" w:line="240" w:before="0" w:after="240"/>
        <w:ind w:left="0" w:right="0" w:firstLine="849"/>
        <w:jc w:val="both"/>
        <w:rPr/>
      </w:pPr>
      <w:r>
        <w:rPr>
          <w:rFonts w:eastAsia="Tahoma" w:cs="Tahoma" w:ascii="Tahoma" w:hAnsi="Tahoma"/>
          <w:color w:val="2F5496"/>
        </w:rPr>
        <w:t xml:space="preserve">Por essa razão, a Defensoria Pública da União expediu o OFÍCIO _______, requerendo expressamente a entrevista domiciliar para confirmar a condição de família unipessoal, bem como reiterou o pedido nos presentes autos. Entretanto, a entrevista não foi realizada até a presente data, nem houve marcação para data futura. Resta demonstrado, portanto, que – caso de admita a aplicação retroativa do artigo 12-A da Lei nº 14.601/2023, incluído pela Lei nº 15.077/2024 - o </w:t>
      </w:r>
      <w:r>
        <w:rPr>
          <w:rFonts w:eastAsia="Tahoma" w:cs="Tahoma" w:ascii="Tahoma" w:hAnsi="Tahoma"/>
          <w:b/>
          <w:bCs/>
          <w:color w:val="2F5496"/>
        </w:rPr>
        <w:t>único óbice</w:t>
      </w:r>
      <w:r>
        <w:rPr>
          <w:rFonts w:eastAsia="Tahoma" w:cs="Tahoma" w:ascii="Tahoma" w:hAnsi="Tahoma"/>
          <w:color w:val="2F5496"/>
        </w:rPr>
        <w:t xml:space="preserve"> ao (re)ingresso da parte autora no Programa Bolsa Família advém da mora da parte ré.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  <w:t>A falta de estrutura de pessoal para a realização das entrevistas domiciliares não deve ser um impedimento para a inclusão de novas famílias unipessoais no Bolsa Família. Cabe à União, além de repassar recursos aos Municípios, cumprir os termos do acordo coletivo firmado em ACP e das normas legais e infralegais editadas.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rFonts w:ascii="Tahoma" w:hAnsi="Tahoma" w:eastAsia="Tahoma" w:cs="Tahoma"/>
          <w:color w:val="2F5496"/>
        </w:rPr>
      </w:pPr>
      <w:r>
        <w:rPr/>
      </w:r>
    </w:p>
    <w:p>
      <w:pPr>
        <w:pStyle w:val="Standard"/>
        <w:shd w:val="clear" w:color="auto" w:fill="FCFCFC"/>
        <w:spacing w:lineRule="auto" w:line="240" w:before="239" w:after="60"/>
        <w:ind w:left="0" w:right="0" w:firstLine="849"/>
        <w:jc w:val="both"/>
        <w:rPr/>
      </w:pPr>
      <w:r>
        <w:rPr>
          <w:rFonts w:eastAsia="Tahoma" w:cs="Tahoma" w:ascii="Tahoma" w:hAnsi="Tahoma"/>
          <w:b/>
          <w:color w:val="2F5496"/>
          <w:shd w:fill="FFFF00" w:val="clear"/>
        </w:rPr>
        <w:t>NOTA (excluir antes do protocolo)</w:t>
      </w:r>
      <w:r>
        <w:rPr>
          <w:rFonts w:eastAsia="Tahoma" w:cs="Tahoma" w:ascii="Tahoma" w:hAnsi="Tahoma"/>
          <w:b/>
          <w:color w:val="2F5496"/>
        </w:rPr>
        <w:t>:</w:t>
      </w:r>
      <w:r>
        <w:rPr>
          <w:rFonts w:eastAsia="Tahoma" w:cs="Tahoma" w:ascii="Tahoma" w:hAnsi="Tahoma"/>
          <w:color w:val="2F5496"/>
        </w:rPr>
        <w:t xml:space="preserve"> Para a </w:t>
      </w:r>
      <w:r>
        <w:rPr>
          <w:rFonts w:eastAsia="Tahoma" w:cs="Tahoma" w:ascii="Tahoma" w:hAnsi="Tahoma"/>
          <w:b/>
          <w:bCs/>
          <w:color w:val="2F5496"/>
        </w:rPr>
        <w:t>atualização</w:t>
      </w:r>
      <w:r>
        <w:rPr>
          <w:rFonts w:eastAsia="Tahoma" w:cs="Tahoma" w:ascii="Tahoma" w:hAnsi="Tahoma"/>
          <w:color w:val="2F5496"/>
        </w:rPr>
        <w:t xml:space="preserve"> cadastral de família unipessoal beneficiária do Programa, o Acordo MDS/INSS/DPU nº 4/2026, firmado na Ação Civil Pública nº 5002171-51.2026.4.03.6000 (4ª Vara Federal de Campo Grande/MS) e homologado por sentença de 14/07/2026 com eficácia de coisa julgada coletiva, e a Portaria MDS nº 1.199/2026, editada para cumpri-lo, adiaram para 1º de julho de 2027 a exigibilidade da visita domiciliar, de modo que a ausência da entrevista, por si só, não pode gerar bloqueio ou cancelamento do benefício. Assim, se o benefício foi cancelado ou bloqueado apenas por falta de atualização mediante visita (salvo famílias em averiguação cadastral), avaliar acrescentar a tese da dispensa temporária, nos moldes do item IV.2 do modelo sobre entrevista domiciliar. 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rFonts w:ascii="Tahoma" w:hAnsi="Tahoma" w:eastAsia="Tahoma" w:cs="Tahoma"/>
          <w:b/>
          <w:b/>
          <w:bCs/>
          <w:color w:val="2F5496"/>
          <w:shd w:fill="FFFF00" w:val="clear"/>
        </w:rPr>
      </w:pPr>
      <w:r>
        <w:rPr>
          <w:rFonts w:eastAsia="Tahoma" w:cs="Tahoma" w:ascii="Tahoma" w:hAnsi="Tahoma"/>
          <w:b/>
          <w:bCs/>
          <w:color w:val="2F5496"/>
          <w:shd w:fill="FFFF00" w:val="clear"/>
        </w:rPr>
        <w:t>[CASO TAMBÉM INTEGRE GRUPO EXCEPCIONAL: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  <w:t>Além disso, no caso concreto, conforme documentos acostados com a petição inicial (Id.....), a parte autora integra grupo excepcional ________ , afastando o limite de 16%, conforme previsto no art. 6°, § 3º, inciso _____, da Portaria MDS n° 897/2023.</w:t>
      </w:r>
    </w:p>
    <w:p>
      <w:pPr>
        <w:pStyle w:val="Normal"/>
        <w:spacing w:lineRule="auto" w:line="240"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Sendo assim, caso não seja sanada a omissão quanto ao marco temporal fixado pelo Tema 379 da TNU, com a consequente (re)inclusão imediata da parte autora no Programa Bolsa Família, requer seja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sanada a omissão quanto ao pedido subsidiário para reconhecer a hipótese de exceção ao limite de 16% por município, nos termos do art. 6º, §3º, ____, da Portaria MDS nº 897/2023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, e julgar procedente o pedido. 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5. 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>DA OMISSÃO QUANTO À INCONSTITUCIONALIDADE DO ART. 12-A DA LEI</w:t>
      </w:r>
      <w:r>
        <w:rPr>
          <w:rFonts w:eastAsia="Quattrocento Sans" w:cs="Quattrocento Sans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 </w:t>
      </w:r>
      <w:r>
        <w:rPr>
          <w:rFonts w:eastAsia="Quattrocento Sans" w:cs="Quattrocento Sans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>Nº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 xml:space="preserve"> 14.601/2023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O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 acórdão embargado também deixou de enfrentar a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tese de inconstitucionalidade do referido dispositivo legal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, expressamente suscitada pela parte autora.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  <w:t>O art. 12-A da Lei nº 14.601/2023, incluído pela Lei nº 15.077/2024, dispõe que os Municípios e o Distrito Federal, na atuação descentralizada da execução e da gestão do Programa Bolsa Família, deverão observar índice máximo de famílias compostas de 1 (uma) só pessoa inscritas no Programa, nos termos de ato do Poder Executivo federal.   </w:t>
      </w:r>
    </w:p>
    <w:p>
      <w:pPr>
        <w:pStyle w:val="Standard"/>
        <w:spacing w:lineRule="auto" w:line="240" w:before="0" w:after="240"/>
        <w:ind w:left="0" w:right="0" w:firstLine="849"/>
        <w:jc w:val="both"/>
        <w:rPr/>
      </w:pPr>
      <w:r>
        <w:rPr>
          <w:rFonts w:eastAsia="Tahoma" w:cs="Tahoma" w:ascii="Tahoma" w:hAnsi="Tahoma"/>
          <w:b/>
          <w:bCs/>
          <w:color w:val="2F5496"/>
        </w:rPr>
        <w:t>Tal dispositivo consiste em verdadeira "delegação legislativa em branco",</w:t>
      </w:r>
      <w:r>
        <w:rPr>
          <w:rFonts w:eastAsia="Tahoma" w:cs="Tahoma" w:ascii="Tahoma" w:hAnsi="Tahoma"/>
          <w:color w:val="2F5496"/>
        </w:rPr>
        <w:t xml:space="preserve"> uma vez que o texto legal não estabelece balizas fundamentais para essa regulamentação, como o percentual máximo admissível, critérios técnicos para sua fixação ou limites que deveriam orientar a atuação administrativa.</w:t>
      </w:r>
    </w:p>
    <w:p>
      <w:pPr>
        <w:pStyle w:val="Standard"/>
        <w:spacing w:lineRule="auto" w:line="240" w:before="0" w:after="240"/>
        <w:ind w:left="0" w:right="0" w:firstLine="849"/>
        <w:jc w:val="both"/>
        <w:rPr/>
      </w:pPr>
      <w:r>
        <w:rPr>
          <w:rFonts w:eastAsia="Tahoma" w:cs="Tahoma" w:ascii="Tahoma" w:hAnsi="Tahoma"/>
          <w:b/>
          <w:bCs/>
          <w:color w:val="2F5496"/>
        </w:rPr>
        <w:t>Ao conferir ao Poder Executivo uma discricionariedade ampla e sem diretrizes, a lei permite que a administração defina o índice de forma arbitrária, o que fere diretamente o princípio da legalidade (artigos 5º, II, e 37, caput, CF) e a separação de poderes (art. 2º, CF</w:t>
      </w:r>
      <w:r>
        <w:rPr>
          <w:rFonts w:eastAsia="Tahoma" w:cs="Tahoma" w:ascii="Tahoma" w:hAnsi="Tahoma"/>
          <w:color w:val="2F5496"/>
        </w:rPr>
        <w:t>). Essa transferência de competência retira do Poder Legislativo a tarefa de definir os contornos de uma restrição a direitos sociais, permitindo que o Executivo inove na ordem jurídica para criar critérios de exclusão que não possuem suporte na lei que instituiu o Programa.</w:t>
      </w:r>
    </w:p>
    <w:p>
      <w:pPr>
        <w:pStyle w:val="Standard"/>
        <w:spacing w:lineRule="auto" w:line="240" w:before="0" w:after="240"/>
        <w:ind w:left="0" w:right="0" w:firstLine="849"/>
        <w:jc w:val="both"/>
        <w:rPr/>
      </w:pPr>
      <w:r>
        <w:rPr>
          <w:rFonts w:eastAsia="Tahoma" w:cs="Tahoma" w:ascii="Tahoma" w:hAnsi="Tahoma"/>
          <w:color w:val="2F5496"/>
        </w:rPr>
        <w:t xml:space="preserve">A norma institui uma discriminação desarrazoada, violando, outrossim, o </w:t>
      </w:r>
      <w:r>
        <w:rPr>
          <w:rFonts w:eastAsia="Tahoma" w:cs="Tahoma" w:ascii="Tahoma" w:hAnsi="Tahoma"/>
          <w:b/>
          <w:bCs/>
          <w:color w:val="2F5496"/>
        </w:rPr>
        <w:t>princípio da isonomia</w:t>
      </w:r>
      <w:r>
        <w:rPr>
          <w:rFonts w:eastAsia="Tahoma" w:cs="Tahoma" w:ascii="Tahoma" w:hAnsi="Tahoma"/>
          <w:color w:val="2F5496"/>
        </w:rPr>
        <w:t xml:space="preserve"> (art. 5º, </w:t>
      </w:r>
      <w:r>
        <w:rPr>
          <w:rFonts w:eastAsia="Tahoma" w:cs="Tahoma" w:ascii="Tahoma" w:hAnsi="Tahoma"/>
          <w:i/>
          <w:iCs/>
          <w:color w:val="2F5496"/>
        </w:rPr>
        <w:t>caput</w:t>
      </w:r>
      <w:r>
        <w:rPr>
          <w:rFonts w:eastAsia="Tahoma" w:cs="Tahoma" w:ascii="Tahoma" w:hAnsi="Tahoma"/>
          <w:color w:val="2F5496"/>
        </w:rPr>
        <w:t xml:space="preserve"> e I, CF) e os objetivos fundamentais da República presentes no art. 3º, III e IV, CF, ao impor que </w:t>
      </w:r>
      <w:r>
        <w:rPr>
          <w:rFonts w:eastAsia="Tahoma" w:cs="Tahoma" w:ascii="Tahoma" w:hAnsi="Tahoma"/>
          <w:b/>
          <w:bCs/>
          <w:color w:val="2F5496"/>
        </w:rPr>
        <w:t>cidadãos em idêntica situação de vulnerabilidade recebam respostas estatais diametralmente opostas fundadas exclusivamente em seu local de residência, esvaziando o caráter universal da assistência social e agravando a marginalização que o Estado tem o dever constitucional de erradicar</w:t>
      </w:r>
      <w:r>
        <w:rPr>
          <w:rFonts w:eastAsia="Tahoma" w:cs="Tahoma" w:ascii="Tahoma" w:hAnsi="Tahoma"/>
          <w:color w:val="2F5496"/>
        </w:rPr>
        <w:t xml:space="preserve">. Ainda, ao inviabilizar o acesso de quem preenche todos os requisitos legais, o ente público viola o </w:t>
      </w:r>
      <w:r>
        <w:rPr>
          <w:rFonts w:eastAsia="Tahoma" w:cs="Tahoma" w:ascii="Tahoma" w:hAnsi="Tahoma"/>
          <w:b/>
          <w:bCs/>
          <w:color w:val="2F5496"/>
        </w:rPr>
        <w:t>direito fundamental à alimentação e à renda básica (art. 6º, caput e parágrafo único, CF/88).</w:t>
      </w:r>
    </w:p>
    <w:p>
      <w:pPr>
        <w:pStyle w:val="Standard"/>
        <w:spacing w:lineRule="auto" w:line="240" w:before="0" w:after="240"/>
        <w:ind w:left="0" w:right="0" w:firstLine="849"/>
        <w:jc w:val="both"/>
        <w:rPr/>
      </w:pPr>
      <w:r>
        <w:rPr>
          <w:rFonts w:eastAsia="Tahoma" w:cs="Tahoma" w:ascii="Tahoma" w:hAnsi="Tahoma"/>
          <w:color w:val="2F5496"/>
        </w:rPr>
        <w:t xml:space="preserve">Ademais, a imposição de um teto percentual de famílias unipessoais no Programa Bolsa Família por Município subverte </w:t>
      </w:r>
      <w:r>
        <w:rPr>
          <w:rFonts w:eastAsia="Tahoma" w:cs="Tahoma" w:ascii="Tahoma" w:hAnsi="Tahoma"/>
          <w:b/>
          <w:bCs/>
          <w:color w:val="2F5496"/>
        </w:rPr>
        <w:t>o princípio da dignidade da pessoa humana e o mínimo existencial</w:t>
      </w:r>
      <w:r>
        <w:rPr>
          <w:rFonts w:eastAsia="Tahoma" w:cs="Tahoma" w:ascii="Tahoma" w:hAnsi="Tahoma"/>
          <w:color w:val="2F5496"/>
        </w:rPr>
        <w:t xml:space="preserve"> (art. 1º, III, CF/88), uma vez que condiciona a subsistência básica de indivíduos hipossuficientes a fatores demográficos alheios à realidade pessoal do indivíduo.</w:t>
      </w:r>
    </w:p>
    <w:p>
      <w:pPr>
        <w:pStyle w:val="Standard"/>
        <w:spacing w:lineRule="auto" w:line="240" w:before="0" w:after="240"/>
        <w:ind w:left="0" w:right="0" w:firstLine="849"/>
        <w:jc w:val="both"/>
        <w:rPr/>
      </w:pPr>
      <w:r>
        <w:rPr>
          <w:rFonts w:eastAsia="Tahoma" w:cs="Tahoma" w:ascii="Tahoma" w:hAnsi="Tahoma"/>
          <w:color w:val="2F5496"/>
        </w:rPr>
        <w:t xml:space="preserve">Por fim, a introdução de barreiras inexistentes nos primórdios do programa configura nítido </w:t>
      </w:r>
      <w:r>
        <w:rPr>
          <w:rFonts w:eastAsia="Tahoma" w:cs="Tahoma" w:ascii="Tahoma" w:hAnsi="Tahoma"/>
          <w:b/>
          <w:bCs/>
          <w:color w:val="2F5496"/>
        </w:rPr>
        <w:t>retrocesso social</w:t>
      </w:r>
      <w:r>
        <w:rPr>
          <w:rFonts w:eastAsia="Tahoma" w:cs="Tahoma" w:ascii="Tahoma" w:hAnsi="Tahoma"/>
          <w:color w:val="2F5496"/>
        </w:rPr>
        <w:t>, pois restringe o alcance de uma política pública consolidada sem a oferta de medidas compensatórias, rompendo com o compromisso de evolução progressiva dos direitos sociais e ferindo a segurança jurídica dos mais vulneráveis, ignorando o caminho apontado pelo STF no MI nº 7.300/DF de ampliação do escopo do Programa.</w:t>
      </w:r>
    </w:p>
    <w:p>
      <w:pPr>
        <w:pStyle w:val="Standard"/>
        <w:shd w:val="clear" w:color="auto" w:fill="FCFCFC"/>
        <w:spacing w:lineRule="auto" w:line="240" w:before="0" w:after="60"/>
        <w:ind w:left="0" w:right="0" w:firstLine="849"/>
        <w:jc w:val="both"/>
        <w:rPr/>
      </w:pPr>
      <w:r>
        <w:rPr>
          <w:rFonts w:eastAsia="Tahoma" w:cs="Tahoma" w:ascii="Tahoma" w:hAnsi="Tahoma"/>
          <w:color w:val="2F5496"/>
        </w:rPr>
        <w:t xml:space="preserve">Vale ressaltar que o Supremo Tribunal Federal, por unanimidade, em julgamento virtual publicado no DJE de 24/09/2026, reconheceu a repercussão geral do RE 1.614.224 (Tema 1.472), interposto pela Defensoria Pública da União contra o acórdão da TNU que fixou o Tema 379, para discutir, à luz dos arts. 1º, III; 2º; 3º, III; 5º, II; 6º, parágrafo único; e 37 da Constituição Federal, a constitucionalidade da imposição, por ato infralegal do Poder Executivo, de índice máximo de famílias unipessoais por município como condição para o ingresso no Programa Bolsa Família. O reconhecimento da repercussão geral reforça a </w:t>
      </w:r>
      <w:r>
        <w:rPr>
          <w:rFonts w:eastAsia="Tahoma" w:cs="Tahoma" w:ascii="Tahoma" w:hAnsi="Tahoma"/>
          <w:b/>
          <w:bCs/>
          <w:color w:val="2F5496"/>
        </w:rPr>
        <w:t>necessidade da declaração de inconstitucionalidade incidental do artigo 12-A da Lei nº 14.601/2023,</w:t>
      </w:r>
      <w:r>
        <w:rPr>
          <w:rFonts w:eastAsia="Tahoma" w:cs="Tahoma" w:ascii="Tahoma" w:hAnsi="Tahoma"/>
          <w:color w:val="2F5496"/>
        </w:rPr>
        <w:t xml:space="preserve"> pelos seguintes fundamentos:</w:t>
      </w:r>
    </w:p>
    <w:p>
      <w:pPr>
        <w:pStyle w:val="Standard"/>
        <w:spacing w:lineRule="auto" w:line="240" w:before="0" w:after="240"/>
        <w:jc w:val="center"/>
        <w:rPr/>
      </w:pPr>
      <w:r>
        <w:rPr/>
        <w:drawing>
          <wp:inline distT="0" distB="0" distL="0" distR="0">
            <wp:extent cx="6200140" cy="1905635"/>
            <wp:effectExtent l="0" t="0" r="0" b="0"/>
            <wp:docPr id="2" name="are_1550140_fundamentos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e_1550140_fundamentos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4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spacing w:lineRule="auto" w:line="240" w:before="0" w:after="240"/>
        <w:ind w:left="0" w:right="0" w:firstLine="849"/>
        <w:jc w:val="both"/>
        <w:rPr/>
      </w:pPr>
      <w:r>
        <w:rPr>
          <w:rFonts w:eastAsia="Tahoma" w:cs="Tahoma" w:ascii="Tahoma" w:hAnsi="Tahoma"/>
          <w:color w:val="2F5496"/>
        </w:rPr>
        <w:t xml:space="preserve">A pendência de julgamento, contudo, não obstaculiza o regular andamento e julgamento deste feito, porquanto o mero reconhecimento da repercussão geral não opera a suspensão automática das demandas correlatas, cuja determinação depende de ato expresso do Ministro Relator (art. 1.035, § 5º, do CPC), inexistente até o presente momento. </w:t>
      </w:r>
    </w:p>
    <w:p>
      <w:pPr>
        <w:pStyle w:val="Normal"/>
        <w:spacing w:before="80" w:after="192"/>
        <w:ind w:firstLine="720"/>
        <w:jc w:val="both"/>
        <w:rPr>
          <w:rFonts w:ascii="Quattrocento Sans" w:hAnsi="Quattrocento Sans" w:eastAsia="Quattrocento Sans" w:cs="Quattrocento Sans"/>
          <w:color w:val="215E99" w:themeColor="text2" w:themeTint="bf"/>
          <w:sz w:val="22"/>
          <w:szCs w:val="22"/>
        </w:rPr>
      </w:pP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 xml:space="preserve">Ante o exposto, requer sejam sanadas as omissões apontadas, com o pronunciamento desta Turma Recursal quanto ao controle incidental de constitucionalidade do artigo 12-A da Lei nº 14.601/2023, incluído pela Lei nº 15.077/2024, e, consequentemente, seja julgado procedente o pedido de (re)ingresso da parte autora no Programa Bolsa Família. </w:t>
      </w:r>
    </w:p>
    <w:p>
      <w:pPr>
        <w:pStyle w:val="Normal"/>
        <w:spacing w:before="80" w:after="192"/>
        <w:ind w:firstLine="720"/>
        <w:jc w:val="both"/>
        <w:rPr>
          <w:rFonts w:ascii="Quattrocento Sans" w:hAnsi="Quattrocento Sans" w:eastAsia="Quattrocento Sans" w:cs="Quattrocento Sans"/>
          <w:color w:val="215E99" w:themeColor="text2" w:themeTint="bf"/>
          <w:sz w:val="22"/>
          <w:szCs w:val="22"/>
        </w:rPr>
      </w:pP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6. 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>DA VIOLAÇÃO AOS ART. 489, §1º, IV, DO CPC E 93, IX DA CONSTITUIÇÃO FEDERAL – AUSÊNCIA DE ENFRENTAMENTO DAS TESES JURÍDICAS SUSCITADAS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As omissões apontadas nos presentes embargos configuram verdadeira violação ao dever constitucional de fundamentação das decisões judiciais (art. 489, §1º, IV, do CPC e art. 93, IX, da Constituição Federal).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No caso em exame, foram expressamente suscitadas pela parte autora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  <w:highlight w:val="yellow"/>
        </w:rPr>
        <w:t>quatro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teses jurídicas centrais:</w:t>
      </w:r>
    </w:p>
    <w:p>
      <w:pPr>
        <w:pStyle w:val="Normal"/>
        <w:numPr>
          <w:ilvl w:val="0"/>
          <w:numId w:val="3"/>
        </w:numPr>
        <w:spacing w:before="80" w:after="0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A ilegalidade da limitação percentual de famílias unipessoais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antes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da vigência da Lei 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>nº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15.077/2024, conforme interpretação fixada pela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Turma Nacional de Uniformização no Tema 379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; </w:t>
      </w:r>
    </w:p>
    <w:p>
      <w:pPr>
        <w:pStyle w:val="Normal"/>
        <w:numPr>
          <w:ilvl w:val="0"/>
          <w:numId w:val="3"/>
        </w:numPr>
        <w:spacing w:before="0" w:after="0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O caráter restitutório da pretensão deduzida em juízo, uma vez que se trata de restabelecimento de benefício anteriormente concedido e posteriormente cancelado por critério administrativo desprovido de base legal; </w:t>
      </w:r>
    </w:p>
    <w:p>
      <w:pPr>
        <w:pStyle w:val="Normal"/>
        <w:numPr>
          <w:ilvl w:val="0"/>
          <w:numId w:val="3"/>
        </w:numPr>
        <w:spacing w:before="0" w:after="0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A existência de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hipótese de exceção ao limite de 16% de famílias unipessoais por município (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art. 6º, §3º, ____, da Portaria MDS nº 897/2023) – inclusive pedido de realização de entrevista domiciliar para atualização do CadÚnico;</w:t>
      </w:r>
    </w:p>
    <w:p>
      <w:pPr>
        <w:pStyle w:val="Normal"/>
        <w:numPr>
          <w:ilvl w:val="0"/>
          <w:numId w:val="3"/>
        </w:numPr>
        <w:spacing w:before="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A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inconstitucionalidade incidental do art. 12-A da Lei </w:t>
      </w:r>
      <w:r>
        <w:rPr>
          <w:rFonts w:eastAsia="Quattrocento Sans" w:cs="Quattrocento Sans" w:ascii="Quattrocento Sans" w:hAnsi="Quattrocento Sans"/>
          <w:b/>
          <w:bCs/>
          <w:color w:val="215E99" w:themeColor="text2" w:themeTint="bf"/>
          <w:sz w:val="22"/>
          <w:szCs w:val="22"/>
        </w:rPr>
        <w:t>nº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 14.601/2023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. 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Cada uma dessas teses possui i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nequívoca capacidade de infirmar a conclusão adotada por esta Turma Recursal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. Todavia, a decisão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não enfrentou diretamente essa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(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s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)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 quest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ão(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ões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)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, limitando-se a reproduzir considerações genéricas acerca da gestão administrativa do Programa Bolsa Família e da inexistência de direito automático ao benefício.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Por essa razão, os presentes embargos mostram-se indispensáveis para permitir a integração do julgado, com a consequente atribuição de efeitos modificativos.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7. 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>DO PREQUESTIONAMENTO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  <w:t>Para fins de eventual interposição de recursos excepcionais, requer-se o pronunciamento expresso acerca da interpretação e aplicação dos seguintes dispositivos:</w:t>
      </w:r>
    </w:p>
    <w:p>
      <w:pPr>
        <w:pStyle w:val="Standard"/>
        <w:numPr>
          <w:ilvl w:val="0"/>
          <w:numId w:val="5"/>
        </w:numPr>
        <w:spacing w:lineRule="auto" w:line="240" w:before="0" w:after="0"/>
        <w:ind w:left="0" w:right="0" w:hanging="0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  <w:t xml:space="preserve">Artigo 1º, III; artigo 2º; artigo 3º, III e IV; artigo 5º, </w:t>
      </w:r>
      <w:r>
        <w:rPr>
          <w:rFonts w:eastAsia="Tahoma" w:cs="Tahoma" w:ascii="Tahoma" w:hAnsi="Tahoma"/>
          <w:i/>
          <w:iCs/>
          <w:color w:val="2F5496"/>
        </w:rPr>
        <w:t xml:space="preserve">caput </w:t>
      </w:r>
      <w:r>
        <w:rPr>
          <w:rFonts w:eastAsia="Tahoma" w:cs="Tahoma" w:ascii="Tahoma" w:hAnsi="Tahoma"/>
          <w:color w:val="2F5496"/>
        </w:rPr>
        <w:t>e</w:t>
      </w:r>
      <w:r>
        <w:rPr>
          <w:rFonts w:eastAsia="Tahoma" w:cs="Tahoma" w:ascii="Tahoma" w:hAnsi="Tahoma"/>
          <w:i/>
          <w:iCs/>
          <w:color w:val="2F5496"/>
        </w:rPr>
        <w:t xml:space="preserve"> </w:t>
      </w:r>
      <w:r>
        <w:rPr>
          <w:rFonts w:eastAsia="Tahoma" w:cs="Tahoma" w:ascii="Tahoma" w:hAnsi="Tahoma"/>
          <w:color w:val="2F5496"/>
        </w:rPr>
        <w:t xml:space="preserve">incisos I, II, e XXXVI; artigo 6º, </w:t>
      </w:r>
      <w:r>
        <w:rPr>
          <w:rFonts w:eastAsia="Tahoma" w:cs="Tahoma" w:ascii="Tahoma" w:hAnsi="Tahoma"/>
          <w:i/>
          <w:iCs/>
          <w:color w:val="2F5496"/>
        </w:rPr>
        <w:t xml:space="preserve">caput </w:t>
      </w:r>
      <w:r>
        <w:rPr>
          <w:rFonts w:eastAsia="Tahoma" w:cs="Tahoma" w:ascii="Tahoma" w:hAnsi="Tahoma"/>
          <w:color w:val="2F5496"/>
        </w:rPr>
        <w:t>e parágrafo único; art. 37, caput; artigo 93, IX, todos da Constituição Federal; e violação à decisão proferida pelo STF no Mandado de Injunção n. 7.300/DF;</w:t>
      </w:r>
    </w:p>
    <w:p>
      <w:pPr>
        <w:pStyle w:val="Standard"/>
        <w:numPr>
          <w:ilvl w:val="0"/>
          <w:numId w:val="5"/>
        </w:numPr>
        <w:spacing w:lineRule="auto" w:line="240" w:before="0" w:after="240"/>
        <w:ind w:left="0" w:right="0" w:hanging="0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  <w:t>Artigo 1º c/c § 1º da Lei nº 10.835/04; artigo 4º, I e IV, Lei nº 8.742/92; artigo 1º c/c § 1º da Lei nº 14.601/23; artigo 5º e artigo 12-A, todos da Lei nº 14.601/23; artigos 489, §1º, 1.022, II e 1.025, todos do CPC; artigo 30 da Lei de Introdução ao Direito Brasileiro; violação ao Tema 379 da TNU e a questão constitucional submetida ao Tema 1.472 do STF (RE 1.614.224).</w:t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i/>
          <w:i/>
          <w:i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8.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 xml:space="preserve"> DO PEDIDO</w:t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Diante do exposto, requer-se: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a) o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conhecimento e provimento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dos presentes Embargos de Declaração, a fim de que sejam sanadas as omissões apontadas;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eastAsia="Quattrocento Sans" w:cs="Quattrocento Sans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b) supridas as omissões,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sejam atribuídos efeitos infringentes ao recurso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, para julgar procedente o pedido de 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>(re)inclusão da parte autora no Programa Bolsa Família, com o pagamento das parcelas vencidas e vincendas do benefício, desde a data da atualização/cadastramento no CadÚnico/indevida exclusão do PBF, acrescidas de juros legais e correção monetária;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eastAsia="Quattrocento Sans" w:cs="Quattrocento Sans"/>
          <w:color w:val="215E99" w:themeColor="text2" w:themeTint="bf"/>
          <w:sz w:val="22"/>
          <w:szCs w:val="22"/>
        </w:rPr>
      </w:pP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>c) a concessão de tutela antecipada, para que a (re)inclusão da parte autora no Programa Bolsa Família seja determinada no prazo de 30 dias, sob pena de multa diária;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d) por fim, requer-se o prequestionamento expresso das normas constitucionais e legais indicadas.</w:t>
      </w:r>
    </w:p>
    <w:p>
      <w:pPr>
        <w:pStyle w:val="Normal"/>
        <w:spacing w:before="80" w:after="192"/>
        <w:jc w:val="center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Nesses termos, pede deferimento.</w:t>
      </w:r>
    </w:p>
    <w:p>
      <w:pPr>
        <w:pStyle w:val="Normal"/>
        <w:spacing w:before="80" w:after="192"/>
        <w:jc w:val="center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Local, data.</w:t>
      </w:r>
    </w:p>
    <w:p>
      <w:pPr>
        <w:pStyle w:val="Normal"/>
        <w:spacing w:before="80" w:after="192"/>
        <w:jc w:val="center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center"/>
        <w:rPr>
          <w:rFonts w:ascii="Quattrocento Sans" w:hAnsi="Quattrocento Sans" w:cs="Calibri"/>
          <w:b/>
          <w:b/>
          <w:bCs/>
          <w:color w:val="215F9A" w:themeColor="text2" w:themeTint="bf"/>
          <w:sz w:val="22"/>
          <w:szCs w:val="22"/>
          <w:highlight w:val="none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Defensor/a Público/a Federal</w:t>
      </w:r>
    </w:p>
    <w:p>
      <w:pPr>
        <w:pStyle w:val="Normal"/>
        <w:spacing w:before="80" w:after="192"/>
        <w:jc w:val="center"/>
        <w:rPr>
          <w:rFonts w:ascii="Quattrocento Sans" w:hAnsi="Quattrocento Sans" w:cs="Calibri"/>
          <w:b/>
          <w:b/>
          <w:bCs/>
          <w:color w:val="215F9A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F9A" w:themeColor="text2" w:themeTint="bf"/>
          <w:sz w:val="22"/>
          <w:szCs w:val="22"/>
        </w:rPr>
      </w:r>
    </w:p>
    <w:p>
      <w:pPr>
        <w:pStyle w:val="Normal"/>
        <w:spacing w:before="80" w:after="192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</w:r>
    </w:p>
    <w:tbl>
      <w:tblPr>
        <w:tblStyle w:val="788"/>
        <w:tblW w:w="9639" w:type="dxa"/>
        <w:jc w:val="left"/>
        <w:tblInd w:w="-70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0" w:lastRow="1" w:firstColumn="1" w:lastColumn="1" w:noHBand="0" w:val="01e0"/>
      </w:tblPr>
      <w:tblGrid>
        <w:gridCol w:w="6237"/>
        <w:gridCol w:w="3401"/>
      </w:tblGrid>
      <w:tr>
        <w:trPr>
          <w:trHeight w:val="20" w:hRule="atLeast"/>
        </w:trPr>
        <w:tc>
          <w:tcPr>
            <w:tcW w:w="6237" w:type="dxa"/>
            <w:tcBorders/>
            <w:shd w:color="auto" w:fill="B8CCE1" w:val="clear"/>
          </w:tcPr>
          <w:p>
            <w:pPr>
              <w:pStyle w:val="Normal"/>
              <w:widowControl w:val="false"/>
              <w:spacing w:lineRule="auto" w:line="240" w:before="0" w:after="0"/>
              <w:ind w:left="0" w:right="120" w:hanging="0"/>
              <w:rPr/>
            </w:pPr>
            <w:r>
              <w:rPr>
                <w:rFonts w:cs="Tahoma" w:ascii="Tahoma" w:hAnsi="Tahoma"/>
                <w:b/>
                <w:bCs/>
                <w:color w:val="2F5496"/>
              </w:rPr>
              <w:t xml:space="preserve">              </w:t>
            </w:r>
          </w:p>
          <w:p>
            <w:pPr>
              <w:pStyle w:val="Normal"/>
              <w:widowControl w:val="false"/>
              <w:spacing w:lineRule="auto" w:line="240" w:before="0" w:after="0"/>
              <w:jc w:val="right"/>
              <w:rPr/>
            </w:pPr>
            <w:r>
              <w:rPr>
                <w:rFonts w:eastAsia="Tahoma" w:cs="Tahoma" w:ascii="Tahoma" w:hAnsi="Tahoma"/>
                <w:b/>
                <w:bCs/>
                <w:color w:val="2F5496"/>
                <w:sz w:val="20"/>
                <w:szCs w:val="20"/>
              </w:rPr>
              <w:t>Membros/as da Câmara de Coordenação e Revisão Cível: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27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Alexandre Mendes Lima de Oliveira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27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 xml:space="preserve">Clemens Emanuel Santana de Freitas 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27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Denise Tanaka dos Santos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23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Fernando da Cunha Cavalcanti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23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Luísa Ayumi Komoda Paes de Figueiredo</w:t>
            </w:r>
          </w:p>
          <w:p>
            <w:pPr>
              <w:pStyle w:val="Normal"/>
              <w:widowControl w:val="false"/>
              <w:spacing w:lineRule="auto" w:line="240" w:before="0" w:after="0"/>
              <w:ind w:left="4508" w:right="123" w:hanging="471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Polianna Maia Paiva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30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Wilza Carla Folchini Barreiros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30" w:hanging="0"/>
              <w:jc w:val="right"/>
              <w:rPr>
                <w:rFonts w:ascii="Tahoma" w:hAnsi="Tahoma" w:cs="Tahoma"/>
                <w:color w:val="1F467A"/>
                <w:sz w:val="20"/>
                <w:szCs w:val="20"/>
              </w:rPr>
            </w:pPr>
            <w:r>
              <w:rPr>
                <w:rFonts w:cs="Tahoma" w:ascii="Tahoma" w:hAnsi="Tahoma"/>
                <w:color w:val="1F467A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30" w:hanging="0"/>
              <w:jc w:val="right"/>
              <w:rPr/>
            </w:pPr>
            <w:r>
              <w:rPr>
                <w:rFonts w:eastAsia="Tahoma" w:cs="Tahoma" w:ascii="Tahoma" w:hAnsi="Tahoma"/>
                <w:b/>
                <w:bCs/>
                <w:color w:val="1F467A"/>
                <w:sz w:val="20"/>
                <w:szCs w:val="20"/>
              </w:rPr>
              <w:t>Assessoria da Câmara de Coordenação e Revisão Cível: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19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Gabriella Ramalho Uchoa Sinachi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19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Maria Clara de Almeida Ferraz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19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ab/>
              <w:t>Mariana Albuquerque de Lima Ribeiro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19" w:hanging="0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26" w:hanging="0"/>
              <w:jc w:val="right"/>
              <w:rPr/>
            </w:pPr>
            <w:r>
              <w:rPr>
                <w:rFonts w:eastAsia="Tahoma" w:cs="Tahoma" w:ascii="Tahoma" w:hAnsi="Tahoma"/>
                <w:b/>
                <w:bCs/>
                <w:color w:val="1F467A"/>
                <w:sz w:val="20"/>
                <w:szCs w:val="20"/>
              </w:rPr>
              <w:t>Coordenadora da Câmara de Coordenação e Revisão Cível: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23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Polianna Maia Paiva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23" w:hanging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01" w:type="dxa"/>
            <w:tcBorders/>
            <w:shd w:color="auto" w:fill="B8CCE1" w:val="clear"/>
          </w:tcPr>
          <w:p>
            <w:pPr>
              <w:pStyle w:val="Normal"/>
              <w:widowControl w:val="false"/>
              <w:spacing w:lineRule="auto" w:line="240" w:before="0" w:after="0"/>
              <w:ind w:left="-250" w:right="120" w:firstLine="141"/>
              <w:rPr>
                <w:rFonts w:ascii="Tahoma" w:hAnsi="Tahoma" w:cs="Tahoma"/>
                <w:color w:val="2F5496"/>
                <w:sz w:val="21"/>
                <w:szCs w:val="21"/>
              </w:rPr>
            </w:pPr>
            <w:r>
              <w:rPr>
                <w:rFonts w:cs="Tahoma" w:ascii="Tahoma" w:hAnsi="Tahoma"/>
                <w:color w:val="2F5496"/>
                <w:sz w:val="21"/>
                <w:szCs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-250" w:right="120" w:firstLine="141"/>
              <w:rPr>
                <w:rFonts w:ascii="Tahoma" w:hAnsi="Tahoma" w:cs="Tahoma"/>
                <w:color w:val="2F5496"/>
                <w:sz w:val="21"/>
                <w:szCs w:val="21"/>
              </w:rPr>
            </w:pPr>
            <w:r>
              <w:rPr>
                <w:rFonts w:cs="Tahoma" w:ascii="Tahoma" w:hAnsi="Tahoma"/>
                <w:color w:val="2F5496"/>
                <w:sz w:val="21"/>
                <w:szCs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-250" w:right="120" w:firstLine="283"/>
              <w:rPr/>
            </w:pPr>
            <w:r>
              <w:rPr>
                <w:rFonts w:eastAsia="Tahoma" w:cs="Tahoma" w:ascii="Tahoma" w:hAnsi="Tahoma"/>
                <w:color w:val="2F5496"/>
                <w:sz w:val="20"/>
                <w:szCs w:val="20"/>
              </w:rPr>
              <w:t>ccrcivel@dpu.def.br</w:t>
            </w:r>
          </w:p>
          <w:p>
            <w:pPr>
              <w:pStyle w:val="Normal"/>
              <w:widowControl w:val="false"/>
              <w:spacing w:lineRule="auto" w:line="240" w:before="0" w:after="0"/>
              <w:ind w:left="-250" w:right="120" w:firstLine="283"/>
              <w:rPr/>
            </w:pPr>
            <w:r>
              <w:rPr>
                <w:rFonts w:eastAsia="Tahoma" w:cs="Tahoma" w:ascii="Tahoma" w:hAnsi="Tahoma"/>
                <w:color w:val="2F5496"/>
                <w:sz w:val="20"/>
                <w:szCs w:val="20"/>
              </w:rPr>
              <w:t>camaras.secretaria@dpu.def.br</w:t>
            </w:r>
          </w:p>
          <w:p>
            <w:pPr>
              <w:pStyle w:val="Normal"/>
              <w:widowControl w:val="false"/>
              <w:spacing w:lineRule="auto" w:line="240" w:before="0" w:after="0"/>
              <w:ind w:left="-250" w:right="120" w:firstLine="283"/>
              <w:rPr/>
            </w:pPr>
            <w:hyperlink r:id="rId4" w:tgtFrame="https://www.dpu.def.br/camaras">
              <w:r>
                <w:rPr>
                  <w:rFonts w:eastAsia="Tahoma" w:cs="Tahoma" w:ascii="Tahoma" w:hAnsi="Tahoma"/>
                  <w:color w:val="2F5496"/>
                  <w:sz w:val="20"/>
                  <w:szCs w:val="20"/>
                </w:rPr>
                <w:t>https://www.dpu.def.br/camaras</w:t>
              </w:r>
            </w:hyperlink>
          </w:p>
          <w:p>
            <w:pPr>
              <w:pStyle w:val="Normal"/>
              <w:widowControl w:val="false"/>
              <w:spacing w:lineRule="auto" w:line="240" w:before="0" w:after="0"/>
              <w:ind w:left="-250" w:right="120" w:firstLine="283"/>
              <w:rPr/>
            </w:pPr>
            <w:r>
              <w:rPr>
                <w:rFonts w:eastAsia="Tahoma" w:cs="Tahoma" w:ascii="Tahoma" w:hAnsi="Tahoma"/>
                <w:color w:val="2F5496"/>
                <w:sz w:val="20"/>
                <w:szCs w:val="20"/>
              </w:rPr>
              <w:t>(61) 3318-0205</w:t>
            </w:r>
          </w:p>
          <w:p>
            <w:pPr>
              <w:pStyle w:val="Normal"/>
              <w:widowControl w:val="false"/>
              <w:spacing w:lineRule="auto" w:line="240" w:before="0" w:after="0"/>
              <w:ind w:left="-250" w:right="-250" w:firstLine="283"/>
              <w:rPr>
                <w:rFonts w:ascii="Tahoma" w:hAnsi="Tahoma" w:cs="Tahoma"/>
                <w:b/>
                <w:b/>
                <w:bCs/>
                <w:color w:val="2F5496"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color w:val="2F5496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120" w:right="0" w:hanging="0"/>
              <w:rPr/>
            </w:pPr>
            <w:r>
              <w:rPr>
                <w:rFonts w:eastAsia="Tahoma" w:cs="Tahoma" w:ascii="Tahoma" w:hAnsi="Tahoma"/>
                <w:b/>
                <w:bCs/>
                <w:color w:val="1F467A"/>
                <w:sz w:val="20"/>
                <w:szCs w:val="20"/>
              </w:rPr>
              <w:t>Estagiária da secretaria:</w:t>
            </w:r>
          </w:p>
          <w:p>
            <w:pPr>
              <w:pStyle w:val="Normal"/>
              <w:widowControl w:val="false"/>
              <w:spacing w:lineRule="auto" w:line="240" w:before="0" w:after="0"/>
              <w:ind w:left="120" w:right="0" w:hanging="0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Sophia Bezerra da Silva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ahoma" w:hAnsi="Tahoma" w:cs="Tahoma"/>
                <w:b/>
                <w:b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120" w:right="0" w:hanging="0"/>
              <w:rPr/>
            </w:pPr>
            <w:r>
              <w:rPr>
                <w:rFonts w:eastAsia="Tahoma" w:cs="Tahoma" w:ascii="Tahoma" w:hAnsi="Tahoma"/>
                <w:b/>
                <w:bCs/>
                <w:color w:val="1F467A"/>
                <w:sz w:val="20"/>
                <w:szCs w:val="20"/>
              </w:rPr>
              <w:t>Elaboração desta edição:</w:t>
            </w:r>
          </w:p>
          <w:p>
            <w:pPr>
              <w:pStyle w:val="Normal"/>
              <w:widowControl w:val="false"/>
              <w:spacing w:lineRule="auto" w:line="240" w:before="0" w:after="0"/>
              <w:ind w:left="85" w:right="0" w:hanging="0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Polianna Maia Paiva</w:t>
            </w:r>
          </w:p>
          <w:p>
            <w:pPr>
              <w:pStyle w:val="Normal"/>
              <w:widowControl w:val="false"/>
              <w:spacing w:lineRule="auto" w:line="240" w:before="0" w:after="0"/>
              <w:ind w:left="85" w:right="0" w:hanging="0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Mariana Albuquerque de Lima Ribeiro</w:t>
            </w:r>
          </w:p>
          <w:p>
            <w:pPr>
              <w:pStyle w:val="Normal"/>
              <w:widowControl w:val="false"/>
              <w:spacing w:lineRule="auto" w:line="240" w:before="0" w:after="0"/>
              <w:ind w:left="-250" w:right="120" w:hanging="141"/>
              <w:rPr>
                <w:rFonts w:ascii="Tahoma" w:hAnsi="Tahoma" w:cs="Tahoma"/>
                <w:b/>
                <w:b/>
                <w:bCs/>
                <w:color w:val="2F5496"/>
                <w:sz w:val="21"/>
                <w:szCs w:val="21"/>
              </w:rPr>
            </w:pPr>
            <w:r>
              <w:rPr>
                <w:rFonts w:cs="Tahoma" w:ascii="Tahoma" w:hAnsi="Tahoma"/>
                <w:b/>
                <w:bCs/>
                <w:color w:val="2F5496"/>
                <w:sz w:val="21"/>
                <w:szCs w:val="21"/>
              </w:rPr>
            </w:r>
          </w:p>
        </w:tc>
      </w:tr>
    </w:tbl>
    <w:p>
      <w:pPr>
        <w:pStyle w:val="Normal"/>
        <w:spacing w:before="80" w:after="192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</w:r>
    </w:p>
    <w:p>
      <w:pPr>
        <w:pStyle w:val="Normal"/>
        <w:widowControl/>
        <w:bidi w:val="0"/>
        <w:spacing w:lineRule="auto" w:line="276" w:beforeAutospacing="0" w:before="0" w:afterAutospacing="0" w:after="160"/>
        <w:jc w:val="left"/>
        <w:rPr/>
      </w:pPr>
      <w:r>
        <w:rPr/>
      </w:r>
    </w:p>
    <w:sectPr>
      <w:headerReference w:type="first" r:id="rId5"/>
      <w:type w:val="nextPage"/>
      <w:pgSz w:w="11906" w:h="16838"/>
      <w:pgMar w:left="1701" w:right="1133" w:gutter="0" w:header="0" w:top="1417" w:footer="0" w:bottom="1417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eblySleek UI Semibold">
    <w:charset w:val="00"/>
    <w:family w:val="roman"/>
    <w:pitch w:val="variable"/>
  </w:font>
  <w:font w:name="Quattrocento Sans">
    <w:charset w:val="00"/>
    <w:family w:val="roman"/>
    <w:pitch w:val="variable"/>
  </w:font>
  <w:font w:name="Tahoma">
    <w:charset w:val="00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  <w:font w:name="Tahoma">
    <w:charset w:val="01"/>
    <w:family w:val="swiss"/>
    <w:pitch w:val="variable"/>
  </w:font>
  <w:font w:name="OpenSymbol">
    <w:altName w:val="Arial Unicode MS"/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-18415</wp:posOffset>
          </wp:positionH>
          <wp:positionV relativeFrom="paragraph">
            <wp:posOffset>-127000</wp:posOffset>
          </wp:positionV>
          <wp:extent cx="7552055" cy="2157095"/>
          <wp:effectExtent l="0" t="0" r="0" b="0"/>
          <wp:wrapNone/>
          <wp:docPr id="3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2157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931" w:hanging="360"/>
      </w:pPr>
      <w:rPr>
        <w:color w:val="2F5496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65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37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09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81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53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25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97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691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88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504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200" w:hanging="360"/>
      </w:pPr>
      <w:rPr/>
    </w:lvl>
  </w:abstractNum>
  <w:abstractNum w:abstractNumId="4">
    <w:lvl w:ilvl="0">
      <w:numFmt w:val="bullet"/>
      <w:lvlText w:val="•"/>
      <w:lvlJc w:val="left"/>
      <w:pPr>
        <w:tabs>
          <w:tab w:val="num" w:pos="0"/>
        </w:tabs>
        <w:ind w:left="1134" w:hanging="284"/>
      </w:pPr>
      <w:rPr>
        <w:rFonts w:ascii="Tahoma" w:hAnsi="Tahoma" w:cs="Tahoma" w:hint="default"/>
      </w:rPr>
    </w:lvl>
    <w:lvl w:ilvl="1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5">
    <w:lvl w:ilvl="0">
      <w:numFmt w:val="bullet"/>
      <w:lvlText w:val="•"/>
      <w:lvlJc w:val="left"/>
      <w:pPr>
        <w:tabs>
          <w:tab w:val="num" w:pos="0"/>
        </w:tabs>
        <w:ind w:left="1134" w:hanging="284"/>
      </w:pPr>
      <w:rPr>
        <w:rFonts w:ascii="Tahoma" w:hAnsi="Tahoma" w:cs="Tahoma" w:hint="default"/>
      </w:rPr>
    </w:lvl>
    <w:lvl w:ilvl="1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Arial" w:cs="Arial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Arial" w:cs="Arial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eastAsia="Arial" w:cs="Arial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eastAsia="Arial" w:cs="Arial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eastAsia="Arial" w:cs="Arial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eastAsia="Arial" w:cs="Arial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eastAsia="Arial" w:cs="Arial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 w:val="true"/>
      <w:keepLines/>
      <w:spacing w:before="0" w:after="0"/>
      <w:outlineLvl w:val="7"/>
    </w:pPr>
    <w:rPr>
      <w:rFonts w:eastAsia="Arial" w:cs="Arial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 w:val="true"/>
      <w:keepLines/>
      <w:spacing w:before="0" w:after="0"/>
      <w:outlineLvl w:val="8"/>
    </w:pPr>
    <w:rPr>
      <w:rFonts w:eastAsia="Arial" w:cs="Arial" w:cstheme="majorBidi" w:eastAsiaTheme="majorEastAsia"/>
      <w:color w:val="272727" w:themeColor="text1" w:themeTint="d8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val="0F4761" w:themeColor="accent1" w:themeShade="bf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val="0F4761" w:themeColor="accent1" w:themeShade="bf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val="595959" w:themeColor="text1" w:themeTint="a6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val="595959" w:themeColor="text1" w:themeTint="a6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val="595959" w:themeColor="text1" w:themeTint="a6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Caracteresdenotadefim">
    <w:name w:val="Caracteres de nota de fim"/>
    <w:basedOn w:val="DefaultParagraphFont"/>
    <w:uiPriority w:val="99"/>
    <w:semiHidden/>
    <w:unhideWhenUsed/>
    <w:qFormat/>
    <w:rPr>
      <w:vertAlign w:val="superscript"/>
    </w:rPr>
  </w:style>
  <w:style w:type="character" w:styleId="Ncoradanotadefim">
    <w:name w:val="Endnote Reference"/>
    <w:rPr>
      <w:vertAlign w:val="superscript"/>
    </w:rPr>
  </w:style>
  <w:style w:type="character" w:styleId="Linkdainternetvisitado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Pr>
      <w:rFonts w:ascii="Aptos Display" w:hAnsi="Aptos Display" w:eastAsia="Arial" w:cs="Arial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Pr>
      <w:rFonts w:ascii="Aptos Display" w:hAnsi="Aptos Display" w:eastAsia="Arial" w:cs="Arial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Pr>
      <w:rFonts w:eastAsia="Arial" w:cs="Arial" w:cstheme="majorBidi" w:eastAsiaTheme="majorEastAsia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Pr>
      <w:rFonts w:eastAsia="Arial" w:cs="Arial" w:cstheme="majorBidi" w:eastAsiaTheme="majorEastAsia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uiPriority w:val="9"/>
    <w:semiHidden/>
    <w:qFormat/>
    <w:rPr>
      <w:rFonts w:eastAsia="Arial" w:cs="Arial" w:cstheme="majorBidi" w:eastAsiaTheme="majorEastAsia"/>
      <w:color w:val="0F4761" w:themeColor="accent1" w:themeShade="bf"/>
    </w:rPr>
  </w:style>
  <w:style w:type="character" w:styleId="Ttulo6Char" w:customStyle="1">
    <w:name w:val="Título 6 Char"/>
    <w:basedOn w:val="DefaultParagraphFont"/>
    <w:uiPriority w:val="9"/>
    <w:semiHidden/>
    <w:qFormat/>
    <w:rPr>
      <w:rFonts w:eastAsia="Arial" w:cs="Arial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uiPriority w:val="9"/>
    <w:semiHidden/>
    <w:qFormat/>
    <w:rPr>
      <w:rFonts w:eastAsia="Arial" w:cs="Arial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uiPriority w:val="9"/>
    <w:semiHidden/>
    <w:qFormat/>
    <w:rPr>
      <w:rFonts w:eastAsia="Arial" w:cs="Arial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uiPriority w:val="9"/>
    <w:semiHidden/>
    <w:qFormat/>
    <w:rPr>
      <w:rFonts w:eastAsia="Arial" w:cs="Arial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uiPriority w:val="10"/>
    <w:qFormat/>
    <w:rPr>
      <w:rFonts w:ascii="Aptos Display" w:hAnsi="Aptos Display" w:eastAsia="Arial" w:cs="Arial" w:asciiTheme="majorHAnsi" w:cstheme="majorBidi" w:eastAsiaTheme="majorEastAsia" w:hAnsiTheme="majorHAnsi"/>
      <w:spacing w:val="-10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Pr>
      <w:rFonts w:eastAsia="Arial" w:cs="Arial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CabealhoChar" w:customStyle="1">
    <w:name w:val="Cabeçalho Char"/>
    <w:basedOn w:val="DefaultParagraphFont"/>
    <w:uiPriority w:val="99"/>
    <w:qFormat/>
    <w:rPr/>
  </w:style>
  <w:style w:type="character" w:styleId="LinkdaInternet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TextodenotaderodapChar" w:customStyle="1">
    <w:name w:val="Texto de nota de rodapé Char"/>
    <w:basedOn w:val="DefaultParagraphFont"/>
    <w:uiPriority w:val="99"/>
    <w:semiHidden/>
    <w:qFormat/>
    <w:rPr>
      <w:sz w:val="20"/>
      <w:szCs w:val="20"/>
    </w:rPr>
  </w:style>
  <w:style w:type="character" w:styleId="Caracteresdenotaderodap">
    <w:name w:val="Caracteres de nota de rodapé"/>
    <w:basedOn w:val="DefaultParagraphFont"/>
    <w:uiPriority w:val="99"/>
    <w:semiHidden/>
    <w:unhideWhenUsed/>
    <w:qFormat/>
    <w:rPr>
      <w:vertAlign w:val="superscript"/>
    </w:rPr>
  </w:style>
  <w:style w:type="character" w:styleId="Ncoradanotaderodap">
    <w:name w:val="Footnote Reference"/>
    <w:rPr>
      <w:vertAlign w:val="superscript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val="0E2841" w:themeColor="text2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CabealhoeRodap">
    <w:name w:val="Cabeçalho e Rodapé"/>
    <w:basedOn w:val="Normal"/>
    <w:qFormat/>
    <w:pPr/>
    <w:rPr/>
  </w:style>
  <w:style w:type="paragraph" w:styleId="Rodap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umrio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Sumrio2">
    <w:name w:val="TOC 2"/>
    <w:basedOn w:val="Normal"/>
    <w:next w:val="Normal"/>
    <w:uiPriority w:val="39"/>
    <w:unhideWhenUsed/>
    <w:pPr>
      <w:spacing w:before="0" w:after="100"/>
      <w:ind w:left="220" w:hanging="0"/>
    </w:pPr>
    <w:rPr/>
  </w:style>
  <w:style w:type="paragraph" w:styleId="Sumrio3">
    <w:name w:val="TOC 3"/>
    <w:basedOn w:val="Normal"/>
    <w:next w:val="Normal"/>
    <w:uiPriority w:val="39"/>
    <w:unhideWhenUsed/>
    <w:pPr>
      <w:spacing w:before="0" w:after="100"/>
      <w:ind w:left="440" w:hanging="0"/>
    </w:pPr>
    <w:rPr/>
  </w:style>
  <w:style w:type="paragraph" w:styleId="Sumrio4">
    <w:name w:val="TOC 4"/>
    <w:basedOn w:val="Normal"/>
    <w:next w:val="Normal"/>
    <w:uiPriority w:val="39"/>
    <w:unhideWhenUsed/>
    <w:pPr>
      <w:spacing w:before="0" w:after="100"/>
      <w:ind w:left="660" w:hanging="0"/>
    </w:pPr>
    <w:rPr/>
  </w:style>
  <w:style w:type="paragraph" w:styleId="Sumrio5">
    <w:name w:val="TOC 5"/>
    <w:basedOn w:val="Normal"/>
    <w:next w:val="Normal"/>
    <w:uiPriority w:val="39"/>
    <w:unhideWhenUsed/>
    <w:pPr>
      <w:spacing w:before="0" w:after="100"/>
      <w:ind w:left="880" w:hanging="0"/>
    </w:pPr>
    <w:rPr/>
  </w:style>
  <w:style w:type="paragraph" w:styleId="Sumrio6">
    <w:name w:val="TOC 6"/>
    <w:basedOn w:val="Normal"/>
    <w:next w:val="Normal"/>
    <w:uiPriority w:val="39"/>
    <w:unhideWhenUsed/>
    <w:pPr>
      <w:spacing w:before="0" w:after="100"/>
      <w:ind w:left="1100" w:hanging="0"/>
    </w:pPr>
    <w:rPr/>
  </w:style>
  <w:style w:type="paragraph" w:styleId="Sumrio7">
    <w:name w:val="TOC 7"/>
    <w:basedOn w:val="Normal"/>
    <w:next w:val="Normal"/>
    <w:uiPriority w:val="39"/>
    <w:unhideWhenUsed/>
    <w:pPr>
      <w:spacing w:before="0" w:after="100"/>
      <w:ind w:left="1320" w:hanging="0"/>
    </w:pPr>
    <w:rPr/>
  </w:style>
  <w:style w:type="paragraph" w:styleId="Sumrio8">
    <w:name w:val="TOC 8"/>
    <w:basedOn w:val="Normal"/>
    <w:next w:val="Normal"/>
    <w:uiPriority w:val="39"/>
    <w:unhideWhenUsed/>
    <w:pPr>
      <w:spacing w:before="0" w:after="100"/>
      <w:ind w:left="1540" w:hanging="0"/>
    </w:pPr>
    <w:rPr/>
  </w:style>
  <w:style w:type="paragraph" w:styleId="Sumrio9">
    <w:name w:val="TOC 9"/>
    <w:basedOn w:val="Normal"/>
    <w:next w:val="Normal"/>
    <w:uiPriority w:val="39"/>
    <w:unhideWhenUsed/>
    <w:pPr>
      <w:spacing w:before="0" w:after="100"/>
      <w:ind w:left="1760" w:hanging="0"/>
    </w:pPr>
    <w:rPr/>
  </w:style>
  <w:style w:type="paragraph" w:styleId="Ttulodondicealfabtico">
    <w:name w:val="Index Heading"/>
    <w:basedOn w:val="Ttulo"/>
    <w:pPr/>
    <w:rPr/>
  </w:style>
  <w:style w:type="paragraph" w:styleId="Ttulodosumrio">
    <w:name w:val="TOC Heading"/>
    <w:uiPriority w:val="39"/>
    <w:unhideWhenUsed/>
    <w:pPr>
      <w:widowControl/>
      <w:bidi w:val="0"/>
      <w:spacing w:lineRule="auto" w:line="276" w:beforeAutospacing="0" w:before="0" w:afterAutospacing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  <w14:ligatures w14:val="standardContextual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Autospacing="0" w:after="0"/>
    </w:pPr>
    <w:rPr/>
  </w:style>
  <w:style w:type="paragraph" w:styleId="Ttulododocumento">
    <w:name w:val="Title"/>
    <w:basedOn w:val="Normal"/>
    <w:next w:val="Normal"/>
    <w:link w:val="TtuloChar"/>
    <w:uiPriority w:val="10"/>
    <w:qFormat/>
    <w:pPr>
      <w:spacing w:lineRule="auto" w:line="240" w:before="0" w:after="80"/>
      <w:contextualSpacing/>
    </w:pPr>
    <w:rPr>
      <w:rFonts w:ascii="Aptos Display" w:hAnsi="Aptos Display" w:eastAsia="Arial" w:cs="Arial" w:asciiTheme="majorHAnsi" w:cstheme="majorBidi" w:eastAsiaTheme="majorEastAsia" w:hAnsiTheme="majorHAns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/>
    <w:rPr>
      <w:rFonts w:eastAsia="Arial" w:cs="Arial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taderodap">
    <w:name w:val="Footnote Text"/>
    <w:basedOn w:val="Normal"/>
    <w:link w:val="Textodenotaderodap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andard" w:customStyle="1">
    <w:name w:val="Standard"/>
    <w:qFormat/>
    <w:pPr>
      <w:keepNext w:val="false"/>
      <w:keepLines w:val="false"/>
      <w:pageBreakBefore w:val="false"/>
      <w:widowControl w:val="false"/>
      <w:pBdr/>
      <w:shd w:val="nil" w:color="000000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WeblySleek UI Semibold" w:hAnsi="WeblySleek UI Semibold" w:eastAsia="WeblySleek UI Semibold" w:cs="WeblySleek UI Semibold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auto"/>
      <w:spacing w:val="0"/>
      <w:kern w:val="0"/>
      <w:position w:val="0"/>
      <w:sz w:val="22"/>
      <w:sz w:val="22"/>
      <w:szCs w:val="22"/>
      <w:u w:val="none"/>
      <w:vertAlign w:val="baseline"/>
      <w:lang w:val="pt-BR" w:eastAsia="en-US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styleId="12">
    <w:name w:val="Table Grid"/>
    <w:basedOn w:val="764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76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76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/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76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76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  <w:color w:val="404040"/>
      </w:rPr>
      <w:tblPr/>
      <w:tcPr/>
    </w:tblStylePr>
    <w:tblStylePr w:type="lastRow">
      <w:pPr/>
      <w:rPr>
        <w:b/>
        <w:caps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76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/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76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0E4F5" w:themeFill="accen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0E4F5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0E4F5" w:themeFill="accen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0E4F5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7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7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2E5F5" w:themeFill="accent1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C2E5F5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19739B" w:themeFill="accent1" w:themeFillTint="e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7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2AB86" w:themeFill="accent2" w:themeFillTint="97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7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196C24" w:themeFill="accent3" w:themeFillTint="fe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7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60CBF4" w:themeFill="accent4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7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A02B93" w:themeFill="accent5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7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4EA72E" w:themeFill="accent6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71C3E8" w:themeFill="accent1" w:themeFillTint="75"/>
      </w:tcPr>
    </w:tblStylePr>
    <w:tblStylePr w:type="band1Vert">
      <w:pPr/>
      <w:tblPr/>
      <w:tcPr>
        <w:shd w:val="clear" w:color="FFFFFF" w:fill="71C3E8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156082" w:themeFill="accent1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156082" w:themeFill="accent1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156082" w:themeFill="accent1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156082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5BEA1" w:themeFill="accent2" w:themeFillTint="75"/>
      </w:tcPr>
    </w:tblStylePr>
    <w:tblStylePr w:type="band1Vert">
      <w:pPr/>
      <w:tblPr/>
      <w:tcPr>
        <w:shd w:val="clear" w:color="FFFFFF" w:fill="F5BEA1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E97132" w:themeFill="accent2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E97132" w:themeFill="accent2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E97132" w:themeFill="accent2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E97132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72DE81" w:themeFill="accent3" w:themeFillTint="75"/>
      </w:tcPr>
    </w:tblStylePr>
    <w:tblStylePr w:type="band1Vert">
      <w:pPr/>
      <w:tblPr/>
      <w:tcPr>
        <w:shd w:val="clear" w:color="FFFFFF" w:fill="72DE81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196B24" w:themeFill="accent3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196B24" w:themeFill="accent3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196B24" w:themeFill="accent3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196B24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6D7F6" w:themeFill="accent4" w:themeFillTint="75"/>
      </w:tcPr>
    </w:tblStylePr>
    <w:tblStylePr w:type="band1Vert">
      <w:pPr/>
      <w:tblPr/>
      <w:tcPr>
        <w:shd w:val="clear" w:color="FFFFFF" w:fill="86D7F6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0F9ED5" w:themeFill="accent4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0F9ED5" w:themeFill="accent4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0F9ED5" w:themeFill="accent4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F9ED5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190D8" w:themeFill="accent5" w:themeFillTint="75"/>
      </w:tcPr>
    </w:tblStylePr>
    <w:tblStylePr w:type="band1Vert">
      <w:pPr/>
      <w:tblPr/>
      <w:tcPr>
        <w:shd w:val="clear" w:color="FFFFFF" w:fill="E190D8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A02B93" w:themeFill="accent5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A02B93" w:themeFill="accent5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A02B93" w:themeFill="accent5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A02B93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E294" w:themeFill="accent6" w:themeFillTint="75"/>
      </w:tcPr>
    </w:tblStylePr>
    <w:tblStylePr w:type="band1Vert">
      <w:pPr/>
      <w:tblPr/>
      <w:tcPr>
        <w:shd w:val="clear" w:color="FFFFFF" w:fill="A9E294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4EA72E" w:themeFill="accent6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4EA72E" w:themeFill="accent6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4EA72E" w:themeFill="accent6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4EA72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C0E4F5" w:themeFill="accent1" w:themeFillTint="34"/>
      </w:tcPr>
    </w:tblStylePr>
    <w:tblStylePr w:type="band1Vert">
      <w:pPr/>
      <w:tblPr/>
      <w:tcPr>
        <w:shd w:val="clear" w:color="FFFFFF" w:fill="C0E4F5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1B7BA6" w:themeColor="accent1" w:themeTint="80" w:themeShade="95"/>
      </w:rPr>
      <w:tblPr/>
      <w:tcPr/>
    </w:tblStylePr>
    <w:tblStylePr w:type="firstRow">
      <w:pPr/>
      <w:rPr>
        <w:b/>
        <w:color w:val="1B7BA6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1B7BA6" w:themeColor="accent1" w:themeTint="80" w:themeShade="95"/>
      </w:rPr>
      <w:tblPr/>
      <w:tcPr/>
    </w:tblStylePr>
    <w:tblStylePr w:type="lastRow">
      <w:pPr/>
      <w:rPr>
        <w:b/>
        <w:color w:val="1B7BA6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tblPr/>
      <w:tcPr>
        <w:shd w:val="clear" w:color="FFFFFF" w:fill="FBE3D7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65215" w:themeColor="accent2" w:themeTint="97" w:themeShade="95"/>
      </w:rPr>
      <w:tblPr/>
      <w:tcPr/>
    </w:tblStylePr>
    <w:tblStylePr w:type="firstRow">
      <w:pPr/>
      <w:rPr>
        <w:b/>
        <w:color w:val="C65215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C65215" w:themeColor="accent2" w:themeTint="97" w:themeShade="95"/>
      </w:rPr>
      <w:tblPr/>
      <w:tcPr/>
    </w:tblStylePr>
    <w:tblStylePr w:type="lastRow">
      <w:pPr/>
      <w:rPr>
        <w:b/>
        <w:color w:val="C65215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tblPr/>
      <w:tcPr>
        <w:shd w:val="clear" w:color="FFFFFF" w:fill="C1F0C7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F3F15" w:themeColor="accent3" w:themeTint="fe" w:themeShade="95"/>
      </w:rPr>
      <w:tblPr/>
      <w:tcPr/>
    </w:tblStylePr>
    <w:tblStylePr w:type="firstRow">
      <w:pPr/>
      <w:rPr>
        <w:b/>
        <w:color w:val="0F3F15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0F3F15" w:themeColor="accent3" w:themeTint="fe" w:themeShade="95"/>
      </w:rPr>
      <w:tblPr/>
      <w:tcPr/>
    </w:tblStylePr>
    <w:tblStylePr w:type="lastRow">
      <w:pPr/>
      <w:rPr>
        <w:b/>
        <w:color w:val="0F3F15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tblPr/>
      <w:tcPr>
        <w:shd w:val="clear" w:color="FFFFFF" w:fill="C9EDFB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D8AB9" w:themeColor="accent4" w:themeTint="9a" w:themeShade="95"/>
      </w:rPr>
      <w:tblPr/>
      <w:tcPr/>
    </w:tblStylePr>
    <w:tblStylePr w:type="firstRow">
      <w:pPr/>
      <w:rPr>
        <w:b/>
        <w:color w:val="0D8AB9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0D8AB9" w:themeColor="accent4" w:themeTint="9a" w:themeShade="95"/>
      </w:rPr>
      <w:tblPr/>
      <w:tcPr/>
    </w:tblStylePr>
    <w:tblStylePr w:type="lastRow">
      <w:pPr/>
      <w:rPr>
        <w:b/>
        <w:color w:val="0D8AB9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tblPr/>
      <w:tcPr>
        <w:shd w:val="clear" w:color="FFFFFF" w:fill="F2CEEE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D1956" w:themeColor="accent5" w:themeShade="95"/>
      </w:rPr>
      <w:tblPr/>
      <w:tcPr/>
    </w:tblStylePr>
    <w:tblStylePr w:type="firstRow">
      <w:pPr/>
      <w:rPr>
        <w:b/>
        <w:color w:val="5D1956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5D1956" w:themeColor="accent5" w:themeShade="95"/>
      </w:rPr>
      <w:tblPr/>
      <w:tcPr/>
    </w:tblStylePr>
    <w:tblStylePr w:type="lastRow">
      <w:pPr/>
      <w:rPr>
        <w:b/>
        <w:color w:val="5D1956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0">
    <w:name w:val="Grid Table 6 Colorful - Accent 6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tblPr/>
      <w:tcPr>
        <w:shd w:val="clear" w:color="FFFFFF" w:fill="D9F2D0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D1956" w:themeColor="accent5" w:themeShade="95"/>
      </w:rPr>
      <w:tblPr/>
      <w:tcPr/>
    </w:tblStylePr>
    <w:tblStylePr w:type="firstRow">
      <w:pPr/>
      <w:rPr>
        <w:b/>
        <w:color w:val="5D1956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5D1956" w:themeColor="accent5" w:themeShade="95"/>
      </w:rPr>
      <w:tblPr/>
      <w:tcPr/>
    </w:tblStylePr>
    <w:tblStylePr w:type="lastRow">
      <w:pPr/>
      <w:rPr>
        <w:b/>
        <w:color w:val="5D1956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1">
    <w:name w:val="Grid Table 7 Colorful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1B7BA6" w:themeColor="accent1" w:themeTint="80" w:themeShade="95"/>
        <w:sz w:val="22"/>
      </w:rPr>
      <w:tblPr/>
      <w:tcPr>
        <w:shd w:val="clear" w:color="FFFFFF" w:fill="C0E4F5" w:themeFill="accent1" w:themeFillTint="34"/>
      </w:tcPr>
    </w:tblStylePr>
    <w:tblStylePr w:type="band1Vert">
      <w:pPr/>
      <w:tblPr/>
      <w:tcPr>
        <w:shd w:val="clear" w:color="FFFFFF" w:fill="C0E4F5" w:themeFill="accent1" w:themeFillTint="34"/>
      </w:tcPr>
    </w:tblStylePr>
    <w:tblStylePr w:type="band2Horz">
      <w:pPr/>
      <w:rPr>
        <w:color w:val="1B7BA6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1B7BA6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val="1B7BA6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1B7BA6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1B7BA6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C65215" w:themeColor="accent2" w:themeTint="97" w:themeShade="95"/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tblPr/>
      <w:tcPr>
        <w:shd w:val="clear" w:color="FFFFFF" w:fill="FBE3D7" w:themeFill="accent2" w:themeFillTint="32"/>
      </w:tcPr>
    </w:tblStylePr>
    <w:tblStylePr w:type="band2Horz">
      <w:pPr/>
      <w:rPr>
        <w:color w:val="C65215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65215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val="C65215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C65215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C65215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0F3F15" w:themeColor="accent3" w:themeTint="fe" w:themeShade="95"/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tblPr/>
      <w:tcPr>
        <w:shd w:val="clear" w:color="FFFFFF" w:fill="C1F0C7" w:themeFill="accent3" w:themeFillTint="34"/>
      </w:tcPr>
    </w:tblStylePr>
    <w:tblStylePr w:type="band2Horz">
      <w:pPr/>
      <w:rPr>
        <w:color w:val="0F3F15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0F3F15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val="0F3F15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0F3F15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0F3F15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0D8AB9"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tblPr/>
      <w:tcPr>
        <w:shd w:val="clear" w:color="FFFFFF" w:fill="C9EDFB" w:themeFill="accent4" w:themeFillTint="34"/>
      </w:tcPr>
    </w:tblStylePr>
    <w:tblStylePr w:type="band2Horz">
      <w:pPr/>
      <w:rPr>
        <w:color w:val="0D8AB9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0D8AB9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val="0D8AB9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0D8AB9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0D8AB9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5D1956" w:themeColor="accent5" w:themeShade="95"/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tblPr/>
      <w:tcPr>
        <w:shd w:val="clear" w:color="FFFFFF" w:fill="F2CEEE" w:themeFill="accent5" w:themeFillTint="34"/>
      </w:tcPr>
    </w:tblStylePr>
    <w:tblStylePr w:type="band2Horz">
      <w:pPr/>
      <w:rPr>
        <w:color w:val="5D1956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D1956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val="5D1956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5D1956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5D1956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2E621B" w:themeColor="accent6" w:themeShade="95"/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tblPr/>
      <w:tcPr>
        <w:shd w:val="clear" w:color="FFFFFF" w:fill="D9F2D0" w:themeFill="accent6" w:themeFillTint="34"/>
      </w:tcPr>
    </w:tblStylePr>
    <w:tblStylePr w:type="band2Horz">
      <w:pPr/>
      <w:rPr>
        <w:color w:val="2E621B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E621B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val="2E621B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E621B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2E621B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76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76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1DEF2" w:themeFill="accent1" w:themeFillTint="40"/>
      </w:tcPr>
    </w:tblStylePr>
    <w:tblStylePr w:type="band1Vert">
      <w:pPr/>
      <w:tblPr/>
      <w:tcPr>
        <w:shd w:val="clear" w:color="FFFFFF" w:fill="B1DEF2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76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9DBCC" w:themeFill="accent2" w:themeFillTint="40"/>
      </w:tcPr>
    </w:tblStylePr>
    <w:tblStylePr w:type="band1Vert">
      <w:pPr/>
      <w:tblPr/>
      <w:tcPr>
        <w:shd w:val="clear" w:color="FFFFFF" w:fill="F9DBCC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76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2EDBA" w:themeFill="accent3" w:themeFillTint="40"/>
      </w:tcPr>
    </w:tblStylePr>
    <w:tblStylePr w:type="band1Vert">
      <w:pPr/>
      <w:tblPr/>
      <w:tcPr>
        <w:shd w:val="clear" w:color="FFFFFF" w:fill="B2EDB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76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DE9FA" w:themeFill="accent4" w:themeFillTint="40"/>
      </w:tcPr>
    </w:tblStylePr>
    <w:tblStylePr w:type="band1Vert">
      <w:pPr/>
      <w:tblPr/>
      <w:tcPr>
        <w:shd w:val="clear" w:color="FFFFFF" w:fill="BDE9FA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76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C2EA" w:themeFill="accent5" w:themeFillTint="40"/>
      </w:tcPr>
    </w:tblStylePr>
    <w:tblStylePr w:type="band1Vert">
      <w:pPr/>
      <w:tblPr/>
      <w:tcPr>
        <w:shd w:val="clear" w:color="FFFFFF" w:fill="EFC2EA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76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EFC5" w:themeFill="accent6" w:themeFillTint="40"/>
      </w:tcPr>
    </w:tblStylePr>
    <w:tblStylePr w:type="band1Vert">
      <w:pPr/>
      <w:tblPr/>
      <w:tcPr>
        <w:shd w:val="clear" w:color="FFFFFF" w:fill="D0EFC5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1DEF2" w:themeFill="accen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1DEF2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9DBCC" w:themeFill="accent2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9DBCC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2EDBA" w:themeFill="accent3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2EDB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DE9FA" w:themeFill="accent4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DE9FA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FC2EA" w:themeFill="accent5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EFC2EA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0EFC5" w:themeFill="accent6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0EFC5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156082" w:themeFill="accen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F2AB86" w:themeFill="accent2" w:themeFillTint="97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48D45B" w:themeFill="accent3" w:themeFillTint="98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60CBF4" w:themeFill="accent4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D86DCC" w:themeFill="accent5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8FD974" w:themeFill="accent6" w:themeFillTint="98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1DEF2" w:themeFill="accen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1DEF2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156082" w:themeFill="accen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9DBCC" w:themeFill="accent2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9DBCC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E97132" w:themeFill="accent2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2EDBA" w:themeFill="accent3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2EDB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196B24" w:themeFill="accent3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DE9FA" w:themeFill="accent4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DE9FA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0F9ED5" w:themeFill="accent4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FC2EA" w:themeFill="accent5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EFC2EA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A02B93" w:themeFill="accent5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0EFC5" w:themeFill="accent6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0EFC5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4EA72E" w:themeFill="accent6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">
    <w:name w:val="List Table 5 Dark - Accent 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56082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156082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56082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156082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8">
    <w:name w:val="List Table 5 Dark - Accent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2AB8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2AB8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2AB8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2AB8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9">
    <w:name w:val="List Table 5 Dark - Accent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8D45B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8D45B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8D45B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48D45B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0">
    <w:name w:val="List Table 5 Dark - Accent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60CBF4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60CBF4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60CBF4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60CBF4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1">
    <w:name w:val="List Table 5 Dark - Accent 5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86DCC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86DCC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86DCC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D86DCC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">
    <w:name w:val="List Table 5 Dark - Accent 6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FD974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FD974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FD974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8FD974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3">
    <w:name w:val="List Table 6 Colorful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1Vert">
      <w:pPr/>
      <w:tblPr/>
      <w:tcPr>
        <w:shd w:val="clear" w:color="FFFFFF" w:fill="B1DEF2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C384C" w:themeColor="accent1" w:themeShade="95"/>
      </w:rPr>
      <w:tblPr/>
      <w:tcPr/>
    </w:tblStylePr>
    <w:tblStylePr w:type="firstRow">
      <w:pPr/>
      <w:rPr>
        <w:b/>
        <w:color w:val="0C384C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0C384C" w:themeColor="accent1" w:themeShade="95"/>
      </w:rPr>
      <w:tblPr/>
      <w:tcPr/>
    </w:tblStylePr>
    <w:tblStylePr w:type="lastRow">
      <w:pPr/>
      <w:rPr>
        <w:b/>
        <w:color w:val="0C384C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9DBCC" w:themeFill="accent2" w:themeFillTint="40"/>
      </w:tcPr>
    </w:tblStylePr>
    <w:tblStylePr w:type="band1Vert">
      <w:pPr/>
      <w:tblPr/>
      <w:tcPr>
        <w:shd w:val="clear" w:color="FFFFFF" w:fill="F9DBCC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65215" w:themeColor="accent2" w:themeTint="97" w:themeShade="95"/>
      </w:rPr>
      <w:tblPr/>
      <w:tcPr/>
    </w:tblStylePr>
    <w:tblStylePr w:type="firstRow">
      <w:pPr/>
      <w:rPr>
        <w:b/>
        <w:color w:val="C65215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C65215" w:themeColor="accent2" w:themeTint="97" w:themeShade="95"/>
      </w:rPr>
      <w:tblPr/>
      <w:tcPr/>
    </w:tblStylePr>
    <w:tblStylePr w:type="lastRow">
      <w:pPr/>
      <w:rPr>
        <w:b/>
        <w:color w:val="C65215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B2EDBA" w:themeFill="accent3" w:themeFillTint="40"/>
      </w:tcPr>
    </w:tblStylePr>
    <w:tblStylePr w:type="band1Vert">
      <w:pPr/>
      <w:tblPr/>
      <w:tcPr>
        <w:shd w:val="clear" w:color="FFFFFF" w:fill="B2EDBA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0872D" w:themeColor="accent3" w:themeTint="98" w:themeShade="95"/>
      </w:rPr>
      <w:tblPr/>
      <w:tcPr/>
    </w:tblStylePr>
    <w:tblStylePr w:type="firstRow">
      <w:pPr/>
      <w:rPr>
        <w:b/>
        <w:color w:val="20872D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20872D" w:themeColor="accent3" w:themeTint="98" w:themeShade="95"/>
      </w:rPr>
      <w:tblPr/>
      <w:tcPr/>
    </w:tblStylePr>
    <w:tblStylePr w:type="lastRow">
      <w:pPr/>
      <w:rPr>
        <w:b/>
        <w:color w:val="20872D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BDE9FA" w:themeFill="accent4" w:themeFillTint="40"/>
      </w:tcPr>
    </w:tblStylePr>
    <w:tblStylePr w:type="band1Vert">
      <w:pPr/>
      <w:tblPr/>
      <w:tcPr>
        <w:shd w:val="clear" w:color="FFFFFF" w:fill="BDE9FA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D8AB9" w:themeColor="accent4" w:themeTint="9a" w:themeShade="95"/>
      </w:rPr>
      <w:tblPr/>
      <w:tcPr/>
    </w:tblStylePr>
    <w:tblStylePr w:type="firstRow">
      <w:pPr/>
      <w:rPr>
        <w:b/>
        <w:color w:val="0D8AB9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0D8AB9" w:themeColor="accent4" w:themeTint="9a" w:themeShade="95"/>
      </w:rPr>
      <w:tblPr/>
      <w:tcPr/>
    </w:tblStylePr>
    <w:tblStylePr w:type="lastRow">
      <w:pPr/>
      <w:rPr>
        <w:b/>
        <w:color w:val="0D8AB9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EFC2EA" w:themeFill="accent5" w:themeFillTint="40"/>
      </w:tcPr>
    </w:tblStylePr>
    <w:tblStylePr w:type="band1Vert">
      <w:pPr/>
      <w:tblPr/>
      <w:tcPr>
        <w:shd w:val="clear" w:color="FFFFFF" w:fill="EFC2EA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52889" w:themeColor="accent5" w:themeTint="9a" w:themeShade="95"/>
      </w:rPr>
      <w:tblPr/>
      <w:tcPr/>
    </w:tblStylePr>
    <w:tblStylePr w:type="firstRow">
      <w:pPr/>
      <w:rPr>
        <w:b/>
        <w:color w:val="952889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952889" w:themeColor="accent5" w:themeTint="9a" w:themeShade="95"/>
      </w:rPr>
      <w:tblPr/>
      <w:tcPr/>
    </w:tblStylePr>
    <w:tblStylePr w:type="lastRow">
      <w:pPr/>
      <w:rPr>
        <w:b/>
        <w:color w:val="952889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D0EFC5" w:themeFill="accent6" w:themeFillTint="40"/>
      </w:tcPr>
    </w:tblStylePr>
    <w:tblStylePr w:type="band1Vert">
      <w:pPr/>
      <w:tblPr/>
      <w:tcPr>
        <w:shd w:val="clear" w:color="FFFFFF" w:fill="D0EFC5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7992A" w:themeColor="accent6" w:themeTint="98" w:themeShade="95"/>
      </w:rPr>
      <w:tblPr/>
      <w:tcPr/>
    </w:tblStylePr>
    <w:tblStylePr w:type="firstRow">
      <w:pPr/>
      <w:rPr>
        <w:b/>
        <w:color w:val="47992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47992A" w:themeColor="accent6" w:themeTint="98" w:themeShade="95"/>
      </w:rPr>
      <w:tblPr/>
      <w:tcPr/>
    </w:tblStylePr>
    <w:tblStylePr w:type="lastRow">
      <w:pPr/>
      <w:rPr>
        <w:b/>
        <w:color w:val="47992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7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0C384C"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1Vert">
      <w:pPr/>
      <w:tblPr/>
      <w:tcPr>
        <w:shd w:val="clear" w:color="FFFFFF" w:fill="B1DEF2" w:themeFill="accent1" w:themeFillTint="40"/>
      </w:tcPr>
    </w:tblStylePr>
    <w:tblStylePr w:type="band2Horz">
      <w:pPr/>
      <w:rPr>
        <w:color w:val="0C384C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0C384C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val="0C384C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0C384C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0C384C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0C384C" w:themeColor="accent1" w:themeShade="95"/>
        <w:sz w:val="22"/>
      </w:rPr>
      <w:tblPr/>
      <w:tcPr/>
    </w:tblStylePr>
  </w:style>
  <w:style w:type="table" w:styleId="112">
    <w:name w:val="List Table 7 Colorful - Accent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C65215" w:themeColor="accent2" w:themeTint="97" w:themeShade="95"/>
        <w:sz w:val="22"/>
      </w:rPr>
      <w:tblPr/>
      <w:tcPr>
        <w:shd w:val="clear" w:color="FFFFFF" w:fill="F9DBCC" w:themeFill="accent2" w:themeFillTint="40"/>
      </w:tcPr>
    </w:tblStylePr>
    <w:tblStylePr w:type="band1Vert">
      <w:pPr/>
      <w:tblPr/>
      <w:tcPr>
        <w:shd w:val="clear" w:color="FFFFFF" w:fill="F9DBCC" w:themeFill="accent2" w:themeFillTint="40"/>
      </w:tcPr>
    </w:tblStylePr>
    <w:tblStylePr w:type="band2Horz">
      <w:pPr/>
      <w:rPr>
        <w:color w:val="C65215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65215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val="C65215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C65215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C65215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C65215"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20872D" w:themeColor="accent3" w:themeTint="98" w:themeShade="95"/>
        <w:sz w:val="22"/>
      </w:rPr>
      <w:tblPr/>
      <w:tcPr>
        <w:shd w:val="clear" w:color="FFFFFF" w:fill="B2EDBA" w:themeFill="accent3" w:themeFillTint="40"/>
      </w:tcPr>
    </w:tblStylePr>
    <w:tblStylePr w:type="band1Vert">
      <w:pPr/>
      <w:tblPr/>
      <w:tcPr>
        <w:shd w:val="clear" w:color="FFFFFF" w:fill="B2EDBA" w:themeFill="accent3" w:themeFillTint="40"/>
      </w:tcPr>
    </w:tblStylePr>
    <w:tblStylePr w:type="band2Horz">
      <w:pPr/>
      <w:rPr>
        <w:color w:val="20872D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0872D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val="20872D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0872D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20872D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0872D"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0D8AB9" w:themeColor="accent4" w:themeTint="9a" w:themeShade="95"/>
        <w:sz w:val="22"/>
      </w:rPr>
      <w:tblPr/>
      <w:tcPr>
        <w:shd w:val="clear" w:color="FFFFFF" w:fill="BDE9FA" w:themeFill="accent4" w:themeFillTint="40"/>
      </w:tcPr>
    </w:tblStylePr>
    <w:tblStylePr w:type="band1Vert">
      <w:pPr/>
      <w:tblPr/>
      <w:tcPr>
        <w:shd w:val="clear" w:color="FFFFFF" w:fill="BDE9FA" w:themeFill="accent4" w:themeFillTint="40"/>
      </w:tcPr>
    </w:tblStylePr>
    <w:tblStylePr w:type="band2Horz">
      <w:pPr/>
      <w:rPr>
        <w:color w:val="0D8AB9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0D8AB9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val="0D8AB9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0D8AB9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0D8AB9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0D8AB9"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7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952889" w:themeColor="accent5" w:themeTint="9a" w:themeShade="95"/>
        <w:sz w:val="22"/>
      </w:rPr>
      <w:tblPr/>
      <w:tcPr>
        <w:shd w:val="clear" w:color="FFFFFF" w:fill="EFC2EA" w:themeFill="accent5" w:themeFillTint="40"/>
      </w:tcPr>
    </w:tblStylePr>
    <w:tblStylePr w:type="band1Vert">
      <w:pPr/>
      <w:tblPr/>
      <w:tcPr>
        <w:shd w:val="clear" w:color="FFFFFF" w:fill="EFC2EA" w:themeFill="accent5" w:themeFillTint="40"/>
      </w:tcPr>
    </w:tblStylePr>
    <w:tblStylePr w:type="band2Horz">
      <w:pPr/>
      <w:rPr>
        <w:color w:val="952889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52889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val="952889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952889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952889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952889"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7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47992A" w:themeColor="accent6" w:themeTint="98" w:themeShade="95"/>
        <w:sz w:val="22"/>
      </w:rPr>
      <w:tblPr/>
      <w:tcPr>
        <w:shd w:val="clear" w:color="FFFFFF" w:fill="D0EFC5" w:themeFill="accent6" w:themeFillTint="40"/>
      </w:tcPr>
    </w:tblStylePr>
    <w:tblStylePr w:type="band1Vert">
      <w:pPr/>
      <w:tblPr/>
      <w:tcPr>
        <w:shd w:val="clear" w:color="FFFFFF" w:fill="D0EFC5" w:themeFill="accent6" w:themeFillTint="40"/>
      </w:tcPr>
    </w:tblStylePr>
    <w:tblStylePr w:type="band2Horz">
      <w:pPr/>
      <w:rPr>
        <w:color w:val="47992A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7992A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val="47992A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7992A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47992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7992A" w:themeColor="accent6" w:themeTint="98" w:themeShade="95"/>
        <w:sz w:val="22"/>
      </w:rPr>
      <w:tblPr/>
      <w:tcPr/>
    </w:tblStylePr>
  </w:style>
  <w:style w:type="table" w:styleId="117">
    <w:name w:val="Lined - Accent"/>
    <w:basedOn w:val="7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7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9ED6EF" w:themeFill="accent1" w:themeFillTint="50"/>
      </w:tcPr>
    </w:tblStylePr>
    <w:tblStylePr w:type="band2Vert">
      <w:pPr/>
      <w:rPr>
        <w:color w:val="404040"/>
        <w:sz w:val="22"/>
      </w:rPr>
      <w:tblPr/>
      <w:tcPr>
        <w:shd w:val="clear" w:color="FFFFFF" w:fill="9ED6EF" w:themeFill="accent1" w:themeFillTint="50"/>
      </w:tcPr>
    </w:tblStylePr>
    <w:tblStylePr w:type="firstCol">
      <w:pPr/>
      <w:rPr>
        <w:color w:val="F2F2F2"/>
        <w:sz w:val="22"/>
      </w:rPr>
      <w:tblPr/>
      <w:tcPr>
        <w:shd w:val="clear" w:color="FFFFFF" w:fill="19739B" w:themeFill="accent1" w:themeFillTint="ea"/>
      </w:tcPr>
    </w:tblStylePr>
    <w:tblStylePr w:type="firstRow">
      <w:pPr/>
      <w:rPr>
        <w:color w:val="F2F2F2"/>
        <w:sz w:val="22"/>
      </w:rPr>
      <w:tblPr/>
      <w:tcPr>
        <w:shd w:val="clear" w:color="FFFFFF" w:fill="19739B" w:themeFill="accent1" w:themeFillTint="ea"/>
      </w:tcPr>
    </w:tblStylePr>
    <w:tblStylePr w:type="lastCol">
      <w:pPr/>
      <w:rPr>
        <w:color w:val="F2F2F2"/>
        <w:sz w:val="22"/>
      </w:rPr>
      <w:tblPr/>
      <w:tcPr>
        <w:shd w:val="clear" w:color="FFFFFF" w:fill="19739B" w:themeFill="accent1" w:themeFillTint="ea"/>
      </w:tcPr>
    </w:tblStylePr>
    <w:tblStylePr w:type="lastRow">
      <w:pPr/>
      <w:rPr>
        <w:color w:val="F2F2F2"/>
        <w:sz w:val="22"/>
      </w:rPr>
      <w:tblPr/>
      <w:tcPr>
        <w:shd w:val="clear" w:color="FFFFFF" w:fill="19739B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7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band2Vert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firstCol">
      <w:pPr/>
      <w:rPr>
        <w:color w:val="F2F2F2"/>
        <w:sz w:val="22"/>
      </w:rPr>
      <w:tblPr/>
      <w:tcPr>
        <w:shd w:val="clear" w:color="FFFFFF" w:fill="F2AB86" w:themeFill="accent2" w:themeFillTint="97"/>
      </w:tcPr>
    </w:tblStylePr>
    <w:tblStylePr w:type="firstRow">
      <w:pPr/>
      <w:rPr>
        <w:color w:val="F2F2F2"/>
        <w:sz w:val="22"/>
      </w:rPr>
      <w:tblPr/>
      <w:tcPr>
        <w:shd w:val="clear" w:color="FFFFFF" w:fill="F2AB86" w:themeFill="accent2" w:themeFillTint="97"/>
      </w:tcPr>
    </w:tblStylePr>
    <w:tblStylePr w:type="lastCol">
      <w:pPr/>
      <w:rPr>
        <w:color w:val="F2F2F2"/>
        <w:sz w:val="22"/>
      </w:rPr>
      <w:tblPr/>
      <w:tcPr>
        <w:shd w:val="clear" w:color="FFFFFF" w:fill="F2AB86" w:themeFill="accent2" w:themeFillTint="97"/>
      </w:tcPr>
    </w:tblStylePr>
    <w:tblStylePr w:type="lastRow">
      <w:pPr/>
      <w:rPr>
        <w:color w:val="F2F2F2"/>
        <w:sz w:val="22"/>
      </w:rPr>
      <w:tblPr/>
      <w:tcPr>
        <w:shd w:val="clear" w:color="FFFFFF" w:fill="F2AB8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7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firstRow">
      <w:pPr/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lastCol">
      <w:pPr/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lastRow">
      <w:pPr/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7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60CBF4" w:themeFill="accent4" w:themeFillTint="9a"/>
      </w:tcPr>
    </w:tblStylePr>
    <w:tblStylePr w:type="firstRow">
      <w:pPr/>
      <w:rPr>
        <w:color w:val="F2F2F2"/>
        <w:sz w:val="22"/>
      </w:rPr>
      <w:tblPr/>
      <w:tcPr>
        <w:shd w:val="clear" w:color="FFFFFF" w:fill="60CBF4" w:themeFill="accent4" w:themeFillTint="9a"/>
      </w:tcPr>
    </w:tblStylePr>
    <w:tblStylePr w:type="lastCol">
      <w:pPr/>
      <w:rPr>
        <w:color w:val="F2F2F2"/>
        <w:sz w:val="22"/>
      </w:rPr>
      <w:tblPr/>
      <w:tcPr>
        <w:shd w:val="clear" w:color="FFFFFF" w:fill="60CBF4" w:themeFill="accent4" w:themeFillTint="9a"/>
      </w:tcPr>
    </w:tblStylePr>
    <w:tblStylePr w:type="lastRow">
      <w:pPr/>
      <w:rPr>
        <w:color w:val="F2F2F2"/>
        <w:sz w:val="22"/>
      </w:rPr>
      <w:tblPr/>
      <w:tcPr>
        <w:shd w:val="clear" w:color="FFFFFF" w:fill="60CBF4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7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A02B93" w:themeFill="accent5"/>
      </w:tcPr>
    </w:tblStylePr>
    <w:tblStylePr w:type="firstRow">
      <w:pPr/>
      <w:rPr>
        <w:color w:val="F2F2F2"/>
        <w:sz w:val="22"/>
      </w:rPr>
      <w:tblPr/>
      <w:tcPr>
        <w:shd w:val="clear" w:color="FFFFFF" w:fill="A02B93" w:themeFill="accent5"/>
      </w:tcPr>
    </w:tblStylePr>
    <w:tblStylePr w:type="lastCol">
      <w:pPr/>
      <w:rPr>
        <w:color w:val="F2F2F2"/>
        <w:sz w:val="22"/>
      </w:rPr>
      <w:tblPr/>
      <w:tcPr>
        <w:shd w:val="clear" w:color="FFFFFF" w:fill="A02B93" w:themeFill="accent5"/>
      </w:tcPr>
    </w:tblStylePr>
    <w:tblStylePr w:type="lastRow">
      <w:pPr/>
      <w:rPr>
        <w:color w:val="F2F2F2"/>
        <w:sz w:val="22"/>
      </w:rPr>
      <w:tblPr/>
      <w:tcPr>
        <w:shd w:val="clear" w:color="FFFFFF" w:fill="A02B93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7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4EA72E" w:themeFill="accent6"/>
      </w:tcPr>
    </w:tblStylePr>
    <w:tblStylePr w:type="firstRow">
      <w:pPr/>
      <w:rPr>
        <w:color w:val="F2F2F2"/>
        <w:sz w:val="22"/>
      </w:rPr>
      <w:tblPr/>
      <w:tcPr>
        <w:shd w:val="clear" w:color="FFFFFF" w:fill="4EA72E" w:themeFill="accent6"/>
      </w:tcPr>
    </w:tblStylePr>
    <w:tblStylePr w:type="lastCol">
      <w:pPr/>
      <w:rPr>
        <w:color w:val="F2F2F2"/>
        <w:sz w:val="22"/>
      </w:rPr>
      <w:tblPr/>
      <w:tcPr>
        <w:shd w:val="clear" w:color="FFFFFF" w:fill="4EA72E" w:themeFill="accent6"/>
      </w:tcPr>
    </w:tblStylePr>
    <w:tblStylePr w:type="lastRow">
      <w:pPr/>
      <w:rPr>
        <w:color w:val="F2F2F2"/>
        <w:sz w:val="22"/>
      </w:rPr>
      <w:tblPr/>
      <w:tcPr>
        <w:shd w:val="clear" w:color="FFFFFF" w:fill="4EA72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7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7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9ED6EF" w:themeFill="accent1" w:themeFillTint="50"/>
      </w:tcPr>
    </w:tblStylePr>
    <w:tblStylePr w:type="band2Vert">
      <w:pPr/>
      <w:rPr>
        <w:color w:val="404040"/>
        <w:sz w:val="22"/>
      </w:rPr>
      <w:tblPr/>
      <w:tcPr>
        <w:shd w:val="clear" w:color="FFFFFF" w:fill="9ED6EF" w:themeFill="accent1" w:themeFillTint="50"/>
      </w:tcPr>
    </w:tblStylePr>
    <w:tblStylePr w:type="firstCol">
      <w:pPr/>
      <w:rPr>
        <w:color w:val="F2F2F2"/>
        <w:sz w:val="22"/>
      </w:rPr>
      <w:tblPr/>
      <w:tcPr>
        <w:shd w:val="clear" w:color="FFFFFF" w:fill="19739B" w:themeFill="accent1" w:themeFillTint="ea"/>
      </w:tcPr>
    </w:tblStylePr>
    <w:tblStylePr w:type="firstRow">
      <w:pPr/>
      <w:rPr>
        <w:color w:val="F2F2F2"/>
        <w:sz w:val="22"/>
      </w:rPr>
      <w:tblPr/>
      <w:tcPr>
        <w:shd w:val="clear" w:color="FFFFFF" w:fill="19739B" w:themeFill="accent1" w:themeFillTint="ea"/>
      </w:tcPr>
    </w:tblStylePr>
    <w:tblStylePr w:type="lastCol">
      <w:pPr/>
      <w:rPr>
        <w:color w:val="F2F2F2"/>
        <w:sz w:val="22"/>
      </w:rPr>
      <w:tblPr/>
      <w:tcPr>
        <w:shd w:val="clear" w:color="FFFFFF" w:fill="19739B" w:themeFill="accent1" w:themeFillTint="ea"/>
      </w:tcPr>
    </w:tblStylePr>
    <w:tblStylePr w:type="lastRow">
      <w:pPr/>
      <w:rPr>
        <w:color w:val="F2F2F2"/>
        <w:sz w:val="22"/>
      </w:rPr>
      <w:tblPr/>
      <w:tcPr>
        <w:shd w:val="clear" w:color="FFFFFF" w:fill="19739B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7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band2Vert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firstCol">
      <w:pPr/>
      <w:rPr>
        <w:color w:val="F2F2F2"/>
        <w:sz w:val="22"/>
      </w:rPr>
      <w:tblPr/>
      <w:tcPr>
        <w:shd w:val="clear" w:color="FFFFFF" w:fill="F2AB86" w:themeFill="accent2" w:themeFillTint="97"/>
      </w:tcPr>
    </w:tblStylePr>
    <w:tblStylePr w:type="firstRow">
      <w:pPr/>
      <w:rPr>
        <w:color w:val="F2F2F2"/>
        <w:sz w:val="22"/>
      </w:rPr>
      <w:tblPr/>
      <w:tcPr>
        <w:shd w:val="clear" w:color="FFFFFF" w:fill="F2AB86" w:themeFill="accent2" w:themeFillTint="97"/>
      </w:tcPr>
    </w:tblStylePr>
    <w:tblStylePr w:type="lastCol">
      <w:pPr/>
      <w:rPr>
        <w:color w:val="F2F2F2"/>
        <w:sz w:val="22"/>
      </w:rPr>
      <w:tblPr/>
      <w:tcPr>
        <w:shd w:val="clear" w:color="FFFFFF" w:fill="F2AB86" w:themeFill="accent2" w:themeFillTint="97"/>
      </w:tcPr>
    </w:tblStylePr>
    <w:tblStylePr w:type="lastRow">
      <w:pPr/>
      <w:rPr>
        <w:color w:val="F2F2F2"/>
        <w:sz w:val="22"/>
      </w:rPr>
      <w:tblPr/>
      <w:tcPr>
        <w:shd w:val="clear" w:color="FFFFFF" w:fill="F2AB8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7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firstRow">
      <w:pPr/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lastCol">
      <w:pPr/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lastRow">
      <w:pPr/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7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60CBF4" w:themeFill="accent4" w:themeFillTint="9a"/>
      </w:tcPr>
    </w:tblStylePr>
    <w:tblStylePr w:type="firstRow">
      <w:pPr/>
      <w:rPr>
        <w:color w:val="F2F2F2"/>
        <w:sz w:val="22"/>
      </w:rPr>
      <w:tblPr/>
      <w:tcPr>
        <w:shd w:val="clear" w:color="FFFFFF" w:fill="60CBF4" w:themeFill="accent4" w:themeFillTint="9a"/>
      </w:tcPr>
    </w:tblStylePr>
    <w:tblStylePr w:type="lastCol">
      <w:pPr/>
      <w:rPr>
        <w:color w:val="F2F2F2"/>
        <w:sz w:val="22"/>
      </w:rPr>
      <w:tblPr/>
      <w:tcPr>
        <w:shd w:val="clear" w:color="FFFFFF" w:fill="60CBF4" w:themeFill="accent4" w:themeFillTint="9a"/>
      </w:tcPr>
    </w:tblStylePr>
    <w:tblStylePr w:type="lastRow">
      <w:pPr/>
      <w:rPr>
        <w:color w:val="F2F2F2"/>
        <w:sz w:val="22"/>
      </w:rPr>
      <w:tblPr/>
      <w:tcPr>
        <w:shd w:val="clear" w:color="FFFFFF" w:fill="60CBF4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7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A02B93" w:themeFill="accent5"/>
      </w:tcPr>
    </w:tblStylePr>
    <w:tblStylePr w:type="firstRow">
      <w:pPr/>
      <w:rPr>
        <w:color w:val="F2F2F2"/>
        <w:sz w:val="22"/>
      </w:rPr>
      <w:tblPr/>
      <w:tcPr>
        <w:shd w:val="clear" w:color="FFFFFF" w:fill="A02B93" w:themeFill="accent5"/>
      </w:tcPr>
    </w:tblStylePr>
    <w:tblStylePr w:type="lastCol">
      <w:pPr/>
      <w:rPr>
        <w:color w:val="F2F2F2"/>
        <w:sz w:val="22"/>
      </w:rPr>
      <w:tblPr/>
      <w:tcPr>
        <w:shd w:val="clear" w:color="FFFFFF" w:fill="A02B93" w:themeFill="accent5"/>
      </w:tcPr>
    </w:tblStylePr>
    <w:tblStylePr w:type="lastRow">
      <w:pPr/>
      <w:rPr>
        <w:color w:val="F2F2F2"/>
        <w:sz w:val="22"/>
      </w:rPr>
      <w:tblPr/>
      <w:tcPr>
        <w:shd w:val="clear" w:color="FFFFFF" w:fill="A02B93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7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4EA72E" w:themeFill="accent6"/>
      </w:tcPr>
    </w:tblStylePr>
    <w:tblStylePr w:type="firstRow">
      <w:pPr/>
      <w:rPr>
        <w:color w:val="F2F2F2"/>
        <w:sz w:val="22"/>
      </w:rPr>
      <w:tblPr/>
      <w:tcPr>
        <w:shd w:val="clear" w:color="FFFFFF" w:fill="4EA72E" w:themeFill="accent6"/>
      </w:tcPr>
    </w:tblStylePr>
    <w:tblStylePr w:type="lastCol">
      <w:pPr/>
      <w:rPr>
        <w:color w:val="F2F2F2"/>
        <w:sz w:val="22"/>
      </w:rPr>
      <w:tblPr/>
      <w:tcPr>
        <w:shd w:val="clear" w:color="FFFFFF" w:fill="4EA72E" w:themeFill="accent6"/>
      </w:tcPr>
    </w:tblStylePr>
    <w:tblStylePr w:type="lastRow">
      <w:pPr/>
      <w:rPr>
        <w:color w:val="F2F2F2"/>
        <w:sz w:val="22"/>
      </w:rPr>
      <w:tblPr/>
      <w:tcPr>
        <w:shd w:val="clear" w:color="FFFFFF" w:fill="4EA72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764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88">
    <w:name w:val="Table Normal"/>
    <w:uiPriority w:val="2"/>
    <w:semiHidden/>
    <w:unhideWhenUsed/>
    <w:qFormat/>
    <w:pPr>
      <w:spacing w:after="0" w:line="240" w:lineRule="auto"/>
    </w:pPr>
    <w:rPr>
      <w:lang w:val="en-US"/>
      <w:sz w:val="22"/>
      <w:szCs w:val="22"/>
    </w:rPr>
    <w:tblPr>
      <w:tblCellMar>
        <w:left w:w="0" w:type="dxa"/>
        <w:top w:w="0" w:type="dxa"/>
        <w:right w:w="0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dpu.def.br/camaras" TargetMode="External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1919D6DE3BD244B65FBCCEDF4AE0CF" ma:contentTypeVersion="3" ma:contentTypeDescription="Crie um novo documento." ma:contentTypeScope="" ma:versionID="1fbcde975e055f6d26faa2a6cc3e37de">
  <xsd:schema xmlns:xsd="http://www.w3.org/2001/XMLSchema" xmlns:xs="http://www.w3.org/2001/XMLSchema" xmlns:p="http://schemas.microsoft.com/office/2006/metadata/properties" xmlns:ns2="b6b2f871-3e57-4b2e-a4f8-609b3b4c6839" targetNamespace="http://schemas.microsoft.com/office/2006/metadata/properties" ma:root="true" ma:fieldsID="167b0296ba29e47a9aef7f37ebd219bf" ns2:_="">
    <xsd:import namespace="b6b2f871-3e57-4b2e-a4f8-609b3b4c68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2f871-3e57-4b2e-a4f8-609b3b4c68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2A2979CF-3CC9-4512-A40A-A0516AB59467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D6350DDC-D710-4B13-A5ED-BA3D27B9D461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b2f871-3e57-4b2e-a4f8-609b3b4c68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055FF4D9-3A3B-43E5-A5CF-E4398364B860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B24F0019-E60C-4B9B-87F9-3751B882B9C1">
  <ds:schemaRefs>
    <ds:schemaRef ds:uri="http://schemas.microsoft.com/office/2006/metadata/properties"/>
    <ds:schemaRef ds:uri="http://www.w3.org/2001/XMLSchema-instance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LibreOffice/7.4.7.2$Windows_X86_64 LibreOffice_project/723314e595e8007d3cf785c16538505a1c878ca5</Application>
  <AppVersion>15.0000</AppVersion>
  <Pages>10</Pages>
  <Words>3523</Words>
  <Characters>19657</Characters>
  <CharactersWithSpaces>23090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2026-05-26T14:50:00Z</dcterms:created>
  <dc:creator>Maira de Carvalho Pereira Mesquita</dc:creator>
  <dc:description/>
  <dc:language>pt-BR</dc:language>
  <cp:lastModifiedBy/>
  <dcterms:modified xsi:type="dcterms:W3CDTF">2026-10-08T10:03:48Z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0x010100DF1919D6DE3BD244B65FBCCEDF4AE0CF</vt:lpwstr>
  </property>
</Properties>
</file>