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E6BEA" w14:textId="7BF801BC" w:rsidR="00E00CDB" w:rsidRDefault="00556D67" w:rsidP="00556D67">
      <w:pPr>
        <w:jc w:val="center"/>
        <w:rPr>
          <w:b/>
          <w:bCs/>
        </w:rPr>
      </w:pPr>
      <w:r>
        <w:rPr>
          <w:b/>
          <w:bCs/>
        </w:rPr>
        <w:t xml:space="preserve">Washington State Department of Health Marine </w:t>
      </w:r>
      <w:r w:rsidR="009921C6" w:rsidRPr="001A2462">
        <w:rPr>
          <w:b/>
          <w:bCs/>
        </w:rPr>
        <w:t>Biotoxin Records</w:t>
      </w:r>
      <w:bookmarkStart w:id="0" w:name="_GoBack"/>
      <w:bookmarkEnd w:id="0"/>
    </w:p>
    <w:p w14:paraId="798EB581" w14:textId="77777777" w:rsidR="00556D67" w:rsidRDefault="00556D67">
      <w:pPr>
        <w:rPr>
          <w:b/>
          <w:bCs/>
        </w:rPr>
      </w:pPr>
      <w:r>
        <w:rPr>
          <w:b/>
          <w:bCs/>
        </w:rPr>
        <w:t>Questions should be directed to:</w:t>
      </w:r>
    </w:p>
    <w:p w14:paraId="74677DA8" w14:textId="72D5FC4A" w:rsidR="00556D67" w:rsidRDefault="00556D67">
      <w:pPr>
        <w:rPr>
          <w:b/>
          <w:bCs/>
        </w:rPr>
      </w:pPr>
      <w:r>
        <w:rPr>
          <w:b/>
          <w:bCs/>
        </w:rPr>
        <w:t xml:space="preserve">Tracie Barry, Marine Biotoxin Specialist. </w:t>
      </w:r>
      <w:hyperlink r:id="rId5" w:history="1">
        <w:r w:rsidRPr="00866A8E">
          <w:rPr>
            <w:rStyle w:val="Hyperlink"/>
            <w:b/>
            <w:bCs/>
          </w:rPr>
          <w:t>Tracie.barry@doh.wa.gov</w:t>
        </w:r>
      </w:hyperlink>
      <w:r>
        <w:rPr>
          <w:b/>
          <w:bCs/>
        </w:rPr>
        <w:t xml:space="preserve"> 360-236-3354</w:t>
      </w:r>
    </w:p>
    <w:p w14:paraId="4A4B9DB3" w14:textId="299E1B0C" w:rsidR="005A7633" w:rsidRDefault="005A7633" w:rsidP="005A7633">
      <w:pPr>
        <w:pStyle w:val="ListParagraph"/>
        <w:numPr>
          <w:ilvl w:val="0"/>
          <w:numId w:val="1"/>
        </w:numPr>
      </w:pPr>
      <w:r w:rsidRPr="005A7633">
        <w:t xml:space="preserve">Management Plan Folder: Contains </w:t>
      </w:r>
      <w:r>
        <w:t>the Washington State Department of Health General Marine Biotoxin Contingency Plan and current appendixes for razor clams and Dungeness crab.</w:t>
      </w:r>
    </w:p>
    <w:p w14:paraId="318076A0" w14:textId="2DA93196" w:rsidR="005A7633" w:rsidRPr="00556D67" w:rsidRDefault="005A7633" w:rsidP="005A7633">
      <w:pPr>
        <w:ind w:left="360"/>
        <w:rPr>
          <w:i/>
          <w:iCs/>
        </w:rPr>
      </w:pPr>
      <w:r w:rsidRPr="00556D67">
        <w:rPr>
          <w:i/>
          <w:iCs/>
        </w:rPr>
        <w:t xml:space="preserve">Note: </w:t>
      </w:r>
      <w:r w:rsidRPr="00556D67">
        <w:rPr>
          <w:i/>
          <w:iCs/>
        </w:rPr>
        <w:t>In order to upgrade an area, two samples collected at least 7 days apart under the action level and toxins not increasing required. Areas may not be reopened due to risk or inadequate sampling at discretion of SME.</w:t>
      </w:r>
    </w:p>
    <w:p w14:paraId="4EE00B60" w14:textId="74F876DB" w:rsidR="005A7633" w:rsidRPr="005A7633" w:rsidRDefault="005A7633" w:rsidP="00556D67">
      <w:pPr>
        <w:pStyle w:val="ListParagraph"/>
        <w:numPr>
          <w:ilvl w:val="0"/>
          <w:numId w:val="3"/>
        </w:numPr>
      </w:pPr>
      <w:r>
        <w:t xml:space="preserve">Closure Zone </w:t>
      </w:r>
      <w:r w:rsidR="00556D67">
        <w:t>Maps folder contains maps</w:t>
      </w:r>
      <w:r>
        <w:t xml:space="preserve"> for coastal </w:t>
      </w:r>
      <w:r w:rsidR="00556D67">
        <w:t>closure zones</w:t>
      </w:r>
      <w:r>
        <w:t xml:space="preserve">. Most </w:t>
      </w:r>
      <w:r w:rsidR="00556D67">
        <w:t xml:space="preserve">sentinel mussel </w:t>
      </w:r>
      <w:r>
        <w:t xml:space="preserve">monitoring sites are </w:t>
      </w:r>
      <w:r w:rsidR="00556D67">
        <w:t>marked.</w:t>
      </w:r>
    </w:p>
    <w:p w14:paraId="436ED72F" w14:textId="19E24FBE" w:rsidR="009921C6" w:rsidRDefault="009921C6" w:rsidP="001A2462">
      <w:pPr>
        <w:pStyle w:val="ListParagraph"/>
        <w:numPr>
          <w:ilvl w:val="0"/>
          <w:numId w:val="1"/>
        </w:numPr>
      </w:pPr>
      <w:r>
        <w:t xml:space="preserve">Grid Codes: File contains </w:t>
      </w:r>
      <w:r w:rsidR="005A7633">
        <w:t xml:space="preserve">approximate </w:t>
      </w:r>
      <w:r>
        <w:t>coordinates for sampling sites. If any sites are missing please let me know and we will remedy.</w:t>
      </w:r>
      <w:r w:rsidR="005A7633">
        <w:t xml:space="preserve"> This may be supplement for razor clams by the ‘Coastal Razor Clam Areas’ .pdf in the Razor Clam Plan folder within the Management Plan folder.</w:t>
      </w:r>
    </w:p>
    <w:p w14:paraId="0E42047D" w14:textId="08F716AC" w:rsidR="009921C6" w:rsidRDefault="005A7633" w:rsidP="001A2462">
      <w:pPr>
        <w:pStyle w:val="ListParagraph"/>
        <w:numPr>
          <w:ilvl w:val="0"/>
          <w:numId w:val="1"/>
        </w:numPr>
      </w:pPr>
      <w:r>
        <w:t>Coast Biotoxin Records 2000</w:t>
      </w:r>
      <w:r w:rsidR="009921C6">
        <w:t>_2020: File contains</w:t>
      </w:r>
      <w:r>
        <w:t xml:space="preserve"> all biotoxin results for shellfish </w:t>
      </w:r>
      <w:r w:rsidR="009921C6">
        <w:t>testing for years 20</w:t>
      </w:r>
      <w:r>
        <w:t>00</w:t>
      </w:r>
      <w:r w:rsidR="009921C6">
        <w:t>-2020. ASP, DSP, PSP toxin data is included. LOD for PSP 38, ASP &amp; DSP 1.</w:t>
      </w:r>
      <w:r>
        <w:t xml:space="preserve"> Closure levels: PSP 80 ug/100 g tissue, ASP 20 ppm, DSP 16 ug/100 g tissue.</w:t>
      </w:r>
    </w:p>
    <w:p w14:paraId="0B15846D" w14:textId="2CFE1CFD" w:rsidR="005A7633" w:rsidRPr="00556D67" w:rsidRDefault="005A7633" w:rsidP="001A2462">
      <w:pPr>
        <w:ind w:left="360"/>
        <w:rPr>
          <w:i/>
          <w:iCs/>
        </w:rPr>
      </w:pPr>
      <w:r w:rsidRPr="00556D67">
        <w:rPr>
          <w:i/>
          <w:iCs/>
        </w:rPr>
        <w:t xml:space="preserve">Note: All closures are included in the internal automated log and excel rec closure log. The </w:t>
      </w:r>
      <w:proofErr w:type="spellStart"/>
      <w:r w:rsidRPr="00556D67">
        <w:rPr>
          <w:i/>
          <w:iCs/>
        </w:rPr>
        <w:t>Shellview</w:t>
      </w:r>
      <w:proofErr w:type="spellEnd"/>
      <w:r w:rsidRPr="00556D67">
        <w:rPr>
          <w:i/>
          <w:iCs/>
        </w:rPr>
        <w:t xml:space="preserve"> </w:t>
      </w:r>
      <w:proofErr w:type="spellStart"/>
      <w:r w:rsidRPr="00556D67">
        <w:rPr>
          <w:i/>
          <w:iCs/>
        </w:rPr>
        <w:t>CloseLog</w:t>
      </w:r>
      <w:proofErr w:type="spellEnd"/>
      <w:r w:rsidRPr="00556D67">
        <w:rPr>
          <w:i/>
          <w:iCs/>
        </w:rPr>
        <w:t xml:space="preserve"> is not available prior to year 2014.</w:t>
      </w:r>
    </w:p>
    <w:p w14:paraId="09F378EF" w14:textId="77777777" w:rsidR="009921C6" w:rsidRDefault="009921C6" w:rsidP="001A2462">
      <w:pPr>
        <w:pStyle w:val="ListParagraph"/>
        <w:numPr>
          <w:ilvl w:val="0"/>
          <w:numId w:val="2"/>
        </w:numPr>
      </w:pPr>
      <w:r>
        <w:t>Shellview_CloseLog_2014_2020: Internal Shellfish Safety/</w:t>
      </w:r>
      <w:proofErr w:type="spellStart"/>
      <w:r>
        <w:t>Shellview</w:t>
      </w:r>
      <w:proofErr w:type="spellEnd"/>
      <w:r>
        <w:t xml:space="preserve"> records. </w:t>
      </w:r>
      <w:proofErr w:type="spellStart"/>
      <w:r w:rsidR="00833FE6">
        <w:t>ParentEntity</w:t>
      </w:r>
      <w:proofErr w:type="spellEnd"/>
      <w:r w:rsidR="00833FE6">
        <w:t xml:space="preserve"> shows type of closure zone, </w:t>
      </w:r>
      <w:proofErr w:type="spellStart"/>
      <w:r w:rsidR="00833FE6">
        <w:t>ie</w:t>
      </w:r>
      <w:proofErr w:type="spellEnd"/>
      <w:r w:rsidR="00833FE6">
        <w:t xml:space="preserve">: commercial area, zone, county, used to show areal extent of closure. Commercial closures are for </w:t>
      </w:r>
      <w:proofErr w:type="gramStart"/>
      <w:r w:rsidR="00833FE6">
        <w:t>particular species</w:t>
      </w:r>
      <w:proofErr w:type="gramEnd"/>
      <w:r w:rsidR="00833FE6">
        <w:t xml:space="preserve"> based on enhanced monitoring of a particular species. More than 2 toxic species will trigger all species commercial closures. </w:t>
      </w:r>
      <w:proofErr w:type="spellStart"/>
      <w:r w:rsidR="00833FE6">
        <w:t>ParentEntityNames</w:t>
      </w:r>
      <w:proofErr w:type="spellEnd"/>
      <w:r w:rsidR="00833FE6">
        <w:t xml:space="preserve"> w/o numbers are waterbodies or growing areas. Numbers indicate that a closure zone was used. Geoduck Tract Numbers are subtidal geoduck commercial harvest areas. </w:t>
      </w:r>
      <w:r>
        <w:t xml:space="preserve">Some notes of toxins/reasons for closures. </w:t>
      </w:r>
      <w:r w:rsidR="00833FE6">
        <w:t xml:space="preserve">Event type notes commercial or recreational closure. </w:t>
      </w:r>
      <w:r>
        <w:t>Additional data may be obtained from Rec Closure logs.</w:t>
      </w:r>
    </w:p>
    <w:p w14:paraId="5C73278A" w14:textId="77777777" w:rsidR="009921C6" w:rsidRDefault="009921C6" w:rsidP="001A2462">
      <w:pPr>
        <w:pStyle w:val="ListParagraph"/>
        <w:numPr>
          <w:ilvl w:val="0"/>
          <w:numId w:val="2"/>
        </w:numPr>
      </w:pPr>
      <w:r>
        <w:t>Rec Closure logs: Documentation of recreational shellfish closures by county. Sample site notes location of first sample taken above action. Closure area is water body or extent of closure. Closure history notes</w:t>
      </w:r>
      <w:r w:rsidR="00AD1131">
        <w:t xml:space="preserve"> species closure and date closed. Typical closure progression: all species closed &gt; butter/varnish closed &gt; reopen to all species.</w:t>
      </w:r>
    </w:p>
    <w:p w14:paraId="48C0B43F" w14:textId="77777777" w:rsidR="00833FE6" w:rsidRDefault="00833FE6" w:rsidP="00833FE6">
      <w:pPr>
        <w:pStyle w:val="ListParagraph"/>
        <w:ind w:left="360"/>
      </w:pPr>
    </w:p>
    <w:p w14:paraId="23CFA9EF" w14:textId="77777777" w:rsidR="00833FE6" w:rsidRDefault="00833FE6" w:rsidP="00556D67">
      <w:pPr>
        <w:pStyle w:val="ListParagraph"/>
        <w:numPr>
          <w:ilvl w:val="1"/>
          <w:numId w:val="5"/>
        </w:numPr>
      </w:pPr>
      <w:r>
        <w:t>Recreational harvest of scallops always prohibited.</w:t>
      </w:r>
    </w:p>
    <w:p w14:paraId="70B6EF84" w14:textId="77777777" w:rsidR="00AD1131" w:rsidRDefault="00AD1131" w:rsidP="00556D67">
      <w:pPr>
        <w:pStyle w:val="ListParagraph"/>
        <w:numPr>
          <w:ilvl w:val="1"/>
          <w:numId w:val="5"/>
        </w:numPr>
      </w:pPr>
      <w:r>
        <w:t>Closed to all species: all bivalve species and moon snails (not shrimp/crab). Implemented when new closure/expanded closure occurs and active algal bloom.</w:t>
      </w:r>
    </w:p>
    <w:p w14:paraId="350F95E9" w14:textId="77777777" w:rsidR="00AD1131" w:rsidRDefault="00AD1131" w:rsidP="00556D67">
      <w:pPr>
        <w:pStyle w:val="ListParagraph"/>
        <w:numPr>
          <w:ilvl w:val="1"/>
          <w:numId w:val="5"/>
        </w:numPr>
      </w:pPr>
      <w:r>
        <w:t xml:space="preserve">Reopen to all species, except butter clams (sometimes geoduck if opportunity exists in intertidal): upgrade from all species closure. Bloom subsided. Butter and varnish clams retain toxins longer than other species. </w:t>
      </w:r>
    </w:p>
    <w:p w14:paraId="31F6E855" w14:textId="77777777" w:rsidR="00AD1131" w:rsidRDefault="001A2462" w:rsidP="00556D67">
      <w:pPr>
        <w:pStyle w:val="ListParagraph"/>
        <w:numPr>
          <w:ilvl w:val="1"/>
          <w:numId w:val="5"/>
        </w:numPr>
      </w:pPr>
      <w:r>
        <w:t>R</w:t>
      </w:r>
      <w:r w:rsidR="00AD1131">
        <w:t>eopen to all species: Upgrade. No butter/varnish/geoducks present and bloom has subsided.</w:t>
      </w:r>
    </w:p>
    <w:p w14:paraId="683BD2CD" w14:textId="51631B77" w:rsidR="00AD1131" w:rsidRDefault="00AD1131" w:rsidP="00556D67">
      <w:pPr>
        <w:pStyle w:val="ListParagraph"/>
        <w:numPr>
          <w:ilvl w:val="1"/>
          <w:numId w:val="5"/>
        </w:numPr>
      </w:pPr>
      <w:r>
        <w:t xml:space="preserve">Closed to all crab species: Has only </w:t>
      </w:r>
      <w:r w:rsidR="00556D67">
        <w:t xml:space="preserve">been used </w:t>
      </w:r>
      <w:r>
        <w:t xml:space="preserve">in 2020. </w:t>
      </w:r>
    </w:p>
    <w:p w14:paraId="5A12FF14" w14:textId="6537A0CA" w:rsidR="00AD1131" w:rsidRDefault="00AD1131" w:rsidP="001A2462">
      <w:pPr>
        <w:ind w:left="360"/>
      </w:pPr>
      <w:r>
        <w:lastRenderedPageBreak/>
        <w:t xml:space="preserve">Seasonal Closures of all coastal beaches </w:t>
      </w:r>
      <w:proofErr w:type="gramStart"/>
      <w:r>
        <w:t>with the exception of</w:t>
      </w:r>
      <w:proofErr w:type="gramEnd"/>
      <w:r>
        <w:t xml:space="preserve"> razor clams are due to lack of adequate sampling for logistic reasons: Grays Harbor, Pacific, Jefferson and Clallam Coast</w:t>
      </w:r>
      <w:r w:rsidR="00B2109D">
        <w:t xml:space="preserve">s. </w:t>
      </w:r>
      <w:r>
        <w:t>CNS</w:t>
      </w:r>
      <w:r w:rsidR="00B2109D">
        <w:t xml:space="preserve"> (subsistence)</w:t>
      </w:r>
      <w:r>
        <w:t xml:space="preserve"> harvests are permitted at the discretion of tribal entities in coastal areas.</w:t>
      </w:r>
      <w:r w:rsidR="00833FE6">
        <w:t xml:space="preserve"> Coastal razor clam closure in </w:t>
      </w:r>
      <w:r w:rsidR="005A7633">
        <w:t xml:space="preserve">March </w:t>
      </w:r>
      <w:r w:rsidR="00833FE6">
        <w:t>2020 due to COVID crowding concerns of county officials, not biotoxins.</w:t>
      </w:r>
      <w:r w:rsidR="005A7633">
        <w:t xml:space="preserve"> Coastal ASP closures began in October.</w:t>
      </w:r>
    </w:p>
    <w:p w14:paraId="25D07EBB" w14:textId="77777777" w:rsidR="00B2109D" w:rsidRPr="00556D67" w:rsidRDefault="00B2109D" w:rsidP="001A2462">
      <w:pPr>
        <w:ind w:left="360"/>
        <w:rPr>
          <w:i/>
          <w:iCs/>
        </w:rPr>
      </w:pPr>
      <w:r w:rsidRPr="00556D67">
        <w:rPr>
          <w:i/>
          <w:iCs/>
        </w:rPr>
        <w:t xml:space="preserve">Rec Closure log 2020 included Closure Zone numbers used to update shellfish safety map. </w:t>
      </w:r>
    </w:p>
    <w:sectPr w:rsidR="00B2109D" w:rsidRPr="00556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D7875"/>
    <w:multiLevelType w:val="hybridMultilevel"/>
    <w:tmpl w:val="FA425B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0A3E9D"/>
    <w:multiLevelType w:val="hybridMultilevel"/>
    <w:tmpl w:val="7D687DD4"/>
    <w:lvl w:ilvl="0" w:tplc="3FF4F40A">
      <w:start w:val="1"/>
      <w:numFmt w:val="bullet"/>
      <w:lvlText w:val="–"/>
      <w:lvlJc w:val="left"/>
      <w:pPr>
        <w:ind w:left="360" w:hanging="360"/>
      </w:pPr>
      <w:rPr>
        <w:rFonts w:ascii="Calibri" w:hAnsi="Calibri" w:hint="default"/>
      </w:rPr>
    </w:lvl>
    <w:lvl w:ilvl="1" w:tplc="3FF4F40A">
      <w:start w:val="1"/>
      <w:numFmt w:val="bullet"/>
      <w:lvlText w:val="–"/>
      <w:lvlJc w:val="left"/>
      <w:pPr>
        <w:ind w:left="1440" w:hanging="360"/>
      </w:pPr>
      <w:rPr>
        <w:rFonts w:ascii="Calibri" w:hAnsi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B3A5B"/>
    <w:multiLevelType w:val="hybridMultilevel"/>
    <w:tmpl w:val="07EC22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7B4B27"/>
    <w:multiLevelType w:val="hybridMultilevel"/>
    <w:tmpl w:val="7180BB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75B2F9E"/>
    <w:multiLevelType w:val="hybridMultilevel"/>
    <w:tmpl w:val="E93AD474"/>
    <w:lvl w:ilvl="0" w:tplc="3FF4F40A">
      <w:start w:val="1"/>
      <w:numFmt w:val="bullet"/>
      <w:lvlText w:val="–"/>
      <w:lvlJc w:val="left"/>
      <w:pPr>
        <w:ind w:left="36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1C6"/>
    <w:rsid w:val="001A2462"/>
    <w:rsid w:val="00556D67"/>
    <w:rsid w:val="005A7633"/>
    <w:rsid w:val="006412A9"/>
    <w:rsid w:val="007A3523"/>
    <w:rsid w:val="00833FE6"/>
    <w:rsid w:val="008404A2"/>
    <w:rsid w:val="009921C6"/>
    <w:rsid w:val="00AD1131"/>
    <w:rsid w:val="00B2109D"/>
    <w:rsid w:val="00D2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B6740"/>
  <w15:chartTrackingRefBased/>
  <w15:docId w15:val="{D901A194-E236-4FA1-A853-72E469A11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4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6D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D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racie.barry@doh.wa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Department of Health</Company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Barry, Tracie S (DOH)</dc:creator>
  <cp:keywords/>
  <dc:description/>
  <cp:lastModifiedBy>Barry, Tracie S (DOH)</cp:lastModifiedBy>
  <cp:revision>3</cp:revision>
  <dcterms:created xsi:type="dcterms:W3CDTF">2021-01-20T16:17:00Z</dcterms:created>
  <dcterms:modified xsi:type="dcterms:W3CDTF">2021-04-06T19:44:00Z</dcterms:modified>
</cp:coreProperties>
</file>