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410"/>
        <w:gridCol w:w="5580"/>
      </w:tblGrid>
      <w:tr w:rsidR="00525F10" w:rsidRPr="00A14FAB" w:rsidTr="00996419">
        <w:tc>
          <w:tcPr>
            <w:tcW w:w="4410" w:type="dxa"/>
            <w:tcBorders>
              <w:bottom w:val="thickThinSmallGap" w:sz="12" w:space="0" w:color="auto"/>
            </w:tcBorders>
          </w:tcPr>
          <w:p w:rsidR="00103F66" w:rsidRPr="00A14FAB" w:rsidRDefault="00103F66" w:rsidP="00660EF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b/>
                <w:sz w:val="20"/>
                <w:szCs w:val="20"/>
              </w:rPr>
              <w:t>Parameter and values</w:t>
            </w:r>
          </w:p>
        </w:tc>
        <w:tc>
          <w:tcPr>
            <w:tcW w:w="5580" w:type="dxa"/>
            <w:tcBorders>
              <w:bottom w:val="thickThinSmallGap" w:sz="12" w:space="0" w:color="auto"/>
            </w:tcBorders>
          </w:tcPr>
          <w:p w:rsidR="00103F66" w:rsidRPr="00A14FAB" w:rsidRDefault="00103F66" w:rsidP="00660EF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b/>
                <w:sz w:val="20"/>
                <w:szCs w:val="20"/>
              </w:rPr>
              <w:t>References</w:t>
            </w:r>
          </w:p>
        </w:tc>
      </w:tr>
      <w:tr w:rsidR="00525F10" w:rsidRPr="00A14FAB" w:rsidTr="00996419">
        <w:tc>
          <w:tcPr>
            <w:tcW w:w="4410" w:type="dxa"/>
            <w:tcBorders>
              <w:top w:val="thickThinSmallGap" w:sz="12" w:space="0" w:color="auto"/>
            </w:tcBorders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Mortality at age</w:t>
            </w:r>
          </w:p>
        </w:tc>
        <w:tc>
          <w:tcPr>
            <w:tcW w:w="5580" w:type="dxa"/>
            <w:tcBorders>
              <w:top w:val="thickThinSmallGap" w:sz="12" w:space="0" w:color="auto"/>
            </w:tcBorders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103F66" w:rsidP="00A14FAB">
            <w:pPr>
              <w:ind w:left="339" w:firstLine="381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0.8  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yr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1-2 (juveniles)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0.3 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yr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Ages≥3 (adults)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103F66" w:rsidRPr="00A14FAB" w:rsidRDefault="000B1082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Hankin et al. 1997; Zhang et al. 2004</w:t>
            </w: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Fecundity at age</w:t>
            </w:r>
          </w:p>
        </w:tc>
        <w:tc>
          <w:tcPr>
            <w:tcW w:w="558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103F66" w:rsidP="00A14FAB">
            <w:pPr>
              <w:ind w:left="339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 million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2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sz w:val="20"/>
                            <w:szCs w:val="20"/>
                          </w:rPr>
                          <m:t xml:space="preserve">2 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million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3-5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sz w:val="20"/>
                            <w:szCs w:val="20"/>
                          </w:rPr>
                          <m:t xml:space="preserve">2 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million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Ages≥6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103F66" w:rsidRPr="00A14FAB" w:rsidRDefault="000B1082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Botsford and Wickham 1978; Higgins et al. 1997; Rasmuson 2013; Toft et al. 2013</w:t>
            </w: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103F66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Proportion mature at age</w:t>
            </w:r>
          </w:p>
        </w:tc>
        <w:tc>
          <w:tcPr>
            <w:tcW w:w="558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103F66" w:rsidP="00A14FAB">
            <w:pPr>
              <w:ind w:left="339"/>
              <w:rPr>
                <w:rFonts w:asciiTheme="minorHAnsi" w:eastAsia="Calibr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0.2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2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1.0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Age≥3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103F66" w:rsidRPr="00A14FAB" w:rsidRDefault="000B1082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Butler 1960; Wainwright and Armstrong 1993; Jensen and Asplen 1998; Armstrong et al. 2003</w:t>
            </w: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103F66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P</w:t>
            </w:r>
            <w:r w:rsidR="00273314"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roportion retained at age/sex</w:t>
            </w:r>
          </w:p>
        </w:tc>
        <w:tc>
          <w:tcPr>
            <w:tcW w:w="558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273314" w:rsidP="00A14FAB">
            <w:pPr>
              <w:ind w:left="339"/>
              <w:rPr>
                <w:rFonts w:asciiTheme="minorHAnsi" w:eastAsia="Calibr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s,a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1-3 (males)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1.0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 ≥4 (males)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Females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103F66" w:rsidRPr="00A14FAB" w:rsidRDefault="00A14FAB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Based on </w:t>
            </w:r>
            <w:r w:rsidR="000B1082" w:rsidRPr="00A14FA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5B3A5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bookmarkStart w:id="0" w:name="_GoBack"/>
            <w:bookmarkEnd w:id="0"/>
            <w:r w:rsidR="000B1082" w:rsidRPr="00A14FAB">
              <w:rPr>
                <w:rFonts w:asciiTheme="minorHAnsi" w:hAnsiTheme="minorHAnsi" w:cstheme="minorHAnsi"/>
                <w:sz w:val="20"/>
                <w:szCs w:val="20"/>
              </w:rPr>
              <w:t>S regulations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growth rates</w:t>
            </w:r>
          </w:p>
        </w:tc>
      </w:tr>
      <w:tr w:rsidR="00525F10" w:rsidRPr="00A14FAB" w:rsidTr="00996419">
        <w:tc>
          <w:tcPr>
            <w:tcW w:w="4410" w:type="dxa"/>
          </w:tcPr>
          <w:p w:rsidR="00103F66" w:rsidRPr="00A14FAB" w:rsidRDefault="0043035F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Proportion of incidental death at age</w:t>
            </w:r>
          </w:p>
        </w:tc>
        <w:tc>
          <w:tcPr>
            <w:tcW w:w="5580" w:type="dxa"/>
          </w:tcPr>
          <w:p w:rsidR="00103F66" w:rsidRPr="00A14FAB" w:rsidRDefault="00103F66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996419" w:rsidRPr="00A14FAB" w:rsidTr="00996419">
        <w:tc>
          <w:tcPr>
            <w:tcW w:w="4410" w:type="dxa"/>
          </w:tcPr>
          <w:p w:rsidR="0043035F" w:rsidRPr="00A14FAB" w:rsidRDefault="0043035F" w:rsidP="00A14FAB">
            <w:pPr>
              <w:ind w:left="339"/>
              <w:rPr>
                <w:rFonts w:asciiTheme="minorHAnsi" w:eastAsia="Calibr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1-2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0.8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Ages≥3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43035F" w:rsidRPr="00A14FAB" w:rsidRDefault="0043035F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Tegelberg 1970; Reilly 1983; Murphy and Kruse 1995; Yochum et al. 2017</w:t>
            </w:r>
            <w:r w:rsidR="00525F10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  <w:r w:rsidR="00525F10" w:rsidRPr="00A14FAB">
              <w:rPr>
                <w:rFonts w:asciiTheme="minorHAnsi" w:hAnsiTheme="minorHAnsi" w:cstheme="minorHAnsi"/>
                <w:sz w:val="20"/>
                <w:szCs w:val="20"/>
              </w:rPr>
              <w:t>Froehlich et al. 2016</w:t>
            </w:r>
          </w:p>
        </w:tc>
      </w:tr>
      <w:tr w:rsidR="00996419" w:rsidRPr="00A14FAB" w:rsidTr="00996419">
        <w:tc>
          <w:tcPr>
            <w:tcW w:w="4410" w:type="dxa"/>
          </w:tcPr>
          <w:p w:rsidR="0043035F" w:rsidRPr="00A14FAB" w:rsidRDefault="00B328E9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Catchability at age</w:t>
            </w:r>
          </w:p>
        </w:tc>
        <w:tc>
          <w:tcPr>
            <w:tcW w:w="5580" w:type="dxa"/>
          </w:tcPr>
          <w:p w:rsidR="0043035F" w:rsidRPr="00A14FAB" w:rsidRDefault="0043035F" w:rsidP="00103F66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996419" w:rsidRPr="00A14FAB" w:rsidTr="00996419">
        <w:tc>
          <w:tcPr>
            <w:tcW w:w="4410" w:type="dxa"/>
          </w:tcPr>
          <w:p w:rsidR="00B328E9" w:rsidRPr="00A14FAB" w:rsidRDefault="00B328E9" w:rsidP="00A14FAB">
            <w:pPr>
              <w:ind w:left="339"/>
              <w:rPr>
                <w:rFonts w:asciiTheme="minorHAnsi" w:eastAsia="Calibr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s,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1-2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(males)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.00035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Ages≥3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(males)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s 1-3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(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fe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males)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.00035</m:t>
                        </m:r>
                        <m:r>
                          <w:rPr>
                            <w:rFonts w:ascii="Cambria Math" w:eastAsiaTheme="minorHAnsi" w:hAnsi="Cambria Math" w:cstheme="minorHAnsi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Ages ≥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4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(females)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80" w:type="dxa"/>
          </w:tcPr>
          <w:p w:rsidR="00B328E9" w:rsidRPr="00A14FAB" w:rsidRDefault="001F7C07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Toft et al. 2013; Froehlich et al. 2016</w:t>
            </w:r>
          </w:p>
        </w:tc>
      </w:tr>
      <w:tr w:rsidR="00996419" w:rsidRPr="00A14FAB" w:rsidTr="00996419">
        <w:tc>
          <w:tcPr>
            <w:tcW w:w="4410" w:type="dxa"/>
          </w:tcPr>
          <w:p w:rsidR="00996419" w:rsidRDefault="001F7C07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Steepness </w:t>
            </w:r>
          </w:p>
          <w:p w:rsidR="001F7C07" w:rsidRPr="00A14FAB" w:rsidRDefault="001F7C07" w:rsidP="00996419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i/>
                <w:sz w:val="20"/>
                <w:szCs w:val="20"/>
              </w:rPr>
              <w:t>h</w:t>
            </w: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= 0.65</w:t>
            </w:r>
          </w:p>
        </w:tc>
        <w:tc>
          <w:tcPr>
            <w:tcW w:w="5580" w:type="dxa"/>
          </w:tcPr>
          <w:p w:rsidR="001F7C07" w:rsidRPr="00A14FAB" w:rsidRDefault="00525F10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exact measures reported; Zheng et al. 1995; Zheng and Kruse 2003; Armstrong et al. 2010; Froehlich et al 2016</w:t>
            </w:r>
          </w:p>
        </w:tc>
      </w:tr>
      <w:tr w:rsidR="00996419" w:rsidRPr="00A14FAB" w:rsidTr="00996419">
        <w:tc>
          <w:tcPr>
            <w:tcW w:w="4410" w:type="dxa"/>
          </w:tcPr>
          <w:p w:rsidR="00996419" w:rsidRDefault="001F7C07" w:rsidP="00525F10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Eggs per recruit</w:t>
            </w:r>
          </w:p>
          <w:p w:rsidR="001F7C07" w:rsidRPr="00A14FAB" w:rsidRDefault="00525F10" w:rsidP="00996419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525F10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φ</w:t>
            </w:r>
            <w:r w:rsidRPr="00525F10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  <w:vertAlign w:val="subscript"/>
              </w:rPr>
              <w:t>0</w:t>
            </w:r>
            <w:r w:rsidR="00996419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="001F7C07"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= 630,222 eggs</w:t>
            </w:r>
          </w:p>
        </w:tc>
        <w:tc>
          <w:tcPr>
            <w:tcW w:w="5580" w:type="dxa"/>
          </w:tcPr>
          <w:p w:rsidR="001F7C07" w:rsidRPr="00A14FAB" w:rsidRDefault="001F7C07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Derived from mortality, fecundity, and maturity at age; Froehlich et al. 2016</w:t>
            </w:r>
          </w:p>
        </w:tc>
      </w:tr>
      <w:tr w:rsidR="00996419" w:rsidRPr="00A14FAB" w:rsidTr="00996419">
        <w:tc>
          <w:tcPr>
            <w:tcW w:w="4410" w:type="dxa"/>
          </w:tcPr>
          <w:p w:rsidR="00996419" w:rsidRDefault="001F7C07" w:rsidP="00103F66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Virgin recruitment </w:t>
            </w:r>
          </w:p>
          <w:p w:rsidR="001F7C07" w:rsidRPr="00A14FAB" w:rsidRDefault="001F7C07" w:rsidP="00996419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R</w:t>
            </w:r>
            <w:r w:rsidRPr="00A14FAB">
              <w:rPr>
                <w:rFonts w:asciiTheme="minorHAnsi" w:eastAsia="Calibri" w:hAnsiTheme="minorHAnsi" w:cstheme="minorHAnsi"/>
                <w:sz w:val="20"/>
                <w:szCs w:val="20"/>
                <w:vertAlign w:val="subscript"/>
              </w:rPr>
              <w:t>0</w:t>
            </w: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= 7 million crabs</w:t>
            </w:r>
          </w:p>
        </w:tc>
        <w:tc>
          <w:tcPr>
            <w:tcW w:w="5580" w:type="dxa"/>
          </w:tcPr>
          <w:p w:rsidR="001F7C07" w:rsidRPr="00A14FAB" w:rsidRDefault="001F7C07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Butler 1960, 1961; Wild and Tasto 1983; Wainwright and Armstrong 1993; Jensen and Asplen 1998; Armstrong et al. 2003</w:t>
            </w:r>
          </w:p>
        </w:tc>
      </w:tr>
      <w:tr w:rsidR="00996419" w:rsidRPr="00A14FAB" w:rsidTr="00996419">
        <w:tc>
          <w:tcPr>
            <w:tcW w:w="4410" w:type="dxa"/>
          </w:tcPr>
          <w:p w:rsidR="00996419" w:rsidRDefault="00A14FAB" w:rsidP="00996419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>Half-saturation constant</w:t>
            </w:r>
            <w:r w:rsidR="00996419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(for effective repro ratio)</w:t>
            </w:r>
          </w:p>
          <w:p w:rsidR="001F7C07" w:rsidRPr="00A14FAB" w:rsidRDefault="00A14FAB" w:rsidP="00996419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η</w:t>
            </w:r>
            <w:r w:rsidRPr="00A14FA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= 0.1</w:t>
            </w:r>
          </w:p>
        </w:tc>
        <w:tc>
          <w:tcPr>
            <w:tcW w:w="5580" w:type="dxa"/>
          </w:tcPr>
          <w:p w:rsidR="001F7C07" w:rsidRPr="00A14FAB" w:rsidRDefault="00A14FAB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14FAB">
              <w:rPr>
                <w:rFonts w:asciiTheme="minorHAnsi" w:hAnsiTheme="minorHAnsi" w:cstheme="minorHAnsi"/>
                <w:sz w:val="20"/>
                <w:szCs w:val="20"/>
              </w:rPr>
              <w:t>Froehlich et al. 2016</w:t>
            </w:r>
          </w:p>
        </w:tc>
      </w:tr>
      <w:tr w:rsidR="00917925" w:rsidRPr="00A14FAB" w:rsidTr="00996419">
        <w:tc>
          <w:tcPr>
            <w:tcW w:w="4410" w:type="dxa"/>
          </w:tcPr>
          <w:p w:rsidR="00917925" w:rsidRDefault="00917925" w:rsidP="00996419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Weekly fishing effort</w:t>
            </w:r>
          </w:p>
          <w:p w:rsidR="00917925" w:rsidRPr="00A14FAB" w:rsidRDefault="00917925" w:rsidP="00917925">
            <w:pPr>
              <w:ind w:left="335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E = 173,900 traps</w:t>
            </w:r>
          </w:p>
        </w:tc>
        <w:tc>
          <w:tcPr>
            <w:tcW w:w="5580" w:type="dxa"/>
          </w:tcPr>
          <w:p w:rsidR="00917925" w:rsidRPr="00A14FAB" w:rsidRDefault="00917925" w:rsidP="00103F6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California Department of Fish &amp; Wildlife data</w:t>
            </w:r>
          </w:p>
        </w:tc>
      </w:tr>
    </w:tbl>
    <w:p w:rsidR="00660EF6" w:rsidRPr="00A14FAB" w:rsidRDefault="00660EF6" w:rsidP="00660EF6">
      <w:pPr>
        <w:rPr>
          <w:rFonts w:asciiTheme="minorHAnsi" w:hAnsiTheme="minorHAnsi" w:cstheme="minorHAnsi"/>
          <w:sz w:val="20"/>
          <w:szCs w:val="20"/>
          <w:u w:val="single"/>
        </w:rPr>
      </w:pPr>
    </w:p>
    <w:p w:rsidR="00103F66" w:rsidRDefault="00103F66">
      <w:pPr>
        <w:rPr>
          <w:rFonts w:asciiTheme="minorHAnsi" w:hAnsiTheme="minorHAnsi" w:cstheme="minorHAnsi"/>
          <w:sz w:val="20"/>
          <w:szCs w:val="20"/>
        </w:rPr>
      </w:pPr>
    </w:p>
    <w:p w:rsidR="005B3A52" w:rsidRDefault="005B3A52">
      <w:pPr>
        <w:rPr>
          <w:rFonts w:asciiTheme="minorHAnsi" w:hAnsiTheme="minorHAnsi" w:cstheme="minorHAnsi"/>
          <w:sz w:val="20"/>
          <w:szCs w:val="20"/>
        </w:rPr>
      </w:pPr>
    </w:p>
    <w:p w:rsidR="005B3A52" w:rsidRPr="00A14FAB" w:rsidRDefault="005B3A52">
      <w:pPr>
        <w:rPr>
          <w:rFonts w:asciiTheme="minorHAnsi" w:hAnsiTheme="minorHAnsi" w:cstheme="minorHAnsi"/>
          <w:sz w:val="20"/>
          <w:szCs w:val="20"/>
        </w:rPr>
      </w:pPr>
    </w:p>
    <w:sectPr w:rsidR="005B3A52" w:rsidRPr="00A14FAB" w:rsidSect="0095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F6"/>
    <w:rsid w:val="000B1082"/>
    <w:rsid w:val="000D4543"/>
    <w:rsid w:val="00103F66"/>
    <w:rsid w:val="001F7C07"/>
    <w:rsid w:val="00273314"/>
    <w:rsid w:val="0043035F"/>
    <w:rsid w:val="00525F10"/>
    <w:rsid w:val="005B3A52"/>
    <w:rsid w:val="00660EF6"/>
    <w:rsid w:val="008E324E"/>
    <w:rsid w:val="00917925"/>
    <w:rsid w:val="009537B2"/>
    <w:rsid w:val="00996419"/>
    <w:rsid w:val="00A14FAB"/>
    <w:rsid w:val="00B328E9"/>
    <w:rsid w:val="00D3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4959"/>
  <w15:chartTrackingRefBased/>
  <w15:docId w15:val="{8F3CA118-F6FF-4749-9E01-E44622C1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4FAB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EF6"/>
    <w:rPr>
      <w:color w:val="808080"/>
    </w:rPr>
  </w:style>
  <w:style w:type="table" w:styleId="TableGrid">
    <w:name w:val="Table Grid"/>
    <w:basedOn w:val="TableNormal"/>
    <w:uiPriority w:val="39"/>
    <w:rsid w:val="00103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8</cp:revision>
  <dcterms:created xsi:type="dcterms:W3CDTF">2019-06-18T16:12:00Z</dcterms:created>
  <dcterms:modified xsi:type="dcterms:W3CDTF">2019-06-18T17:29:00Z</dcterms:modified>
</cp:coreProperties>
</file>