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71EA3" w14:textId="4ABC829A" w:rsidR="00BA538B" w:rsidRDefault="00BA538B">
      <w:pPr>
        <w:rPr>
          <w:b/>
        </w:rPr>
      </w:pPr>
      <w:r>
        <w:rPr>
          <w:b/>
        </w:rPr>
        <w:t xml:space="preserve">Table 1.  </w:t>
      </w:r>
      <w:r w:rsidRPr="00BA538B">
        <w:t>Evaluated management strategy scenarios.</w:t>
      </w:r>
    </w:p>
    <w:p w14:paraId="1F9FDDBC" w14:textId="77777777" w:rsidR="00BA538B" w:rsidRDefault="00BA538B">
      <w:pPr>
        <w:rPr>
          <w:b/>
        </w:rPr>
      </w:pPr>
    </w:p>
    <w:tbl>
      <w:tblPr>
        <w:tblW w:w="5000" w:type="pct"/>
        <w:tblLook w:val="04A0" w:firstRow="1" w:lastRow="0" w:firstColumn="1" w:lastColumn="0" w:noHBand="0" w:noVBand="1"/>
      </w:tblPr>
      <w:tblGrid>
        <w:gridCol w:w="419"/>
        <w:gridCol w:w="2290"/>
        <w:gridCol w:w="10251"/>
      </w:tblGrid>
      <w:tr w:rsidR="00BA538B" w:rsidRPr="00BA538B" w14:paraId="15787E41" w14:textId="77777777" w:rsidTr="00BA538B">
        <w:trPr>
          <w:trHeight w:val="340"/>
        </w:trPr>
        <w:tc>
          <w:tcPr>
            <w:tcW w:w="1037" w:type="pct"/>
            <w:gridSpan w:val="2"/>
            <w:tcBorders>
              <w:top w:val="single" w:sz="4" w:space="0" w:color="auto"/>
              <w:left w:val="nil"/>
              <w:bottom w:val="double" w:sz="6" w:space="0" w:color="auto"/>
              <w:right w:val="nil"/>
            </w:tcBorders>
            <w:shd w:val="clear" w:color="auto" w:fill="auto"/>
            <w:noWrap/>
            <w:vAlign w:val="bottom"/>
            <w:hideMark/>
          </w:tcPr>
          <w:p w14:paraId="2BCF2124"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name</w:t>
            </w:r>
          </w:p>
        </w:tc>
        <w:tc>
          <w:tcPr>
            <w:tcW w:w="3963" w:type="pct"/>
            <w:tcBorders>
              <w:top w:val="single" w:sz="4" w:space="0" w:color="auto"/>
              <w:left w:val="nil"/>
              <w:bottom w:val="double" w:sz="6" w:space="0" w:color="auto"/>
              <w:right w:val="nil"/>
            </w:tcBorders>
            <w:shd w:val="clear" w:color="auto" w:fill="auto"/>
            <w:noWrap/>
            <w:vAlign w:val="bottom"/>
            <w:hideMark/>
          </w:tcPr>
          <w:p w14:paraId="44373852"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description</w:t>
            </w:r>
          </w:p>
        </w:tc>
      </w:tr>
      <w:tr w:rsidR="00BA538B" w:rsidRPr="00BA538B" w14:paraId="1A72F576" w14:textId="77777777" w:rsidTr="00BA538B">
        <w:trPr>
          <w:trHeight w:val="340"/>
        </w:trPr>
        <w:tc>
          <w:tcPr>
            <w:tcW w:w="5000" w:type="pct"/>
            <w:gridSpan w:val="3"/>
            <w:tcBorders>
              <w:top w:val="nil"/>
              <w:left w:val="nil"/>
              <w:bottom w:val="nil"/>
              <w:right w:val="nil"/>
            </w:tcBorders>
            <w:shd w:val="clear" w:color="auto" w:fill="auto"/>
            <w:noWrap/>
            <w:vAlign w:val="bottom"/>
            <w:hideMark/>
          </w:tcPr>
          <w:p w14:paraId="4A903CA2" w14:textId="78A07124"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 xml:space="preserve">Domoic acid (DA) risk </w:t>
            </w:r>
            <w:r w:rsidR="008B4BD0" w:rsidRPr="00BA538B">
              <w:rPr>
                <w:rFonts w:ascii="Calibri" w:eastAsia="Times New Roman" w:hAnsi="Calibri" w:cs="Calibri"/>
                <w:i/>
                <w:iCs/>
                <w:color w:val="000000"/>
                <w:sz w:val="20"/>
                <w:szCs w:val="20"/>
              </w:rPr>
              <w:t>management</w:t>
            </w:r>
            <w:r w:rsidRPr="00BA538B">
              <w:rPr>
                <w:rFonts w:ascii="Calibri" w:eastAsia="Times New Roman" w:hAnsi="Calibri" w:cs="Calibri"/>
                <w:i/>
                <w:iCs/>
                <w:color w:val="000000"/>
                <w:sz w:val="20"/>
                <w:szCs w:val="20"/>
              </w:rPr>
              <w:t xml:space="preserve"> only</w:t>
            </w:r>
          </w:p>
        </w:tc>
      </w:tr>
      <w:tr w:rsidR="00BA538B" w:rsidRPr="00BA538B" w14:paraId="03853061" w14:textId="77777777" w:rsidTr="00BA538B">
        <w:trPr>
          <w:trHeight w:val="320"/>
        </w:trPr>
        <w:tc>
          <w:tcPr>
            <w:tcW w:w="145" w:type="pct"/>
            <w:tcBorders>
              <w:top w:val="nil"/>
              <w:left w:val="nil"/>
              <w:bottom w:val="nil"/>
              <w:right w:val="nil"/>
            </w:tcBorders>
            <w:shd w:val="clear" w:color="auto" w:fill="auto"/>
            <w:noWrap/>
            <w:vAlign w:val="bottom"/>
            <w:hideMark/>
          </w:tcPr>
          <w:p w14:paraId="473F64D7"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w:t>
            </w:r>
          </w:p>
        </w:tc>
        <w:tc>
          <w:tcPr>
            <w:tcW w:w="892" w:type="pct"/>
            <w:tcBorders>
              <w:top w:val="nil"/>
              <w:left w:val="nil"/>
              <w:bottom w:val="nil"/>
              <w:right w:val="nil"/>
            </w:tcBorders>
            <w:shd w:val="clear" w:color="auto" w:fill="auto"/>
            <w:noWrap/>
            <w:vAlign w:val="bottom"/>
            <w:hideMark/>
          </w:tcPr>
          <w:p w14:paraId="660C760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w:t>
            </w:r>
            <w:proofErr w:type="spellStart"/>
            <w:r w:rsidRPr="00BA538B">
              <w:rPr>
                <w:rFonts w:ascii="Calibri" w:eastAsia="Times New Roman" w:hAnsi="Calibri" w:cs="Calibri"/>
                <w:color w:val="000000"/>
                <w:sz w:val="20"/>
                <w:szCs w:val="20"/>
              </w:rPr>
              <w:t>Curr</w:t>
            </w:r>
            <w:proofErr w:type="spellEnd"/>
          </w:p>
        </w:tc>
        <w:tc>
          <w:tcPr>
            <w:tcW w:w="3963" w:type="pct"/>
            <w:tcBorders>
              <w:top w:val="nil"/>
              <w:left w:val="nil"/>
              <w:bottom w:val="nil"/>
              <w:right w:val="nil"/>
            </w:tcBorders>
            <w:shd w:val="clear" w:color="auto" w:fill="auto"/>
            <w:noWrap/>
            <w:vAlign w:val="bottom"/>
            <w:hideMark/>
          </w:tcPr>
          <w:p w14:paraId="0719CAC9" w14:textId="69705EDC"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Current management</w:t>
            </w:r>
          </w:p>
        </w:tc>
      </w:tr>
      <w:tr w:rsidR="00BA538B" w:rsidRPr="00BA538B" w14:paraId="6304FE16" w14:textId="77777777" w:rsidTr="00BA538B">
        <w:trPr>
          <w:trHeight w:val="320"/>
        </w:trPr>
        <w:tc>
          <w:tcPr>
            <w:tcW w:w="145" w:type="pct"/>
            <w:tcBorders>
              <w:top w:val="nil"/>
              <w:left w:val="nil"/>
              <w:bottom w:val="nil"/>
              <w:right w:val="nil"/>
            </w:tcBorders>
            <w:shd w:val="clear" w:color="auto" w:fill="auto"/>
            <w:noWrap/>
            <w:vAlign w:val="bottom"/>
            <w:hideMark/>
          </w:tcPr>
          <w:p w14:paraId="279DA4EC"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2</w:t>
            </w:r>
          </w:p>
        </w:tc>
        <w:tc>
          <w:tcPr>
            <w:tcW w:w="892" w:type="pct"/>
            <w:tcBorders>
              <w:top w:val="nil"/>
              <w:left w:val="nil"/>
              <w:bottom w:val="nil"/>
              <w:right w:val="nil"/>
            </w:tcBorders>
            <w:shd w:val="clear" w:color="auto" w:fill="auto"/>
            <w:noWrap/>
            <w:vAlign w:val="bottom"/>
            <w:hideMark/>
          </w:tcPr>
          <w:p w14:paraId="65CCC79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DA-Alt1</w:t>
            </w:r>
          </w:p>
        </w:tc>
        <w:tc>
          <w:tcPr>
            <w:tcW w:w="3963" w:type="pct"/>
            <w:tcBorders>
              <w:top w:val="nil"/>
              <w:left w:val="nil"/>
              <w:bottom w:val="nil"/>
              <w:right w:val="nil"/>
            </w:tcBorders>
            <w:shd w:val="clear" w:color="auto" w:fill="auto"/>
            <w:noWrap/>
            <w:vAlign w:val="bottom"/>
            <w:hideMark/>
          </w:tcPr>
          <w:p w14:paraId="7C123EED" w14:textId="39374E7B"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xpanded pre-season sampling</w:t>
            </w:r>
          </w:p>
        </w:tc>
      </w:tr>
      <w:tr w:rsidR="00BA538B" w:rsidRPr="00BA538B" w14:paraId="6E4D916A" w14:textId="77777777" w:rsidTr="00BA538B">
        <w:trPr>
          <w:trHeight w:val="320"/>
        </w:trPr>
        <w:tc>
          <w:tcPr>
            <w:tcW w:w="145" w:type="pct"/>
            <w:tcBorders>
              <w:top w:val="nil"/>
              <w:left w:val="nil"/>
              <w:bottom w:val="nil"/>
              <w:right w:val="nil"/>
            </w:tcBorders>
            <w:shd w:val="clear" w:color="auto" w:fill="auto"/>
            <w:noWrap/>
            <w:vAlign w:val="bottom"/>
            <w:hideMark/>
          </w:tcPr>
          <w:p w14:paraId="519472B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3</w:t>
            </w:r>
          </w:p>
        </w:tc>
        <w:tc>
          <w:tcPr>
            <w:tcW w:w="892" w:type="pct"/>
            <w:tcBorders>
              <w:top w:val="nil"/>
              <w:left w:val="nil"/>
              <w:bottom w:val="nil"/>
              <w:right w:val="nil"/>
            </w:tcBorders>
            <w:shd w:val="clear" w:color="auto" w:fill="auto"/>
            <w:noWrap/>
            <w:vAlign w:val="bottom"/>
            <w:hideMark/>
          </w:tcPr>
          <w:p w14:paraId="47021027"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w:t>
            </w:r>
          </w:p>
        </w:tc>
        <w:tc>
          <w:tcPr>
            <w:tcW w:w="3963" w:type="pct"/>
            <w:tcBorders>
              <w:top w:val="nil"/>
              <w:left w:val="nil"/>
              <w:bottom w:val="nil"/>
              <w:right w:val="nil"/>
            </w:tcBorders>
            <w:shd w:val="clear" w:color="auto" w:fill="auto"/>
            <w:noWrap/>
            <w:vAlign w:val="bottom"/>
            <w:hideMark/>
          </w:tcPr>
          <w:p w14:paraId="3532860E" w14:textId="16FFF59A"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 xml:space="preserve">xpanded pre-season sampling + </w:t>
            </w:r>
            <w:r w:rsidR="00020682" w:rsidRPr="00BA538B">
              <w:rPr>
                <w:rFonts w:ascii="Calibri" w:eastAsia="Times New Roman" w:hAnsi="Calibri" w:cs="Calibri"/>
                <w:color w:val="000000"/>
                <w:sz w:val="20"/>
                <w:szCs w:val="20"/>
              </w:rPr>
              <w:t>routine</w:t>
            </w:r>
            <w:r w:rsidR="00BA538B" w:rsidRPr="00BA538B">
              <w:rPr>
                <w:rFonts w:ascii="Calibri" w:eastAsia="Times New Roman" w:hAnsi="Calibri" w:cs="Calibri"/>
                <w:color w:val="000000"/>
                <w:sz w:val="20"/>
                <w:szCs w:val="20"/>
              </w:rPr>
              <w:t xml:space="preserve"> mid-season sampling</w:t>
            </w:r>
          </w:p>
        </w:tc>
      </w:tr>
      <w:tr w:rsidR="00BA538B" w:rsidRPr="00BA538B" w14:paraId="47CC4FB2" w14:textId="77777777" w:rsidTr="00BA538B">
        <w:trPr>
          <w:trHeight w:val="320"/>
        </w:trPr>
        <w:tc>
          <w:tcPr>
            <w:tcW w:w="145" w:type="pct"/>
            <w:tcBorders>
              <w:top w:val="nil"/>
              <w:left w:val="nil"/>
              <w:bottom w:val="nil"/>
              <w:right w:val="nil"/>
            </w:tcBorders>
            <w:shd w:val="clear" w:color="auto" w:fill="auto"/>
            <w:noWrap/>
            <w:vAlign w:val="bottom"/>
            <w:hideMark/>
          </w:tcPr>
          <w:p w14:paraId="30D0708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4</w:t>
            </w:r>
          </w:p>
        </w:tc>
        <w:tc>
          <w:tcPr>
            <w:tcW w:w="892" w:type="pct"/>
            <w:tcBorders>
              <w:top w:val="nil"/>
              <w:left w:val="nil"/>
              <w:bottom w:val="nil"/>
              <w:right w:val="nil"/>
            </w:tcBorders>
            <w:shd w:val="clear" w:color="auto" w:fill="auto"/>
            <w:noWrap/>
            <w:vAlign w:val="bottom"/>
            <w:hideMark/>
          </w:tcPr>
          <w:p w14:paraId="477A40A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w:t>
            </w:r>
          </w:p>
        </w:tc>
        <w:tc>
          <w:tcPr>
            <w:tcW w:w="3963" w:type="pct"/>
            <w:tcBorders>
              <w:top w:val="nil"/>
              <w:left w:val="nil"/>
              <w:bottom w:val="nil"/>
              <w:right w:val="nil"/>
            </w:tcBorders>
            <w:shd w:val="clear" w:color="auto" w:fill="auto"/>
            <w:noWrap/>
            <w:vAlign w:val="bottom"/>
            <w:hideMark/>
          </w:tcPr>
          <w:p w14:paraId="380F8E21" w14:textId="5B995B7F"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Season remains open with evisceration order (+</w:t>
            </w:r>
            <w:r w:rsidR="000866EA">
              <w:rPr>
                <w:rFonts w:ascii="Calibri" w:eastAsia="Times New Roman" w:hAnsi="Calibri" w:cs="Calibri"/>
                <w:color w:val="000000"/>
                <w:sz w:val="20"/>
                <w:szCs w:val="20"/>
              </w:rPr>
              <w:t xml:space="preserve"> </w:t>
            </w:r>
            <w:r w:rsidRPr="00BA538B">
              <w:rPr>
                <w:rFonts w:ascii="Calibri" w:eastAsia="Times New Roman" w:hAnsi="Calibri" w:cs="Calibri"/>
                <w:color w:val="000000"/>
                <w:sz w:val="20"/>
                <w:szCs w:val="20"/>
              </w:rPr>
              <w:t xml:space="preserve">expanded pre-season sampling + </w:t>
            </w:r>
            <w:r w:rsidR="00020682" w:rsidRPr="00BA538B">
              <w:rPr>
                <w:rFonts w:ascii="Calibri" w:eastAsia="Times New Roman" w:hAnsi="Calibri" w:cs="Calibri"/>
                <w:color w:val="000000"/>
                <w:sz w:val="20"/>
                <w:szCs w:val="20"/>
              </w:rPr>
              <w:t>routine</w:t>
            </w:r>
            <w:r w:rsidRPr="00BA538B">
              <w:rPr>
                <w:rFonts w:ascii="Calibri" w:eastAsia="Times New Roman" w:hAnsi="Calibri" w:cs="Calibri"/>
                <w:color w:val="000000"/>
                <w:sz w:val="20"/>
                <w:szCs w:val="20"/>
              </w:rPr>
              <w:t xml:space="preserve"> mid-season sampling)</w:t>
            </w:r>
          </w:p>
        </w:tc>
      </w:tr>
      <w:tr w:rsidR="00BA538B" w:rsidRPr="00BA538B" w14:paraId="7C22C6C8"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041A32FD"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Whale entanglement (WE) risk management only</w:t>
            </w:r>
          </w:p>
        </w:tc>
      </w:tr>
      <w:tr w:rsidR="00BA538B" w:rsidRPr="00BA538B" w14:paraId="0458045B" w14:textId="77777777" w:rsidTr="00BA538B">
        <w:trPr>
          <w:trHeight w:val="320"/>
        </w:trPr>
        <w:tc>
          <w:tcPr>
            <w:tcW w:w="145" w:type="pct"/>
            <w:tcBorders>
              <w:top w:val="nil"/>
              <w:left w:val="nil"/>
              <w:bottom w:val="nil"/>
              <w:right w:val="nil"/>
            </w:tcBorders>
            <w:shd w:val="clear" w:color="auto" w:fill="auto"/>
            <w:noWrap/>
            <w:vAlign w:val="bottom"/>
            <w:hideMark/>
          </w:tcPr>
          <w:p w14:paraId="5D30F3A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5</w:t>
            </w:r>
          </w:p>
        </w:tc>
        <w:tc>
          <w:tcPr>
            <w:tcW w:w="892" w:type="pct"/>
            <w:tcBorders>
              <w:top w:val="nil"/>
              <w:left w:val="nil"/>
              <w:bottom w:val="nil"/>
              <w:right w:val="nil"/>
            </w:tcBorders>
            <w:shd w:val="clear" w:color="auto" w:fill="auto"/>
            <w:noWrap/>
            <w:vAlign w:val="bottom"/>
            <w:hideMark/>
          </w:tcPr>
          <w:p w14:paraId="3A00E1A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w:t>
            </w:r>
            <w:proofErr w:type="spellStart"/>
            <w:r w:rsidRPr="00BA538B">
              <w:rPr>
                <w:rFonts w:ascii="Calibri" w:eastAsia="Times New Roman" w:hAnsi="Calibri" w:cs="Calibri"/>
                <w:color w:val="000000"/>
                <w:sz w:val="20"/>
                <w:szCs w:val="20"/>
              </w:rPr>
              <w:t>Orig</w:t>
            </w:r>
            <w:proofErr w:type="spellEnd"/>
          </w:p>
        </w:tc>
        <w:tc>
          <w:tcPr>
            <w:tcW w:w="3963" w:type="pct"/>
            <w:tcBorders>
              <w:top w:val="nil"/>
              <w:left w:val="nil"/>
              <w:bottom w:val="nil"/>
              <w:right w:val="nil"/>
            </w:tcBorders>
            <w:shd w:val="clear" w:color="auto" w:fill="auto"/>
            <w:noWrap/>
            <w:vAlign w:val="bottom"/>
            <w:hideMark/>
          </w:tcPr>
          <w:p w14:paraId="4EDCB6A7" w14:textId="2B3D6E4A"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Original RAMP guidelines</w:t>
            </w:r>
          </w:p>
        </w:tc>
      </w:tr>
      <w:tr w:rsidR="00BA538B" w:rsidRPr="00BA538B" w14:paraId="59D3039C" w14:textId="77777777" w:rsidTr="00BA538B">
        <w:trPr>
          <w:trHeight w:val="320"/>
        </w:trPr>
        <w:tc>
          <w:tcPr>
            <w:tcW w:w="145" w:type="pct"/>
            <w:tcBorders>
              <w:top w:val="nil"/>
              <w:left w:val="nil"/>
              <w:bottom w:val="nil"/>
              <w:right w:val="nil"/>
            </w:tcBorders>
            <w:shd w:val="clear" w:color="auto" w:fill="auto"/>
            <w:noWrap/>
            <w:vAlign w:val="bottom"/>
            <w:hideMark/>
          </w:tcPr>
          <w:p w14:paraId="3FABC8D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6</w:t>
            </w:r>
          </w:p>
        </w:tc>
        <w:tc>
          <w:tcPr>
            <w:tcW w:w="892" w:type="pct"/>
            <w:tcBorders>
              <w:top w:val="nil"/>
              <w:left w:val="nil"/>
              <w:bottom w:val="nil"/>
              <w:right w:val="nil"/>
            </w:tcBorders>
            <w:shd w:val="clear" w:color="auto" w:fill="auto"/>
            <w:noWrap/>
            <w:vAlign w:val="bottom"/>
            <w:hideMark/>
          </w:tcPr>
          <w:p w14:paraId="3C439E6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WE-Settle1</w:t>
            </w:r>
          </w:p>
        </w:tc>
        <w:tc>
          <w:tcPr>
            <w:tcW w:w="3963" w:type="pct"/>
            <w:tcBorders>
              <w:top w:val="nil"/>
              <w:left w:val="nil"/>
              <w:bottom w:val="nil"/>
              <w:right w:val="nil"/>
            </w:tcBorders>
            <w:shd w:val="clear" w:color="auto" w:fill="auto"/>
            <w:noWrap/>
            <w:vAlign w:val="bottom"/>
            <w:hideMark/>
          </w:tcPr>
          <w:p w14:paraId="092133F5" w14:textId="08C62633"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20F9">
              <w:rPr>
                <w:rFonts w:ascii="Calibri" w:eastAsia="Times New Roman" w:hAnsi="Calibri" w:cs="Calibri"/>
                <w:color w:val="000000"/>
                <w:sz w:val="20"/>
                <w:szCs w:val="20"/>
              </w:rPr>
              <w:t>, as specified in CDB vs. Bonham settlement</w:t>
            </w:r>
          </w:p>
        </w:tc>
      </w:tr>
      <w:tr w:rsidR="00BA538B" w:rsidRPr="00BA538B" w14:paraId="0D9F886B" w14:textId="77777777" w:rsidTr="00BA538B">
        <w:trPr>
          <w:trHeight w:val="320"/>
        </w:trPr>
        <w:tc>
          <w:tcPr>
            <w:tcW w:w="145" w:type="pct"/>
            <w:tcBorders>
              <w:top w:val="nil"/>
              <w:left w:val="nil"/>
              <w:bottom w:val="nil"/>
              <w:right w:val="nil"/>
            </w:tcBorders>
            <w:shd w:val="clear" w:color="auto" w:fill="auto"/>
            <w:noWrap/>
            <w:vAlign w:val="bottom"/>
            <w:hideMark/>
          </w:tcPr>
          <w:p w14:paraId="0F3E6E1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7</w:t>
            </w:r>
          </w:p>
        </w:tc>
        <w:tc>
          <w:tcPr>
            <w:tcW w:w="892" w:type="pct"/>
            <w:tcBorders>
              <w:top w:val="nil"/>
              <w:left w:val="nil"/>
              <w:bottom w:val="nil"/>
              <w:right w:val="nil"/>
            </w:tcBorders>
            <w:shd w:val="clear" w:color="auto" w:fill="auto"/>
            <w:noWrap/>
            <w:vAlign w:val="bottom"/>
            <w:hideMark/>
          </w:tcPr>
          <w:p w14:paraId="69110EF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We-Settle2</w:t>
            </w:r>
          </w:p>
        </w:tc>
        <w:tc>
          <w:tcPr>
            <w:tcW w:w="3963" w:type="pct"/>
            <w:tcBorders>
              <w:top w:val="nil"/>
              <w:left w:val="nil"/>
              <w:bottom w:val="nil"/>
              <w:right w:val="nil"/>
            </w:tcBorders>
            <w:shd w:val="clear" w:color="auto" w:fill="auto"/>
            <w:noWrap/>
            <w:vAlign w:val="bottom"/>
            <w:hideMark/>
          </w:tcPr>
          <w:p w14:paraId="4E78DC12" w14:textId="69379294"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495C">
              <w:rPr>
                <w:rFonts w:ascii="Calibri" w:eastAsia="Times New Roman" w:hAnsi="Calibri" w:cs="Calibri"/>
                <w:color w:val="000000"/>
                <w:sz w:val="20"/>
                <w:szCs w:val="20"/>
              </w:rPr>
              <w:t xml:space="preserve">, as specified in the </w:t>
            </w:r>
            <w:r w:rsidRPr="00BA538B">
              <w:rPr>
                <w:rFonts w:ascii="Calibri" w:eastAsia="Times New Roman" w:hAnsi="Calibri" w:cs="Calibri"/>
                <w:color w:val="000000"/>
                <w:sz w:val="20"/>
                <w:szCs w:val="20"/>
              </w:rPr>
              <w:t>settlement</w:t>
            </w:r>
            <w:r w:rsidR="00AD495C">
              <w:rPr>
                <w:rFonts w:ascii="Calibri" w:eastAsia="Times New Roman" w:hAnsi="Calibri" w:cs="Calibri"/>
                <w:color w:val="000000"/>
                <w:sz w:val="20"/>
                <w:szCs w:val="20"/>
              </w:rPr>
              <w:t>,</w:t>
            </w:r>
            <w:r w:rsidRPr="00BA538B">
              <w:rPr>
                <w:rFonts w:ascii="Calibri" w:eastAsia="Times New Roman" w:hAnsi="Calibri" w:cs="Calibri"/>
                <w:color w:val="000000"/>
                <w:sz w:val="20"/>
                <w:szCs w:val="20"/>
              </w:rPr>
              <w:t xml:space="preserve"> minus the April 1st closure for Districts 10, 17, and south</w:t>
            </w:r>
          </w:p>
        </w:tc>
      </w:tr>
      <w:tr w:rsidR="00BA538B" w:rsidRPr="00BA538B" w14:paraId="282532A3"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3C41173C"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Joint domoic acid and whale entanglement risk management</w:t>
            </w:r>
          </w:p>
        </w:tc>
      </w:tr>
      <w:tr w:rsidR="00BA538B" w:rsidRPr="00BA538B" w14:paraId="4BF23AC6" w14:textId="77777777" w:rsidTr="00BA538B">
        <w:trPr>
          <w:trHeight w:val="320"/>
        </w:trPr>
        <w:tc>
          <w:tcPr>
            <w:tcW w:w="145" w:type="pct"/>
            <w:tcBorders>
              <w:top w:val="nil"/>
              <w:left w:val="nil"/>
              <w:bottom w:val="nil"/>
              <w:right w:val="nil"/>
            </w:tcBorders>
            <w:shd w:val="clear" w:color="auto" w:fill="auto"/>
            <w:noWrap/>
            <w:vAlign w:val="bottom"/>
            <w:hideMark/>
          </w:tcPr>
          <w:p w14:paraId="361468E3"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8</w:t>
            </w:r>
          </w:p>
        </w:tc>
        <w:tc>
          <w:tcPr>
            <w:tcW w:w="892" w:type="pct"/>
            <w:tcBorders>
              <w:top w:val="nil"/>
              <w:left w:val="nil"/>
              <w:bottom w:val="nil"/>
              <w:right w:val="nil"/>
            </w:tcBorders>
            <w:shd w:val="clear" w:color="auto" w:fill="auto"/>
            <w:noWrap/>
            <w:vAlign w:val="bottom"/>
            <w:hideMark/>
          </w:tcPr>
          <w:p w14:paraId="4808A5D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WE-Settle1</w:t>
            </w:r>
          </w:p>
        </w:tc>
        <w:tc>
          <w:tcPr>
            <w:tcW w:w="3963" w:type="pct"/>
            <w:tcBorders>
              <w:top w:val="nil"/>
              <w:left w:val="nil"/>
              <w:bottom w:val="nil"/>
              <w:right w:val="nil"/>
            </w:tcBorders>
            <w:shd w:val="clear" w:color="auto" w:fill="auto"/>
            <w:noWrap/>
            <w:vAlign w:val="bottom"/>
            <w:hideMark/>
          </w:tcPr>
          <w:p w14:paraId="0ECF90C9"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w:t>
            </w:r>
          </w:p>
        </w:tc>
      </w:tr>
      <w:tr w:rsidR="00BA538B" w:rsidRPr="00BA538B" w14:paraId="67D424F0" w14:textId="77777777" w:rsidTr="00BA538B">
        <w:trPr>
          <w:trHeight w:val="320"/>
        </w:trPr>
        <w:tc>
          <w:tcPr>
            <w:tcW w:w="145" w:type="pct"/>
            <w:tcBorders>
              <w:top w:val="nil"/>
              <w:left w:val="nil"/>
              <w:bottom w:val="nil"/>
              <w:right w:val="nil"/>
            </w:tcBorders>
            <w:shd w:val="clear" w:color="auto" w:fill="auto"/>
            <w:noWrap/>
            <w:vAlign w:val="bottom"/>
            <w:hideMark/>
          </w:tcPr>
          <w:p w14:paraId="26C589E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9</w:t>
            </w:r>
          </w:p>
        </w:tc>
        <w:tc>
          <w:tcPr>
            <w:tcW w:w="892" w:type="pct"/>
            <w:tcBorders>
              <w:top w:val="nil"/>
              <w:left w:val="nil"/>
              <w:bottom w:val="nil"/>
              <w:right w:val="nil"/>
            </w:tcBorders>
            <w:shd w:val="clear" w:color="auto" w:fill="auto"/>
            <w:noWrap/>
            <w:vAlign w:val="bottom"/>
            <w:hideMark/>
          </w:tcPr>
          <w:p w14:paraId="03486A2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WE-Settle2</w:t>
            </w:r>
          </w:p>
        </w:tc>
        <w:tc>
          <w:tcPr>
            <w:tcW w:w="3963" w:type="pct"/>
            <w:tcBorders>
              <w:top w:val="nil"/>
              <w:left w:val="nil"/>
              <w:bottom w:val="nil"/>
              <w:right w:val="nil"/>
            </w:tcBorders>
            <w:shd w:val="clear" w:color="auto" w:fill="auto"/>
            <w:noWrap/>
            <w:vAlign w:val="bottom"/>
            <w:hideMark/>
          </w:tcPr>
          <w:p w14:paraId="0C1DA1C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 (w/out April 1st closure)</w:t>
            </w:r>
          </w:p>
        </w:tc>
      </w:tr>
      <w:tr w:rsidR="00BA538B" w:rsidRPr="00BA538B" w14:paraId="2DE7B14F" w14:textId="77777777" w:rsidTr="00BA538B">
        <w:trPr>
          <w:trHeight w:val="320"/>
        </w:trPr>
        <w:tc>
          <w:tcPr>
            <w:tcW w:w="145" w:type="pct"/>
            <w:tcBorders>
              <w:top w:val="nil"/>
              <w:left w:val="nil"/>
              <w:bottom w:val="nil"/>
              <w:right w:val="nil"/>
            </w:tcBorders>
            <w:shd w:val="clear" w:color="auto" w:fill="auto"/>
            <w:noWrap/>
            <w:vAlign w:val="bottom"/>
            <w:hideMark/>
          </w:tcPr>
          <w:p w14:paraId="5099ED4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10</w:t>
            </w:r>
          </w:p>
        </w:tc>
        <w:tc>
          <w:tcPr>
            <w:tcW w:w="892" w:type="pct"/>
            <w:tcBorders>
              <w:top w:val="nil"/>
              <w:left w:val="nil"/>
              <w:bottom w:val="nil"/>
              <w:right w:val="nil"/>
            </w:tcBorders>
            <w:shd w:val="clear" w:color="auto" w:fill="auto"/>
            <w:noWrap/>
            <w:vAlign w:val="bottom"/>
            <w:hideMark/>
          </w:tcPr>
          <w:p w14:paraId="3C2FE4F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WE-Settle1</w:t>
            </w:r>
          </w:p>
        </w:tc>
        <w:tc>
          <w:tcPr>
            <w:tcW w:w="3963" w:type="pct"/>
            <w:tcBorders>
              <w:top w:val="nil"/>
              <w:left w:val="nil"/>
              <w:bottom w:val="nil"/>
              <w:right w:val="nil"/>
            </w:tcBorders>
            <w:shd w:val="clear" w:color="auto" w:fill="auto"/>
            <w:noWrap/>
            <w:vAlign w:val="bottom"/>
            <w:hideMark/>
          </w:tcPr>
          <w:p w14:paraId="1470292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w:t>
            </w:r>
          </w:p>
        </w:tc>
      </w:tr>
      <w:tr w:rsidR="00BA538B" w:rsidRPr="00BA538B" w14:paraId="6FEFAFD8" w14:textId="77777777" w:rsidTr="00BA538B">
        <w:trPr>
          <w:trHeight w:val="320"/>
        </w:trPr>
        <w:tc>
          <w:tcPr>
            <w:tcW w:w="145" w:type="pct"/>
            <w:tcBorders>
              <w:top w:val="nil"/>
              <w:left w:val="nil"/>
              <w:bottom w:val="nil"/>
              <w:right w:val="nil"/>
            </w:tcBorders>
            <w:shd w:val="clear" w:color="auto" w:fill="auto"/>
            <w:noWrap/>
            <w:vAlign w:val="bottom"/>
            <w:hideMark/>
          </w:tcPr>
          <w:p w14:paraId="2C89EC0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11</w:t>
            </w:r>
          </w:p>
        </w:tc>
        <w:tc>
          <w:tcPr>
            <w:tcW w:w="892" w:type="pct"/>
            <w:tcBorders>
              <w:top w:val="nil"/>
              <w:left w:val="nil"/>
              <w:bottom w:val="nil"/>
              <w:right w:val="nil"/>
            </w:tcBorders>
            <w:shd w:val="clear" w:color="auto" w:fill="auto"/>
            <w:noWrap/>
            <w:vAlign w:val="bottom"/>
            <w:hideMark/>
          </w:tcPr>
          <w:p w14:paraId="422FC71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WE-Settle2</w:t>
            </w:r>
          </w:p>
        </w:tc>
        <w:tc>
          <w:tcPr>
            <w:tcW w:w="3963" w:type="pct"/>
            <w:tcBorders>
              <w:top w:val="nil"/>
              <w:left w:val="nil"/>
              <w:bottom w:val="nil"/>
              <w:right w:val="nil"/>
            </w:tcBorders>
            <w:shd w:val="clear" w:color="auto" w:fill="auto"/>
            <w:noWrap/>
            <w:vAlign w:val="bottom"/>
            <w:hideMark/>
          </w:tcPr>
          <w:p w14:paraId="3DF4B5D0"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 (w/out Apr 1st closure)</w:t>
            </w:r>
          </w:p>
        </w:tc>
      </w:tr>
    </w:tbl>
    <w:p w14:paraId="02B5D6A0" w14:textId="77777777" w:rsidR="008C7840" w:rsidRDefault="008C7840">
      <w:pPr>
        <w:rPr>
          <w:b/>
        </w:rPr>
      </w:pPr>
    </w:p>
    <w:p w14:paraId="736EDE8A" w14:textId="77777777" w:rsidR="008C7840" w:rsidRDefault="008C7840">
      <w:pPr>
        <w:rPr>
          <w:b/>
        </w:rPr>
      </w:pPr>
    </w:p>
    <w:p w14:paraId="197F359D" w14:textId="14F76F20" w:rsidR="00BA538B" w:rsidRDefault="00DE0460">
      <w:pPr>
        <w:rPr>
          <w:b/>
        </w:rPr>
      </w:pPr>
      <w:bookmarkStart w:id="0" w:name="_GoBack"/>
      <w:bookmarkEnd w:id="0"/>
      <w:r>
        <w:rPr>
          <w:b/>
        </w:rPr>
        <w:t>How good does knowledge of whale distribution need to be for dynamic management?</w:t>
      </w:r>
    </w:p>
    <w:p w14:paraId="1AF355F9" w14:textId="51BB4CD4" w:rsidR="00DE0460" w:rsidRDefault="00DE0460">
      <w:pPr>
        <w:rPr>
          <w:b/>
        </w:rPr>
        <w:sectPr w:rsidR="00DE0460" w:rsidSect="00DE0460">
          <w:pgSz w:w="15840" w:h="12240" w:orient="landscape"/>
          <w:pgMar w:top="1440" w:right="1440" w:bottom="1440" w:left="1440" w:header="720" w:footer="720" w:gutter="0"/>
          <w:cols w:space="720"/>
          <w:docGrid w:linePitch="360"/>
        </w:sectPr>
      </w:pPr>
    </w:p>
    <w:p w14:paraId="66C3A8B4" w14:textId="7E37FC1A" w:rsidR="002B2D10" w:rsidRDefault="00557025">
      <w:r w:rsidRPr="00557025">
        <w:rPr>
          <w:b/>
        </w:rPr>
        <w:lastRenderedPageBreak/>
        <w:t xml:space="preserve">Table </w:t>
      </w:r>
      <w:r w:rsidR="00BA538B">
        <w:rPr>
          <w:b/>
        </w:rPr>
        <w:t>2</w:t>
      </w:r>
      <w:r w:rsidRPr="00557025">
        <w:rPr>
          <w:b/>
        </w:rPr>
        <w:t>.</w:t>
      </w:r>
      <w:r>
        <w:t xml:space="preserve"> Current and alternative strategies for managing the public health risk </w:t>
      </w:r>
      <w:r w:rsidR="00B454F0">
        <w:t xml:space="preserve">presented by </w:t>
      </w:r>
      <w:r>
        <w:t>domoic acid contamination in the California Dungeness crab fishery</w:t>
      </w:r>
      <w:r w:rsidR="00C41536">
        <w:t xml:space="preserve"> and details on their implementation in the management strategy evaluation</w:t>
      </w:r>
      <w:r w:rsidR="00C24933">
        <w:t xml:space="preserve"> model.</w:t>
      </w:r>
    </w:p>
    <w:p w14:paraId="1D1B33DE" w14:textId="77777777" w:rsidR="008A01CE" w:rsidRDefault="008A01CE"/>
    <w:p w14:paraId="22EC495A"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5DC6CCF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1. </w:t>
      </w:r>
      <w:r w:rsidRPr="00425A2C">
        <w:rPr>
          <w:rFonts w:ascii="Calibri" w:eastAsia="Times New Roman" w:hAnsi="Calibri" w:cs="Calibri"/>
          <w:b/>
          <w:iCs/>
          <w:color w:val="000000"/>
          <w:sz w:val="20"/>
          <w:szCs w:val="20"/>
        </w:rPr>
        <w:t>Routine</w:t>
      </w:r>
      <w:r w:rsidRPr="006123F0">
        <w:rPr>
          <w:rFonts w:ascii="Calibri" w:eastAsia="Times New Roman" w:hAnsi="Calibri" w:cs="Calibri"/>
          <w:b/>
          <w:iCs/>
          <w:color w:val="000000"/>
          <w:sz w:val="20"/>
          <w:szCs w:val="20"/>
        </w:rPr>
        <w:t xml:space="preserve"> pre-season monitoring</w:t>
      </w:r>
    </w:p>
    <w:p w14:paraId="2EB34188" w14:textId="4B95872C" w:rsidR="008E2042" w:rsidRDefault="008E2042" w:rsidP="0021059D">
      <w:pPr>
        <w:ind w:left="360"/>
        <w:rPr>
          <w:rFonts w:ascii="Calibri" w:eastAsia="Times New Roman" w:hAnsi="Calibri" w:cs="Calibri"/>
          <w:color w:val="000000"/>
          <w:sz w:val="20"/>
          <w:szCs w:val="20"/>
        </w:rPr>
      </w:pPr>
      <w:r>
        <w:rPr>
          <w:rFonts w:ascii="Calibri" w:eastAsia="Times New Roman" w:hAnsi="Calibri" w:cs="Calibri"/>
          <w:color w:val="000000"/>
          <w:sz w:val="20"/>
          <w:szCs w:val="20"/>
        </w:rPr>
        <w:t xml:space="preserve">In late October or early November of each year, six crabs from twelve locations (6 areas, 2 locations each) are collected and measured for domoic acid concentration in </w:t>
      </w:r>
      <w:r w:rsidRPr="00B01683">
        <w:rPr>
          <w:rFonts w:ascii="Calibri" w:eastAsia="Times New Roman" w:hAnsi="Calibri" w:cs="Calibri"/>
          <w:color w:val="000000"/>
          <w:sz w:val="20"/>
          <w:szCs w:val="20"/>
        </w:rPr>
        <w:t xml:space="preserve">their viscera. If ≥3 of the sampled crabs show domoic acid concentrations above the </w:t>
      </w:r>
      <w:proofErr w:type="gramStart"/>
      <w:r w:rsidRPr="00B01683">
        <w:rPr>
          <w:rFonts w:ascii="Calibri" w:eastAsia="Times New Roman" w:hAnsi="Calibri" w:cs="Calibri"/>
          <w:color w:val="000000"/>
          <w:sz w:val="20"/>
          <w:szCs w:val="20"/>
        </w:rPr>
        <w:t>30 ppm</w:t>
      </w:r>
      <w:proofErr w:type="gramEnd"/>
      <w:r w:rsidRPr="00B01683">
        <w:rPr>
          <w:rFonts w:ascii="Calibri" w:eastAsia="Times New Roman" w:hAnsi="Calibri" w:cs="Calibri"/>
          <w:color w:val="000000"/>
          <w:sz w:val="20"/>
          <w:szCs w:val="20"/>
        </w:rPr>
        <w:t xml:space="preserve"> action threshold, the district is closed to fishing. viscera sampling is repeated every two weeks until resulting in two consecutive clean tests</w:t>
      </w:r>
      <w:r>
        <w:rPr>
          <w:rFonts w:ascii="Calibri" w:eastAsia="Times New Roman" w:hAnsi="Calibri" w:cs="Calibri"/>
          <w:color w:val="000000"/>
          <w:sz w:val="20"/>
          <w:szCs w:val="20"/>
        </w:rPr>
        <w:t xml:space="preserve">. The district is then re-opened to fishing. We simulated this process by drawing a random survey start date from a uniform distribution of historic start dates and sampling six crabs at each of the twelve locations on the appropriate date. Whether a sampled crab is contaminated above the action threshold was determined stochastically using the probabilities predicted by the random </w:t>
      </w:r>
      <w:proofErr w:type="gramStart"/>
      <w:r>
        <w:rPr>
          <w:rFonts w:ascii="Calibri" w:eastAsia="Times New Roman" w:hAnsi="Calibri" w:cs="Calibri"/>
          <w:color w:val="000000"/>
          <w:sz w:val="20"/>
          <w:szCs w:val="20"/>
        </w:rPr>
        <w:t>forests</w:t>
      </w:r>
      <w:proofErr w:type="gramEnd"/>
      <w:r>
        <w:rPr>
          <w:rFonts w:ascii="Calibri" w:eastAsia="Times New Roman" w:hAnsi="Calibri" w:cs="Calibri"/>
          <w:color w:val="000000"/>
          <w:sz w:val="20"/>
          <w:szCs w:val="20"/>
        </w:rPr>
        <w:t xml:space="preserve"> contamination model.</w:t>
      </w:r>
    </w:p>
    <w:p w14:paraId="426F7DF3" w14:textId="77777777" w:rsidR="00941222" w:rsidRPr="00941222" w:rsidRDefault="00941222" w:rsidP="0021059D">
      <w:pPr>
        <w:ind w:left="360"/>
        <w:rPr>
          <w:rFonts w:ascii="Calibri" w:eastAsia="Times New Roman" w:hAnsi="Calibri" w:cs="Calibri"/>
          <w:color w:val="000000"/>
          <w:sz w:val="10"/>
          <w:szCs w:val="10"/>
        </w:rPr>
      </w:pPr>
    </w:p>
    <w:p w14:paraId="2DE5D1A7"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2. Ad-hoc mid-season monitoring</w:t>
      </w:r>
    </w:p>
    <w:p w14:paraId="64A8C5F0" w14:textId="77777777" w:rsidR="008E2042" w:rsidRPr="00557025"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The following i</w:t>
      </w:r>
      <w:r w:rsidRPr="00557025">
        <w:rPr>
          <w:rFonts w:ascii="Calibri" w:eastAsia="Times New Roman" w:hAnsi="Calibri" w:cs="Calibri"/>
          <w:color w:val="000000"/>
          <w:sz w:val="20"/>
          <w:szCs w:val="20"/>
        </w:rPr>
        <w:t>ndicators</w:t>
      </w:r>
      <w:r>
        <w:rPr>
          <w:rFonts w:ascii="Calibri" w:eastAsia="Times New Roman" w:hAnsi="Calibri" w:cs="Calibri"/>
          <w:color w:val="000000"/>
          <w:sz w:val="20"/>
          <w:szCs w:val="20"/>
        </w:rPr>
        <w:t xml:space="preserve"> of elevated HAB or domoic acid risk trigger ad-hoc mid-season monitoring:</w:t>
      </w:r>
    </w:p>
    <w:p w14:paraId="39BE72F6" w14:textId="77777777" w:rsidR="008E2042" w:rsidRPr="00720261" w:rsidRDefault="008E2042" w:rsidP="008E2042">
      <w:pPr>
        <w:pStyle w:val="ListParagraph"/>
        <w:numPr>
          <w:ilvl w:val="0"/>
          <w:numId w:val="12"/>
        </w:numPr>
        <w:rPr>
          <w:rFonts w:ascii="Calibri" w:eastAsia="Times New Roman" w:hAnsi="Calibri" w:cs="Calibri"/>
          <w:color w:val="000000"/>
          <w:sz w:val="20"/>
          <w:szCs w:val="20"/>
        </w:rPr>
      </w:pPr>
      <w:r w:rsidRPr="00720261">
        <w:rPr>
          <w:rFonts w:ascii="Calibri" w:eastAsia="Times New Roman" w:hAnsi="Calibri" w:cs="Calibri"/>
          <w:color w:val="000000"/>
          <w:sz w:val="20"/>
          <w:szCs w:val="20"/>
          <w:u w:val="single"/>
        </w:rPr>
        <w:t>Increased toxins in bivalves:</w:t>
      </w:r>
      <w:r w:rsidRPr="00720261">
        <w:rPr>
          <w:rFonts w:ascii="Calibri" w:eastAsia="Times New Roman" w:hAnsi="Calibri" w:cs="Calibri"/>
          <w:color w:val="000000"/>
          <w:sz w:val="20"/>
          <w:szCs w:val="20"/>
        </w:rPr>
        <w:t xml:space="preserve"> This indicator is monitored using domoic acid measurement</w:t>
      </w:r>
      <w:r>
        <w:rPr>
          <w:rFonts w:ascii="Calibri" w:eastAsia="Times New Roman" w:hAnsi="Calibri" w:cs="Calibri"/>
          <w:color w:val="000000"/>
          <w:sz w:val="20"/>
          <w:szCs w:val="20"/>
        </w:rPr>
        <w:t>s in razor clams</w:t>
      </w:r>
      <w:r w:rsidRPr="00720261">
        <w:rPr>
          <w:rFonts w:ascii="Calibri" w:eastAsia="Times New Roman" w:hAnsi="Calibri" w:cs="Calibri"/>
          <w:color w:val="000000"/>
          <w:sz w:val="20"/>
          <w:szCs w:val="20"/>
        </w:rPr>
        <w:t xml:space="preserve"> from the C</w:t>
      </w:r>
      <w:r>
        <w:rPr>
          <w:rFonts w:ascii="Calibri" w:eastAsia="Times New Roman" w:hAnsi="Calibri" w:cs="Calibri"/>
          <w:color w:val="000000"/>
          <w:sz w:val="20"/>
          <w:szCs w:val="20"/>
        </w:rPr>
        <w:t>DPH</w:t>
      </w:r>
      <w:r w:rsidRPr="00720261">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Marine Biotoxin Monitoring Program</w:t>
      </w:r>
      <w:r w:rsidRPr="00720261">
        <w:rPr>
          <w:rFonts w:ascii="Calibri" w:eastAsia="Times New Roman" w:hAnsi="Calibri" w:cs="Calibri"/>
          <w:color w:val="000000"/>
          <w:sz w:val="20"/>
          <w:szCs w:val="20"/>
        </w:rPr>
        <w:t xml:space="preserve">. </w:t>
      </w:r>
      <w:commentRangeStart w:id="1"/>
      <w:r w:rsidRPr="003F6244">
        <w:rPr>
          <w:rFonts w:ascii="Calibri" w:eastAsia="Times New Roman" w:hAnsi="Calibri" w:cs="Calibri"/>
          <w:color w:val="FF0000"/>
          <w:sz w:val="20"/>
          <w:szCs w:val="20"/>
        </w:rPr>
        <w:t>The indicator is triggered when…</w:t>
      </w:r>
      <w:commentRangeEnd w:id="1"/>
      <w:r w:rsidR="001C1E10">
        <w:rPr>
          <w:rStyle w:val="CommentReference"/>
        </w:rPr>
        <w:commentReference w:id="1"/>
      </w:r>
    </w:p>
    <w:p w14:paraId="5A4D1AFC" w14:textId="77777777" w:rsidR="008E2042" w:rsidRPr="00720261" w:rsidRDefault="008E2042" w:rsidP="008E2042">
      <w:pPr>
        <w:pStyle w:val="ListParagraph"/>
        <w:numPr>
          <w:ilvl w:val="0"/>
          <w:numId w:val="12"/>
        </w:numPr>
        <w:rPr>
          <w:rFonts w:ascii="Calibri" w:eastAsia="Times New Roman" w:hAnsi="Calibri" w:cs="Calibri"/>
          <w:color w:val="000000"/>
          <w:sz w:val="20"/>
          <w:szCs w:val="20"/>
        </w:rPr>
      </w:pPr>
      <w:commentRangeStart w:id="2"/>
      <w:r w:rsidRPr="00720261">
        <w:rPr>
          <w:rFonts w:ascii="Calibri" w:eastAsia="Times New Roman" w:hAnsi="Calibri" w:cs="Calibri"/>
          <w:color w:val="000000"/>
          <w:sz w:val="20"/>
          <w:szCs w:val="20"/>
          <w:u w:val="single"/>
        </w:rPr>
        <w:t xml:space="preserve">Increased </w:t>
      </w:r>
      <w:r>
        <w:rPr>
          <w:rFonts w:ascii="Calibri" w:eastAsia="Times New Roman" w:hAnsi="Calibri" w:cs="Calibri"/>
          <w:color w:val="000000"/>
          <w:sz w:val="20"/>
          <w:szCs w:val="20"/>
          <w:u w:val="single"/>
        </w:rPr>
        <w:t xml:space="preserve">presence or abundance of </w:t>
      </w:r>
      <w:r w:rsidRPr="00720261">
        <w:rPr>
          <w:rFonts w:ascii="Calibri" w:eastAsia="Times New Roman" w:hAnsi="Calibri" w:cs="Calibri"/>
          <w:color w:val="000000"/>
          <w:sz w:val="20"/>
          <w:szCs w:val="20"/>
          <w:u w:val="single"/>
        </w:rPr>
        <w:t>HAB species:</w:t>
      </w:r>
      <w:r w:rsidRPr="00720261">
        <w:rPr>
          <w:rFonts w:ascii="Calibri" w:eastAsia="Times New Roman" w:hAnsi="Calibri" w:cs="Calibri"/>
          <w:color w:val="000000"/>
          <w:sz w:val="20"/>
          <w:szCs w:val="20"/>
        </w:rPr>
        <w:t xml:space="preserve"> This indicator is monitored using </w:t>
      </w:r>
      <w:r w:rsidRPr="002F1FAB">
        <w:rPr>
          <w:rFonts w:ascii="Calibri" w:eastAsia="Times New Roman" w:hAnsi="Calibri" w:cs="Calibri"/>
          <w:i/>
          <w:color w:val="000000"/>
          <w:sz w:val="20"/>
          <w:szCs w:val="20"/>
        </w:rPr>
        <w:t>Pseudo-nitzschia</w:t>
      </w:r>
      <w:r w:rsidRPr="00720261">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 xml:space="preserve">measurements at seven piers along the California coast from the </w:t>
      </w:r>
      <w:r w:rsidRPr="00720261">
        <w:rPr>
          <w:rFonts w:ascii="Calibri" w:eastAsia="Times New Roman" w:hAnsi="Calibri" w:cs="Calibri"/>
          <w:color w:val="000000"/>
          <w:sz w:val="20"/>
          <w:szCs w:val="20"/>
        </w:rPr>
        <w:t>C</w:t>
      </w:r>
      <w:r>
        <w:rPr>
          <w:rFonts w:ascii="Calibri" w:eastAsia="Times New Roman" w:hAnsi="Calibri" w:cs="Calibri"/>
          <w:color w:val="000000"/>
          <w:sz w:val="20"/>
          <w:szCs w:val="20"/>
        </w:rPr>
        <w:t>DPH</w:t>
      </w:r>
      <w:r w:rsidRPr="00720261">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Marine Biotoxin Monitoring Program</w:t>
      </w:r>
      <w:r w:rsidRPr="00720261">
        <w:rPr>
          <w:rFonts w:ascii="Calibri" w:eastAsia="Times New Roman" w:hAnsi="Calibri" w:cs="Calibri"/>
          <w:color w:val="000000"/>
          <w:sz w:val="20"/>
          <w:szCs w:val="20"/>
        </w:rPr>
        <w:t xml:space="preserve">. </w:t>
      </w:r>
      <w:r w:rsidRPr="003F6244">
        <w:rPr>
          <w:rFonts w:ascii="Calibri" w:eastAsia="Times New Roman" w:hAnsi="Calibri" w:cs="Calibri"/>
          <w:color w:val="FF0000"/>
          <w:sz w:val="20"/>
          <w:szCs w:val="20"/>
        </w:rPr>
        <w:t>The indicator is triggered when…</w:t>
      </w:r>
      <w:commentRangeEnd w:id="2"/>
      <w:r w:rsidR="005B17D5">
        <w:rPr>
          <w:rStyle w:val="CommentReference"/>
        </w:rPr>
        <w:commentReference w:id="2"/>
      </w:r>
    </w:p>
    <w:p w14:paraId="5B112AA9" w14:textId="77777777" w:rsidR="008E2042" w:rsidRPr="00720261" w:rsidRDefault="008E2042" w:rsidP="008E2042">
      <w:pPr>
        <w:pStyle w:val="ListParagraph"/>
        <w:numPr>
          <w:ilvl w:val="0"/>
          <w:numId w:val="12"/>
        </w:numPr>
        <w:rPr>
          <w:rFonts w:ascii="Calibri" w:eastAsia="Times New Roman" w:hAnsi="Calibri" w:cs="Calibri"/>
          <w:color w:val="000000"/>
          <w:sz w:val="20"/>
          <w:szCs w:val="20"/>
        </w:rPr>
      </w:pPr>
      <w:commentRangeStart w:id="3"/>
      <w:r w:rsidRPr="00720261">
        <w:rPr>
          <w:rFonts w:ascii="Calibri" w:eastAsia="Times New Roman" w:hAnsi="Calibri" w:cs="Calibri"/>
          <w:color w:val="000000"/>
          <w:sz w:val="20"/>
          <w:szCs w:val="20"/>
          <w:u w:val="single"/>
        </w:rPr>
        <w:t>Increased marine mammal strandings or bird die-offs:</w:t>
      </w:r>
      <w:r w:rsidRPr="00720261">
        <w:rPr>
          <w:rFonts w:ascii="Calibri" w:eastAsia="Times New Roman" w:hAnsi="Calibri" w:cs="Calibri"/>
          <w:b/>
          <w:color w:val="000000"/>
          <w:sz w:val="20"/>
          <w:szCs w:val="20"/>
        </w:rPr>
        <w:t xml:space="preserve"> </w:t>
      </w:r>
      <w:r w:rsidRPr="00A01883">
        <w:rPr>
          <w:rFonts w:ascii="Calibri" w:eastAsia="Times New Roman" w:hAnsi="Calibri" w:cs="Calibri"/>
          <w:color w:val="FF0000"/>
          <w:sz w:val="20"/>
          <w:szCs w:val="20"/>
        </w:rPr>
        <w:t>This indicator is not evaluated.</w:t>
      </w:r>
      <w:commentRangeEnd w:id="3"/>
      <w:r w:rsidR="005E2577">
        <w:rPr>
          <w:rStyle w:val="CommentReference"/>
        </w:rPr>
        <w:commentReference w:id="3"/>
      </w:r>
    </w:p>
    <w:p w14:paraId="3C9E6B90" w14:textId="7A746C91" w:rsidR="008E2042"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When any one of these indicators is triggered, crab viscera are sampled from locations in the at-risk district using the protocol described in Current Strategy #1 above. If this sampling finds domoic acid concentrations requiring management action, the district is closed and viscera sampling is repeated every two weeks until resulting in two consecutive clean</w:t>
      </w:r>
      <w:r w:rsidRPr="006123F0">
        <w:rPr>
          <w:rFonts w:ascii="Calibri" w:eastAsia="Times New Roman" w:hAnsi="Calibri" w:cs="Calibri"/>
          <w:color w:val="000000"/>
          <w:sz w:val="20"/>
          <w:szCs w:val="20"/>
        </w:rPr>
        <w:t xml:space="preserve"> tests</w:t>
      </w:r>
      <w:r>
        <w:rPr>
          <w:rFonts w:ascii="Calibri" w:eastAsia="Times New Roman" w:hAnsi="Calibri" w:cs="Calibri"/>
          <w:color w:val="000000"/>
          <w:sz w:val="20"/>
          <w:szCs w:val="20"/>
        </w:rPr>
        <w:t>. The district is then re-opened to fishing.</w:t>
      </w:r>
    </w:p>
    <w:p w14:paraId="5F75F71A" w14:textId="77777777" w:rsidR="00941222" w:rsidRPr="00941222" w:rsidRDefault="00941222" w:rsidP="00871E96">
      <w:pPr>
        <w:ind w:left="336"/>
        <w:rPr>
          <w:rFonts w:ascii="Calibri" w:eastAsia="Times New Roman" w:hAnsi="Calibri" w:cs="Calibri"/>
          <w:color w:val="000000"/>
          <w:sz w:val="10"/>
          <w:szCs w:val="10"/>
        </w:rPr>
      </w:pPr>
    </w:p>
    <w:p w14:paraId="249148C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Districts with locations failing viscera tests are closed until sampling yields two consecutive clean tests</w:t>
      </w:r>
    </w:p>
    <w:p w14:paraId="74A2EA56" w14:textId="77777777"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 xml:space="preserve">When a district is closed because pre-season or mid-season sampling reveals high domoic acid contamination, fishing is redistributed to areas outside the closed district by </w:t>
      </w:r>
      <w:r w:rsidRPr="007C20BA">
        <w:rPr>
          <w:rFonts w:ascii="Calibri" w:eastAsia="Times New Roman" w:hAnsi="Calibri" w:cs="Calibri"/>
          <w:color w:val="FF0000"/>
          <w:sz w:val="20"/>
          <w:szCs w:val="20"/>
        </w:rPr>
        <w:t>methods to be determined.</w:t>
      </w:r>
    </w:p>
    <w:p w14:paraId="2904EDD7" w14:textId="77777777" w:rsidR="008E2042" w:rsidRPr="006123F0" w:rsidRDefault="008E2042" w:rsidP="00871E96">
      <w:pPr>
        <w:rPr>
          <w:rFonts w:ascii="Calibri" w:eastAsia="Times New Roman" w:hAnsi="Calibri" w:cs="Calibri"/>
          <w:color w:val="000000"/>
          <w:sz w:val="20"/>
          <w:szCs w:val="20"/>
        </w:rPr>
      </w:pPr>
    </w:p>
    <w:p w14:paraId="3D2509AD"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Alternative management strategies</w:t>
      </w:r>
    </w:p>
    <w:p w14:paraId="50F11102"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1. Expand</w:t>
      </w:r>
      <w:r>
        <w:rPr>
          <w:rFonts w:ascii="Calibri" w:eastAsia="Times New Roman" w:hAnsi="Calibri" w:cs="Calibri"/>
          <w:b/>
          <w:iCs/>
          <w:color w:val="000000"/>
          <w:sz w:val="20"/>
          <w:szCs w:val="20"/>
        </w:rPr>
        <w:t xml:space="preserve"> the</w:t>
      </w:r>
      <w:r w:rsidRPr="006123F0">
        <w:rPr>
          <w:rFonts w:ascii="Calibri" w:eastAsia="Times New Roman" w:hAnsi="Calibri" w:cs="Calibri"/>
          <w:b/>
          <w:iCs/>
          <w:color w:val="000000"/>
          <w:sz w:val="20"/>
          <w:szCs w:val="20"/>
        </w:rPr>
        <w:t xml:space="preserve"> pre-season sampling program</w:t>
      </w:r>
    </w:p>
    <w:p w14:paraId="4B26476D" w14:textId="554E221B" w:rsidR="008E2042" w:rsidRDefault="008E2042" w:rsidP="00871E96">
      <w:pPr>
        <w:ind w:leftChars="140" w:left="336"/>
        <w:rPr>
          <w:rFonts w:ascii="Calibri (Body)" w:eastAsia="Times New Roman" w:hAnsi="Calibri (Body)" w:cs="Calibri"/>
          <w:color w:val="000000"/>
          <w:sz w:val="20"/>
          <w:szCs w:val="20"/>
        </w:rPr>
      </w:pPr>
      <w:r w:rsidRPr="007B6262">
        <w:rPr>
          <w:rFonts w:ascii="Calibri (Body)" w:eastAsia="Times New Roman" w:hAnsi="Calibri (Body)" w:cs="Calibri"/>
          <w:color w:val="000000"/>
          <w:sz w:val="20"/>
          <w:szCs w:val="20"/>
        </w:rPr>
        <w:t>The prescriptiveness of the pre-season sampling program could be increased by increasing the number of sampling locations and the number of samples collected at each location.</w:t>
      </w:r>
      <w:r>
        <w:rPr>
          <w:rFonts w:ascii="Calibri (Body)" w:eastAsia="Times New Roman" w:hAnsi="Calibri (Body)" w:cs="Calibri"/>
          <w:color w:val="000000"/>
          <w:sz w:val="20"/>
          <w:szCs w:val="20"/>
        </w:rPr>
        <w:t xml:space="preserve"> We evaluated a pre-season sampling program with </w:t>
      </w:r>
      <w:r w:rsidRPr="00976A81">
        <w:rPr>
          <w:rFonts w:ascii="Calibri (Body)" w:eastAsia="Times New Roman" w:hAnsi="Calibri (Body)" w:cs="Calibri"/>
          <w:color w:val="FF0000"/>
          <w:sz w:val="20"/>
          <w:szCs w:val="20"/>
        </w:rPr>
        <w:t>12</w:t>
      </w:r>
      <w:r>
        <w:rPr>
          <w:rFonts w:ascii="Calibri (Body)" w:eastAsia="Times New Roman" w:hAnsi="Calibri (Body)" w:cs="Calibri"/>
          <w:color w:val="000000"/>
          <w:sz w:val="20"/>
          <w:szCs w:val="20"/>
        </w:rPr>
        <w:t xml:space="preserve"> new sampling locations (</w:t>
      </w:r>
      <w:r w:rsidRPr="00976A81">
        <w:rPr>
          <w:rFonts w:ascii="Calibri (Body)" w:eastAsia="Times New Roman" w:hAnsi="Calibri (Body)" w:cs="Calibri"/>
          <w:color w:val="FF0000"/>
          <w:sz w:val="20"/>
          <w:szCs w:val="20"/>
        </w:rPr>
        <w:t>24</w:t>
      </w:r>
      <w:r>
        <w:rPr>
          <w:rFonts w:ascii="Calibri (Body)" w:eastAsia="Times New Roman" w:hAnsi="Calibri (Body)" w:cs="Calibri"/>
          <w:color w:val="000000"/>
          <w:sz w:val="20"/>
          <w:szCs w:val="20"/>
        </w:rPr>
        <w:t xml:space="preserve"> locations instead of 12; the locations of original 12 sampling sites are maintained) located such that every district is sampled and the number of locations within a district is proportional to the catch from the district. We also </w:t>
      </w:r>
      <w:r w:rsidRPr="00976A81">
        <w:rPr>
          <w:rFonts w:ascii="Calibri (Body)" w:eastAsia="Times New Roman" w:hAnsi="Calibri (Body)" w:cs="Calibri"/>
          <w:color w:val="FF0000"/>
          <w:sz w:val="20"/>
          <w:szCs w:val="20"/>
        </w:rPr>
        <w:t>doubled</w:t>
      </w:r>
      <w:r>
        <w:rPr>
          <w:rFonts w:ascii="Calibri (Body)" w:eastAsia="Times New Roman" w:hAnsi="Calibri (Body)" w:cs="Calibri"/>
          <w:color w:val="000000"/>
          <w:sz w:val="20"/>
          <w:szCs w:val="20"/>
        </w:rPr>
        <w:t xml:space="preserve"> the number of crabs collected at each location (</w:t>
      </w:r>
      <w:r w:rsidRPr="00976A81">
        <w:rPr>
          <w:rFonts w:ascii="Calibri (Body)" w:eastAsia="Times New Roman" w:hAnsi="Calibri (Body)" w:cs="Calibri"/>
          <w:color w:val="FF0000"/>
          <w:sz w:val="20"/>
          <w:szCs w:val="20"/>
        </w:rPr>
        <w:t xml:space="preserve">12 crabs </w:t>
      </w:r>
      <w:r>
        <w:rPr>
          <w:rFonts w:ascii="Calibri (Body)" w:eastAsia="Times New Roman" w:hAnsi="Calibri (Body)" w:cs="Calibri"/>
          <w:color w:val="000000"/>
          <w:sz w:val="20"/>
          <w:szCs w:val="20"/>
        </w:rPr>
        <w:t xml:space="preserve">instead of six) </w:t>
      </w:r>
      <w:r w:rsidRPr="00650CCA">
        <w:rPr>
          <w:rFonts w:ascii="Calibri (Body)" w:eastAsia="Times New Roman" w:hAnsi="Calibri (Body)" w:cs="Calibri"/>
          <w:color w:val="FF0000"/>
          <w:sz w:val="20"/>
          <w:szCs w:val="20"/>
        </w:rPr>
        <w:t>based on a power analysis</w:t>
      </w:r>
      <w:r>
        <w:rPr>
          <w:rFonts w:ascii="Calibri (Body)" w:eastAsia="Times New Roman" w:hAnsi="Calibri (Body)" w:cs="Calibri"/>
          <w:color w:val="000000"/>
          <w:sz w:val="20"/>
          <w:szCs w:val="20"/>
        </w:rPr>
        <w:t>.</w:t>
      </w:r>
    </w:p>
    <w:p w14:paraId="317F4485" w14:textId="77777777" w:rsidR="00941222" w:rsidRPr="00941222" w:rsidRDefault="00941222" w:rsidP="00871E96">
      <w:pPr>
        <w:ind w:leftChars="140" w:left="336"/>
        <w:rPr>
          <w:rFonts w:ascii="Calibri (Body)" w:eastAsia="Times New Roman" w:hAnsi="Calibri (Body)" w:cs="Calibri"/>
          <w:color w:val="000000"/>
          <w:sz w:val="10"/>
          <w:szCs w:val="10"/>
        </w:rPr>
      </w:pPr>
    </w:p>
    <w:p w14:paraId="168F084D" w14:textId="77777777" w:rsidR="008E2042" w:rsidRPr="006123F0" w:rsidRDefault="008E2042" w:rsidP="00871E96">
      <w:pPr>
        <w:ind w:left="156"/>
        <w:rPr>
          <w:rFonts w:ascii="Calibri" w:eastAsia="Times New Roman" w:hAnsi="Calibri" w:cs="Calibri"/>
          <w:b/>
          <w:iCs/>
          <w:color w:val="000000"/>
          <w:sz w:val="20"/>
          <w:szCs w:val="20"/>
        </w:rPr>
      </w:pPr>
      <w:commentRangeStart w:id="4"/>
      <w:r w:rsidRPr="006123F0">
        <w:rPr>
          <w:rFonts w:ascii="Calibri" w:eastAsia="Times New Roman" w:hAnsi="Calibri" w:cs="Calibri"/>
          <w:b/>
          <w:iCs/>
          <w:color w:val="000000"/>
          <w:sz w:val="20"/>
          <w:szCs w:val="20"/>
        </w:rPr>
        <w:t xml:space="preserve">2. </w:t>
      </w:r>
      <w:r>
        <w:rPr>
          <w:rFonts w:ascii="Calibri" w:eastAsia="Times New Roman" w:hAnsi="Calibri" w:cs="Calibri"/>
          <w:b/>
          <w:iCs/>
          <w:color w:val="000000"/>
          <w:sz w:val="20"/>
          <w:szCs w:val="20"/>
        </w:rPr>
        <w:t>Establish a r</w:t>
      </w:r>
      <w:r w:rsidRPr="00557025">
        <w:rPr>
          <w:rFonts w:ascii="Calibri" w:eastAsia="Times New Roman" w:hAnsi="Calibri" w:cs="Calibri"/>
          <w:b/>
          <w:iCs/>
          <w:color w:val="000000"/>
          <w:sz w:val="20"/>
          <w:szCs w:val="20"/>
        </w:rPr>
        <w:t>outine</w:t>
      </w:r>
      <w:r w:rsidRPr="006123F0">
        <w:rPr>
          <w:rFonts w:ascii="Calibri" w:eastAsia="Times New Roman" w:hAnsi="Calibri" w:cs="Calibri"/>
          <w:b/>
          <w:iCs/>
          <w:color w:val="000000"/>
          <w:sz w:val="20"/>
          <w:szCs w:val="20"/>
        </w:rPr>
        <w:t xml:space="preserve"> mid-season</w:t>
      </w:r>
      <w:r>
        <w:rPr>
          <w:rFonts w:ascii="Calibri" w:eastAsia="Times New Roman" w:hAnsi="Calibri" w:cs="Calibri"/>
          <w:b/>
          <w:iCs/>
          <w:color w:val="000000"/>
          <w:sz w:val="20"/>
          <w:szCs w:val="20"/>
        </w:rPr>
        <w:t xml:space="preserve"> monitoring</w:t>
      </w:r>
      <w:r w:rsidRPr="006123F0">
        <w:rPr>
          <w:rFonts w:ascii="Calibri" w:eastAsia="Times New Roman" w:hAnsi="Calibri" w:cs="Calibri"/>
          <w:b/>
          <w:iCs/>
          <w:color w:val="000000"/>
          <w:sz w:val="20"/>
          <w:szCs w:val="20"/>
        </w:rPr>
        <w:t xml:space="preserve"> program</w:t>
      </w:r>
      <w:commentRangeEnd w:id="4"/>
      <w:r w:rsidR="004B1D08">
        <w:rPr>
          <w:rStyle w:val="CommentReference"/>
        </w:rPr>
        <w:commentReference w:id="4"/>
      </w:r>
    </w:p>
    <w:p w14:paraId="083E3470" w14:textId="77777777" w:rsidR="008E2042" w:rsidRPr="007B6262" w:rsidRDefault="008E2042" w:rsidP="00871E96">
      <w:pPr>
        <w:ind w:left="336"/>
        <w:rPr>
          <w:rFonts w:ascii="Calibri" w:eastAsia="Times New Roman" w:hAnsi="Calibri" w:cs="Calibri"/>
          <w:color w:val="000000"/>
          <w:sz w:val="20"/>
          <w:szCs w:val="20"/>
        </w:rPr>
      </w:pPr>
      <w:r w:rsidRPr="007B6262">
        <w:rPr>
          <w:rFonts w:ascii="Calibri" w:eastAsia="Times New Roman" w:hAnsi="Calibri" w:cs="Calibri"/>
          <w:color w:val="000000"/>
          <w:sz w:val="20"/>
          <w:szCs w:val="20"/>
        </w:rPr>
        <w:t xml:space="preserve">In addition to initiating ad-hoc mid-season sampling </w:t>
      </w:r>
      <w:r>
        <w:rPr>
          <w:rFonts w:ascii="Calibri" w:eastAsia="Times New Roman" w:hAnsi="Calibri" w:cs="Calibri"/>
          <w:color w:val="000000"/>
          <w:sz w:val="20"/>
          <w:szCs w:val="20"/>
        </w:rPr>
        <w:t>when</w:t>
      </w:r>
      <w:r w:rsidRPr="007B6262">
        <w:rPr>
          <w:rFonts w:ascii="Calibri" w:eastAsia="Times New Roman" w:hAnsi="Calibri" w:cs="Calibri"/>
          <w:color w:val="000000"/>
          <w:sz w:val="20"/>
          <w:szCs w:val="20"/>
        </w:rPr>
        <w:t xml:space="preserve"> the risk indicators described </w:t>
      </w:r>
      <w:r>
        <w:rPr>
          <w:rFonts w:ascii="Calibri" w:eastAsia="Times New Roman" w:hAnsi="Calibri" w:cs="Calibri"/>
          <w:color w:val="000000"/>
          <w:sz w:val="20"/>
          <w:szCs w:val="20"/>
        </w:rPr>
        <w:t xml:space="preserve">in Current Strategy #2 are triggered, routine mid-season monitoring could increase the responsiveness of management actions. We evaluated </w:t>
      </w:r>
      <w:r w:rsidRPr="002C5ED1">
        <w:rPr>
          <w:rFonts w:ascii="Calibri" w:eastAsia="Times New Roman" w:hAnsi="Calibri" w:cs="Calibri"/>
          <w:color w:val="FF0000"/>
          <w:sz w:val="20"/>
          <w:szCs w:val="20"/>
        </w:rPr>
        <w:t>two potential routine mid-season monitoring programs</w:t>
      </w:r>
      <w:r>
        <w:rPr>
          <w:rFonts w:ascii="Calibri" w:eastAsia="Times New Roman" w:hAnsi="Calibri" w:cs="Calibri"/>
          <w:color w:val="000000"/>
          <w:sz w:val="20"/>
          <w:szCs w:val="20"/>
        </w:rPr>
        <w:t>: (a) monthly sampling at the current pre-season sites and (b) monthly sampling at the expanded pre-season sites.</w:t>
      </w:r>
    </w:p>
    <w:p w14:paraId="556E6495" w14:textId="77777777" w:rsidR="008E2042" w:rsidRPr="00941222" w:rsidRDefault="008E2042" w:rsidP="00871E96">
      <w:pPr>
        <w:ind w:left="336"/>
        <w:rPr>
          <w:rFonts w:ascii="Calibri" w:eastAsia="Times New Roman" w:hAnsi="Calibri" w:cs="Calibri"/>
          <w:color w:val="000000"/>
          <w:sz w:val="10"/>
          <w:szCs w:val="10"/>
        </w:rPr>
      </w:pPr>
    </w:p>
    <w:p w14:paraId="0715954E"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Keep the fishery open but require the evisceration of crabs caught in at-risk areas</w:t>
      </w:r>
    </w:p>
    <w:p w14:paraId="620D7766" w14:textId="77777777"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An alternative to closing the fishery during periods of contamination risk is to require the evisceration (i.e., the removal of the contaminated viscera) of all crabs captured in at-risk districts. We simulated this strategy by requiring evisceration in any district that would otherwise be closed due to a failed viscera test. The evisceration order is only lifted when the trigger location produces two consecutive clean tests.</w:t>
      </w:r>
    </w:p>
    <w:p w14:paraId="37A199F3" w14:textId="77777777" w:rsidR="008A01CE" w:rsidRDefault="008A01CE">
      <w:r>
        <w:br w:type="page"/>
      </w:r>
    </w:p>
    <w:p w14:paraId="4D9BD1FF" w14:textId="7A8DEE29" w:rsidR="008A01CE" w:rsidRDefault="008A01CE" w:rsidP="008A01CE">
      <w:r w:rsidRPr="00557025">
        <w:rPr>
          <w:b/>
        </w:rPr>
        <w:lastRenderedPageBreak/>
        <w:t xml:space="preserve">Table </w:t>
      </w:r>
      <w:r w:rsidR="00BA538B">
        <w:rPr>
          <w:b/>
        </w:rPr>
        <w:t>3</w:t>
      </w:r>
      <w:r w:rsidRPr="00557025">
        <w:rPr>
          <w:b/>
        </w:rPr>
        <w:t>.</w:t>
      </w:r>
      <w:r>
        <w:t xml:space="preserve"> Current and alternative strategies for managing the risk of humpback whale entanglement in the California Dungeness crab fishery</w:t>
      </w:r>
      <w:r w:rsidR="000425DB">
        <w:t xml:space="preserve"> and details on their implementation in the management strategy evaluation model.</w:t>
      </w:r>
    </w:p>
    <w:p w14:paraId="31F69FE5" w14:textId="5D60D78D" w:rsidR="00B867EC" w:rsidRDefault="00B867EC" w:rsidP="008A01CE"/>
    <w:p w14:paraId="3C1F41F5" w14:textId="77777777" w:rsidR="00B867EC" w:rsidRPr="00BA5AC9" w:rsidRDefault="00B867EC" w:rsidP="00B867EC">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163224EE" w14:textId="77777777" w:rsidR="00B867EC" w:rsidRPr="00CA43DF" w:rsidRDefault="00B867EC" w:rsidP="00B867EC">
      <w:pPr>
        <w:pStyle w:val="ListParagraph"/>
        <w:numPr>
          <w:ilvl w:val="0"/>
          <w:numId w:val="13"/>
        </w:numPr>
        <w:rPr>
          <w:rFonts w:cstheme="minorHAnsi"/>
          <w:b/>
          <w:sz w:val="20"/>
          <w:szCs w:val="20"/>
        </w:rPr>
      </w:pPr>
      <w:r w:rsidRPr="00CA43DF">
        <w:rPr>
          <w:rFonts w:cstheme="minorHAnsi"/>
          <w:b/>
          <w:sz w:val="20"/>
          <w:szCs w:val="20"/>
        </w:rPr>
        <w:t>Risk assessment interval (4 times per year)</w:t>
      </w:r>
    </w:p>
    <w:p w14:paraId="1CBF7888" w14:textId="13FCE5B1" w:rsidR="00B867EC" w:rsidRPr="00CA43DF" w:rsidRDefault="00B867EC" w:rsidP="00B867EC">
      <w:pPr>
        <w:ind w:left="720"/>
        <w:rPr>
          <w:rFonts w:eastAsia="Times New Roman" w:cstheme="minorHAnsi"/>
          <w:color w:val="000000"/>
          <w:sz w:val="20"/>
          <w:szCs w:val="20"/>
        </w:rPr>
      </w:pPr>
      <w:r w:rsidRPr="00CA43DF">
        <w:rPr>
          <w:rFonts w:cstheme="minorHAnsi"/>
          <w:sz w:val="20"/>
          <w:szCs w:val="20"/>
        </w:rPr>
        <w:t xml:space="preserve">The RAMP risk assessment and management action determination is conducted four times per year: </w:t>
      </w:r>
      <w:r w:rsidRPr="00CA43DF">
        <w:rPr>
          <w:rFonts w:eastAsia="Times New Roman" w:cstheme="minorHAnsi"/>
          <w:color w:val="000000"/>
          <w:sz w:val="20"/>
          <w:szCs w:val="20"/>
        </w:rPr>
        <w:t xml:space="preserve">preseason (Oct/Nov), mid-season (Feb), late season (Apr/May), and postseason (Jul). We simulate the RAMP decisions on the time step closest to a date randomly drawn from each specified time window. </w:t>
      </w:r>
    </w:p>
    <w:p w14:paraId="787FCA7A" w14:textId="77777777" w:rsidR="00B867EC" w:rsidRPr="00CA43DF" w:rsidRDefault="00B867EC" w:rsidP="00B867EC">
      <w:pPr>
        <w:ind w:left="720"/>
        <w:rPr>
          <w:rFonts w:eastAsia="Times New Roman" w:cstheme="minorHAnsi"/>
          <w:sz w:val="20"/>
          <w:szCs w:val="20"/>
        </w:rPr>
      </w:pPr>
    </w:p>
    <w:p w14:paraId="598798B0" w14:textId="77777777" w:rsidR="00B867EC" w:rsidRPr="00CA43DF" w:rsidRDefault="00B867EC" w:rsidP="00B867EC">
      <w:pPr>
        <w:pStyle w:val="ListParagraph"/>
        <w:numPr>
          <w:ilvl w:val="0"/>
          <w:numId w:val="13"/>
        </w:numPr>
        <w:rPr>
          <w:rFonts w:eastAsia="Times New Roman" w:cstheme="minorHAnsi"/>
          <w:b/>
          <w:sz w:val="20"/>
          <w:szCs w:val="20"/>
        </w:rPr>
      </w:pPr>
      <w:commentRangeStart w:id="5"/>
      <w:r w:rsidRPr="00CA43DF">
        <w:rPr>
          <w:rFonts w:eastAsia="Times New Roman" w:cstheme="minorHAnsi"/>
          <w:b/>
          <w:sz w:val="20"/>
          <w:szCs w:val="20"/>
        </w:rPr>
        <w:t xml:space="preserve">Risk </w:t>
      </w:r>
      <w:r>
        <w:rPr>
          <w:rFonts w:eastAsia="Times New Roman" w:cstheme="minorHAnsi"/>
          <w:b/>
          <w:sz w:val="20"/>
          <w:szCs w:val="20"/>
        </w:rPr>
        <w:t xml:space="preserve">assessment framework </w:t>
      </w:r>
      <w:r w:rsidRPr="00CA43DF">
        <w:rPr>
          <w:rFonts w:eastAsia="Times New Roman" w:cstheme="minorHAnsi"/>
          <w:b/>
          <w:sz w:val="20"/>
          <w:szCs w:val="20"/>
        </w:rPr>
        <w:t>(RAF</w:t>
      </w:r>
      <w:r>
        <w:rPr>
          <w:rFonts w:eastAsia="Times New Roman" w:cstheme="minorHAnsi"/>
          <w:b/>
          <w:sz w:val="20"/>
          <w:szCs w:val="20"/>
        </w:rPr>
        <w:t>)</w:t>
      </w:r>
      <w:commentRangeEnd w:id="5"/>
      <w:r w:rsidR="003E753C">
        <w:rPr>
          <w:rStyle w:val="CommentReference"/>
        </w:rPr>
        <w:commentReference w:id="5"/>
      </w:r>
    </w:p>
    <w:p w14:paraId="41F98735" w14:textId="77777777" w:rsidR="00B867EC" w:rsidRPr="00CA43DF" w:rsidRDefault="00B867EC" w:rsidP="00B867EC">
      <w:pPr>
        <w:ind w:left="720"/>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1CC4CBFB" w14:textId="77777777" w:rsidR="00B867EC" w:rsidRPr="00CA43DF" w:rsidRDefault="00B867EC" w:rsidP="00B867EC">
      <w:pPr>
        <w:ind w:left="1080"/>
        <w:rPr>
          <w:rFonts w:cstheme="minorHAnsi"/>
          <w:i/>
          <w:sz w:val="20"/>
          <w:szCs w:val="20"/>
        </w:rPr>
      </w:pPr>
      <w:r w:rsidRPr="00CA43DF">
        <w:rPr>
          <w:rFonts w:cstheme="minorHAnsi"/>
          <w:i/>
          <w:sz w:val="20"/>
          <w:szCs w:val="20"/>
        </w:rPr>
        <w:t>Entanglements</w:t>
      </w:r>
    </w:p>
    <w:p w14:paraId="44D219DA" w14:textId="77777777" w:rsidR="00B867EC" w:rsidRPr="003F216F" w:rsidRDefault="00B867EC" w:rsidP="00B867EC">
      <w:pPr>
        <w:pStyle w:val="ListParagraph"/>
        <w:numPr>
          <w:ilvl w:val="0"/>
          <w:numId w:val="7"/>
        </w:numPr>
        <w:ind w:left="1800"/>
        <w:rPr>
          <w:rFonts w:cstheme="minorHAnsi"/>
          <w:color w:val="000000" w:themeColor="text1"/>
          <w:sz w:val="20"/>
          <w:szCs w:val="20"/>
        </w:rPr>
      </w:pPr>
      <w:commentRangeStart w:id="6"/>
      <w:r w:rsidRPr="004A7E40">
        <w:rPr>
          <w:rFonts w:ascii="Calibri" w:eastAsia="Times New Roman" w:hAnsi="Calibri" w:cs="Calibri"/>
          <w:color w:val="000000"/>
          <w:sz w:val="20"/>
          <w:szCs w:val="20"/>
          <w:u w:val="single"/>
        </w:rPr>
        <w:t>≥</w:t>
      </w:r>
      <w:r w:rsidRPr="004A7E40">
        <w:rPr>
          <w:rFonts w:cstheme="minorHAnsi"/>
          <w:sz w:val="20"/>
          <w:szCs w:val="20"/>
          <w:u w:val="single"/>
        </w:rPr>
        <w:t>5 confirmed humpback whale entanglements in CA Dungeness crab commercial fishing gear in a season or offseason:</w:t>
      </w:r>
      <w:r>
        <w:rPr>
          <w:rFonts w:cstheme="minorHAnsi"/>
          <w:sz w:val="20"/>
          <w:szCs w:val="20"/>
        </w:rPr>
        <w:t xml:space="preserve"> The indicator is monitored using </w:t>
      </w:r>
      <w:r w:rsidRPr="003F216F">
        <w:rPr>
          <w:rFonts w:cstheme="minorHAnsi"/>
          <w:color w:val="FF0000"/>
          <w:sz w:val="20"/>
          <w:szCs w:val="20"/>
        </w:rPr>
        <w:t>either the historical record of whale entanglements or the simulated whale entanglements (but what’s the p(observed)?).</w:t>
      </w:r>
    </w:p>
    <w:p w14:paraId="4B36867A" w14:textId="77777777" w:rsidR="00B867EC" w:rsidRDefault="00B867EC" w:rsidP="00B867EC">
      <w:pPr>
        <w:pStyle w:val="ListParagraph"/>
        <w:numPr>
          <w:ilvl w:val="0"/>
          <w:numId w:val="7"/>
        </w:numPr>
        <w:ind w:left="1800"/>
        <w:rPr>
          <w:rFonts w:cstheme="minorHAnsi"/>
          <w:color w:val="FF0000"/>
          <w:sz w:val="20"/>
          <w:szCs w:val="20"/>
        </w:rPr>
      </w:pPr>
      <w:r w:rsidRPr="003F216F">
        <w:rPr>
          <w:rFonts w:ascii="Calibri" w:eastAsia="Times New Roman" w:hAnsi="Calibri" w:cs="Calibri"/>
          <w:color w:val="000000" w:themeColor="text1"/>
          <w:sz w:val="20"/>
          <w:szCs w:val="20"/>
          <w:u w:val="single"/>
        </w:rPr>
        <w:t>≥</w:t>
      </w:r>
      <w:r w:rsidRPr="003F216F">
        <w:rPr>
          <w:rFonts w:cstheme="minorHAnsi"/>
          <w:color w:val="000000" w:themeColor="text1"/>
          <w:sz w:val="20"/>
          <w:szCs w:val="20"/>
          <w:u w:val="single"/>
        </w:rPr>
        <w:t xml:space="preserve">2 confirmed humpback whale entanglements in CA Dungeness crab commercial fishing gear in a month: </w:t>
      </w:r>
      <w:r w:rsidRPr="003F216F">
        <w:rPr>
          <w:rFonts w:cstheme="minorHAnsi"/>
          <w:color w:val="000000" w:themeColor="text1"/>
          <w:sz w:val="20"/>
          <w:szCs w:val="20"/>
        </w:rPr>
        <w:t xml:space="preserve">The </w:t>
      </w:r>
      <w:r>
        <w:rPr>
          <w:rFonts w:cstheme="minorHAnsi"/>
          <w:sz w:val="20"/>
          <w:szCs w:val="20"/>
        </w:rPr>
        <w:t xml:space="preserve">indicator is monitored using </w:t>
      </w:r>
      <w:r w:rsidRPr="003F216F">
        <w:rPr>
          <w:rFonts w:cstheme="minorHAnsi"/>
          <w:color w:val="FF0000"/>
          <w:sz w:val="20"/>
          <w:szCs w:val="20"/>
        </w:rPr>
        <w:t>either the historical record of whale entanglements or the simulated whale entanglements (but what’s the p(observed)?).</w:t>
      </w:r>
      <w:commentRangeEnd w:id="6"/>
      <w:r w:rsidR="007C279D">
        <w:rPr>
          <w:rStyle w:val="CommentReference"/>
        </w:rPr>
        <w:commentReference w:id="6"/>
      </w:r>
    </w:p>
    <w:p w14:paraId="05D1DEB3" w14:textId="77777777" w:rsidR="00B867EC" w:rsidRDefault="00B867EC" w:rsidP="00B867EC">
      <w:pPr>
        <w:ind w:left="1080"/>
        <w:rPr>
          <w:rFonts w:ascii="Calibri" w:eastAsia="Times New Roman" w:hAnsi="Calibri" w:cs="Calibri"/>
          <w:color w:val="000000" w:themeColor="text1"/>
          <w:sz w:val="20"/>
          <w:szCs w:val="20"/>
        </w:rPr>
      </w:pPr>
      <w:r w:rsidRPr="003F216F">
        <w:rPr>
          <w:rFonts w:ascii="Calibri" w:eastAsia="Times New Roman" w:hAnsi="Calibri" w:cs="Calibri"/>
          <w:i/>
          <w:color w:val="000000" w:themeColor="text1"/>
          <w:sz w:val="20"/>
          <w:szCs w:val="20"/>
        </w:rPr>
        <w:t>Fleet dynamics</w:t>
      </w:r>
    </w:p>
    <w:p w14:paraId="5F592D7A" w14:textId="77777777" w:rsidR="00B867EC" w:rsidRPr="003F216F" w:rsidRDefault="00B867EC" w:rsidP="00B867EC">
      <w:pPr>
        <w:pStyle w:val="ListParagraph"/>
        <w:numPr>
          <w:ilvl w:val="1"/>
          <w:numId w:val="14"/>
        </w:numPr>
        <w:ind w:left="1800"/>
        <w:rPr>
          <w:rFonts w:cstheme="minorHAnsi"/>
          <w:color w:val="FF0000"/>
          <w:sz w:val="20"/>
          <w:szCs w:val="20"/>
          <w:u w:val="single"/>
        </w:rPr>
      </w:pPr>
      <w:r w:rsidRPr="003F216F">
        <w:rPr>
          <w:rFonts w:cstheme="minorHAnsi"/>
          <w:color w:val="000000" w:themeColor="text1"/>
          <w:sz w:val="20"/>
          <w:szCs w:val="20"/>
          <w:u w:val="single"/>
        </w:rPr>
        <w:t>Season opening after Feb 1</w:t>
      </w:r>
      <w:r>
        <w:rPr>
          <w:rFonts w:cstheme="minorHAnsi"/>
          <w:color w:val="000000" w:themeColor="text1"/>
          <w:sz w:val="20"/>
          <w:szCs w:val="20"/>
          <w:u w:val="single"/>
        </w:rPr>
        <w:t xml:space="preserve">: </w:t>
      </w:r>
      <w:r>
        <w:rPr>
          <w:rFonts w:cstheme="minorHAnsi"/>
          <w:color w:val="000000" w:themeColor="text1"/>
          <w:sz w:val="20"/>
          <w:szCs w:val="20"/>
        </w:rPr>
        <w:t>This indicator is triggered when the season opens after February 1</w:t>
      </w:r>
      <w:r w:rsidRPr="003F216F">
        <w:rPr>
          <w:rFonts w:cstheme="minorHAnsi"/>
          <w:color w:val="000000" w:themeColor="text1"/>
          <w:sz w:val="20"/>
          <w:szCs w:val="20"/>
          <w:vertAlign w:val="superscript"/>
        </w:rPr>
        <w:t>st</w:t>
      </w:r>
      <w:r>
        <w:rPr>
          <w:rFonts w:cstheme="minorHAnsi"/>
          <w:color w:val="000000" w:themeColor="text1"/>
          <w:sz w:val="20"/>
          <w:szCs w:val="20"/>
        </w:rPr>
        <w:t xml:space="preserve"> due to either high domoic acid contamination </w:t>
      </w:r>
      <w:commentRangeStart w:id="7"/>
      <w:r w:rsidRPr="003F216F">
        <w:rPr>
          <w:rFonts w:cstheme="minorHAnsi"/>
          <w:color w:val="FF0000"/>
          <w:sz w:val="20"/>
          <w:szCs w:val="20"/>
        </w:rPr>
        <w:t>or low meat quality.</w:t>
      </w:r>
      <w:commentRangeEnd w:id="7"/>
      <w:r w:rsidR="00015A47">
        <w:rPr>
          <w:rStyle w:val="CommentReference"/>
        </w:rPr>
        <w:commentReference w:id="7"/>
      </w:r>
    </w:p>
    <w:p w14:paraId="7B3280DA" w14:textId="4A3986B3" w:rsidR="00B867EC" w:rsidRDefault="00724E06"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Ocean/forage</w:t>
      </w:r>
      <w:r w:rsidR="00B867EC">
        <w:rPr>
          <w:rFonts w:ascii="Calibri" w:eastAsia="Times New Roman" w:hAnsi="Calibri" w:cs="Calibri"/>
          <w:i/>
          <w:color w:val="000000" w:themeColor="text1"/>
          <w:sz w:val="20"/>
          <w:szCs w:val="20"/>
        </w:rPr>
        <w:t xml:space="preserve"> conditions</w:t>
      </w:r>
    </w:p>
    <w:p w14:paraId="5B861BBC" w14:textId="77777777" w:rsidR="00B867EC" w:rsidRPr="00105ED7" w:rsidRDefault="00B867EC" w:rsidP="00B867EC">
      <w:pPr>
        <w:pStyle w:val="ListParagraph"/>
        <w:numPr>
          <w:ilvl w:val="0"/>
          <w:numId w:val="15"/>
        </w:numPr>
        <w:rPr>
          <w:rFonts w:cstheme="minorHAnsi"/>
          <w:color w:val="FF0000"/>
          <w:sz w:val="20"/>
          <w:szCs w:val="20"/>
          <w:u w:val="single"/>
        </w:rPr>
      </w:pPr>
      <w:r w:rsidRPr="00C01C6D">
        <w:rPr>
          <w:rFonts w:cstheme="minorHAnsi"/>
          <w:color w:val="000000" w:themeColor="text1"/>
          <w:sz w:val="20"/>
          <w:szCs w:val="20"/>
          <w:u w:val="single"/>
        </w:rPr>
        <w:t>El Niño</w:t>
      </w:r>
      <w:r>
        <w:rPr>
          <w:rFonts w:cstheme="minorHAnsi"/>
          <w:color w:val="000000" w:themeColor="text1"/>
          <w:sz w:val="20"/>
          <w:szCs w:val="20"/>
          <w:u w:val="single"/>
        </w:rPr>
        <w:t xml:space="preserve"> conditions: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when SST was </w:t>
      </w:r>
      <w:r w:rsidRPr="00105ED7">
        <w:rPr>
          <w:rFonts w:cstheme="minorHAnsi"/>
          <w:color w:val="FF0000"/>
          <w:sz w:val="20"/>
          <w:szCs w:val="20"/>
        </w:rPr>
        <w:t xml:space="preserve">higher than average </w:t>
      </w:r>
      <w:r>
        <w:rPr>
          <w:rFonts w:cstheme="minorHAnsi"/>
          <w:color w:val="000000" w:themeColor="text1"/>
          <w:sz w:val="20"/>
          <w:szCs w:val="20"/>
        </w:rPr>
        <w:t>over the month before evaluation.</w:t>
      </w:r>
    </w:p>
    <w:p w14:paraId="42E2F4E8" w14:textId="77777777" w:rsidR="00B867EC" w:rsidRPr="006345F9" w:rsidRDefault="00B867EC" w:rsidP="00B867EC">
      <w:pPr>
        <w:pStyle w:val="ListParagraph"/>
        <w:numPr>
          <w:ilvl w:val="0"/>
          <w:numId w:val="15"/>
        </w:numPr>
        <w:rPr>
          <w:rFonts w:cstheme="minorHAnsi"/>
          <w:color w:val="FF0000"/>
          <w:sz w:val="20"/>
          <w:szCs w:val="20"/>
          <w:u w:val="single"/>
        </w:rPr>
      </w:pPr>
      <w:r>
        <w:rPr>
          <w:rFonts w:cstheme="minorHAnsi"/>
          <w:color w:val="000000" w:themeColor="text1"/>
          <w:sz w:val="20"/>
          <w:szCs w:val="20"/>
          <w:u w:val="single"/>
        </w:rPr>
        <w:t>Low offshore krill abundance and high inshore anchovy abundance:</w:t>
      </w:r>
      <w:r>
        <w:rPr>
          <w:rFonts w:cstheme="minorHAnsi"/>
          <w:color w:val="FF0000"/>
          <w:sz w:val="20"/>
          <w:szCs w:val="20"/>
        </w:rPr>
        <w:t xml:space="preserve"> </w:t>
      </w:r>
      <w:r w:rsidRPr="00105ED7">
        <w:rPr>
          <w:rFonts w:cstheme="minorHAnsi"/>
          <w:color w:val="000000" w:themeColor="text1"/>
          <w:sz w:val="20"/>
          <w:szCs w:val="20"/>
        </w:rPr>
        <w:t xml:space="preserve">This indicator is monitored using </w:t>
      </w:r>
      <w:r w:rsidRPr="00105ED7">
        <w:rPr>
          <w:rFonts w:cstheme="minorHAnsi"/>
          <w:color w:val="FF0000"/>
          <w:sz w:val="20"/>
          <w:szCs w:val="20"/>
        </w:rPr>
        <w:t xml:space="preserve">NOAA survey data </w:t>
      </w:r>
      <w:r>
        <w:rPr>
          <w:rFonts w:cstheme="minorHAnsi"/>
          <w:color w:val="000000" w:themeColor="text1"/>
          <w:sz w:val="20"/>
          <w:szCs w:val="20"/>
        </w:rPr>
        <w:t xml:space="preserve">and is triggered when the following occur simultaneously: </w:t>
      </w:r>
      <w:r w:rsidRPr="00105ED7">
        <w:rPr>
          <w:rFonts w:cstheme="minorHAnsi"/>
          <w:color w:val="FF0000"/>
          <w:sz w:val="20"/>
          <w:szCs w:val="20"/>
        </w:rPr>
        <w:t>krill abundance is below average and anchovy abundance is above average</w:t>
      </w:r>
      <w:r>
        <w:rPr>
          <w:rFonts w:cstheme="minorHAnsi"/>
          <w:color w:val="000000" w:themeColor="text1"/>
          <w:sz w:val="20"/>
          <w:szCs w:val="20"/>
        </w:rPr>
        <w:t>.</w:t>
      </w:r>
      <w:r w:rsidRPr="00105ED7">
        <w:rPr>
          <w:rFonts w:cstheme="minorHAnsi"/>
          <w:color w:val="000000" w:themeColor="text1"/>
          <w:sz w:val="20"/>
          <w:szCs w:val="20"/>
        </w:rPr>
        <w:t xml:space="preserve"> </w:t>
      </w:r>
    </w:p>
    <w:p w14:paraId="17DA3A8E"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Concentration of whales</w:t>
      </w:r>
    </w:p>
    <w:p w14:paraId="2A051DFF" w14:textId="77777777" w:rsidR="00B867EC" w:rsidRPr="003E1308" w:rsidRDefault="00B867EC" w:rsidP="00B867EC">
      <w:pPr>
        <w:pStyle w:val="ListParagraph"/>
        <w:numPr>
          <w:ilvl w:val="0"/>
          <w:numId w:val="16"/>
        </w:numPr>
        <w:rPr>
          <w:rFonts w:cstheme="minorHAnsi"/>
          <w:color w:val="FF0000"/>
          <w:sz w:val="20"/>
          <w:szCs w:val="20"/>
          <w:u w:val="single"/>
        </w:rPr>
      </w:pPr>
      <w:r w:rsidRPr="003E1308">
        <w:rPr>
          <w:rFonts w:cstheme="minorHAnsi"/>
          <w:color w:val="000000" w:themeColor="text1"/>
          <w:sz w:val="20"/>
          <w:szCs w:val="20"/>
          <w:u w:val="single"/>
        </w:rPr>
        <w:t>Moderate or high abundance of whales:</w:t>
      </w:r>
      <w:r>
        <w:rPr>
          <w:rFonts w:cstheme="minorHAnsi"/>
          <w:color w:val="000000" w:themeColor="text1"/>
          <w:sz w:val="20"/>
          <w:szCs w:val="20"/>
        </w:rPr>
        <w:t xml:space="preserve"> This indicator is monitored using two NOAA surveys – the fall aerial marine mammal survey and the spring shipboard rockfish survey – and is triggered using the following delimiters of risk:</w:t>
      </w:r>
    </w:p>
    <w:p w14:paraId="215C9342" w14:textId="77777777" w:rsidR="00B867EC" w:rsidRPr="003E1308" w:rsidRDefault="00B867EC" w:rsidP="00B867EC">
      <w:pPr>
        <w:pStyle w:val="ListParagraph"/>
        <w:numPr>
          <w:ilvl w:val="1"/>
          <w:numId w:val="16"/>
        </w:numPr>
        <w:ind w:left="2520"/>
        <w:rPr>
          <w:rFonts w:cstheme="minorHAnsi"/>
          <w:color w:val="FF0000"/>
          <w:sz w:val="20"/>
          <w:szCs w:val="20"/>
          <w:u w:val="single"/>
        </w:rPr>
      </w:pPr>
      <w:r w:rsidRPr="003E1308">
        <w:rPr>
          <w:rFonts w:cstheme="minorHAnsi"/>
          <w:b/>
          <w:sz w:val="20"/>
          <w:szCs w:val="20"/>
        </w:rPr>
        <w:t>High risk:</w:t>
      </w:r>
      <w:r w:rsidRPr="003E1308">
        <w:rPr>
          <w:rFonts w:cstheme="minorHAnsi"/>
          <w:sz w:val="20"/>
          <w:szCs w:val="20"/>
        </w:rPr>
        <w:t xml:space="preserve"> </w:t>
      </w:r>
      <w:r w:rsidRPr="003E1308">
        <w:rPr>
          <w:rFonts w:ascii="Calibri" w:eastAsia="Times New Roman" w:hAnsi="Calibri" w:cs="Calibri"/>
          <w:color w:val="000000" w:themeColor="text1"/>
          <w:sz w:val="20"/>
          <w:szCs w:val="20"/>
        </w:rPr>
        <w:t>≥</w:t>
      </w:r>
      <w:r w:rsidRPr="003E1308">
        <w:rPr>
          <w:rFonts w:cstheme="minorHAnsi"/>
          <w:sz w:val="20"/>
          <w:szCs w:val="20"/>
        </w:rPr>
        <w:t>20 whales present in a 1-week running average</w:t>
      </w:r>
    </w:p>
    <w:p w14:paraId="778A19B9"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Moderate risk</w:t>
      </w:r>
      <w:r w:rsidRPr="00CA43DF">
        <w:rPr>
          <w:rFonts w:cstheme="minorHAnsi"/>
          <w:sz w:val="20"/>
          <w:szCs w:val="20"/>
        </w:rPr>
        <w:t>: 5-20 whales present in a 1-week running average</w:t>
      </w:r>
    </w:p>
    <w:p w14:paraId="0809CABE"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Low risk:</w:t>
      </w:r>
      <w:r w:rsidRPr="00CA43DF">
        <w:rPr>
          <w:rFonts w:cstheme="minorHAnsi"/>
          <w:sz w:val="20"/>
          <w:szCs w:val="20"/>
        </w:rPr>
        <w:t xml:space="preserve"> &lt;5 whales present in a 1-week running average</w:t>
      </w:r>
      <w:r w:rsidRPr="00CA43DF">
        <w:rPr>
          <w:rFonts w:cstheme="minorHAnsi"/>
          <w:b/>
          <w:sz w:val="20"/>
          <w:szCs w:val="20"/>
        </w:rPr>
        <w:t xml:space="preserve"> </w:t>
      </w:r>
    </w:p>
    <w:p w14:paraId="7AB38A4D" w14:textId="77777777" w:rsidR="00B867EC" w:rsidRPr="00CA43DF" w:rsidRDefault="00B867EC" w:rsidP="00B867EC">
      <w:pPr>
        <w:rPr>
          <w:rFonts w:cstheme="minorHAnsi"/>
          <w:sz w:val="20"/>
          <w:szCs w:val="20"/>
        </w:rPr>
      </w:pPr>
    </w:p>
    <w:p w14:paraId="54CD9D6A" w14:textId="77777777" w:rsidR="00B867EC" w:rsidRPr="00CA43DF" w:rsidRDefault="00B867EC" w:rsidP="00B867EC">
      <w:pPr>
        <w:pStyle w:val="ListParagraph"/>
        <w:numPr>
          <w:ilvl w:val="0"/>
          <w:numId w:val="13"/>
        </w:numPr>
        <w:rPr>
          <w:rFonts w:eastAsia="Times New Roman" w:cstheme="minorHAnsi"/>
          <w:b/>
          <w:sz w:val="20"/>
          <w:szCs w:val="20"/>
        </w:rPr>
      </w:pPr>
      <w:r>
        <w:rPr>
          <w:rFonts w:eastAsia="Times New Roman" w:cstheme="minorHAnsi"/>
          <w:b/>
          <w:sz w:val="20"/>
          <w:szCs w:val="20"/>
        </w:rPr>
        <w:t>Management measures toolbox (MMT)</w:t>
      </w:r>
    </w:p>
    <w:p w14:paraId="6F1CC5A5" w14:textId="77777777" w:rsidR="00B867EC" w:rsidRDefault="00B867EC" w:rsidP="00B867EC">
      <w:pPr>
        <w:ind w:left="720"/>
        <w:rPr>
          <w:rFonts w:cstheme="minorHAnsi"/>
          <w:sz w:val="20"/>
          <w:szCs w:val="20"/>
        </w:rPr>
      </w:pPr>
      <w:r>
        <w:rPr>
          <w:rFonts w:cstheme="minorHAnsi"/>
          <w:sz w:val="20"/>
          <w:szCs w:val="20"/>
        </w:rPr>
        <w:t>Management actions should be commensurate with the risk level and based on the best available science. The following management measures are available for low and elevated risk conditions:</w:t>
      </w:r>
    </w:p>
    <w:p w14:paraId="3DD7387D" w14:textId="77777777" w:rsidR="00B867EC" w:rsidRPr="004E164A"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Low risk</w:t>
      </w:r>
    </w:p>
    <w:p w14:paraId="049EDC78" w14:textId="77777777"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Set trap limits</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5D7C9EE4" w14:textId="77777777"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Require gear recovery</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10E86C9E" w14:textId="77777777"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fishers to follow best practices</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3F9BB06E" w14:textId="77777777" w:rsidR="00B867EC"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w:t>
      </w:r>
      <w:r>
        <w:rPr>
          <w:rFonts w:cstheme="minorHAnsi"/>
          <w:sz w:val="20"/>
          <w:szCs w:val="20"/>
        </w:rPr>
        <w:t>s</w:t>
      </w:r>
      <w:r w:rsidRPr="00CA43DF">
        <w:rPr>
          <w:rFonts w:cstheme="minorHAnsi"/>
          <w:sz w:val="20"/>
          <w:szCs w:val="20"/>
        </w:rPr>
        <w:t xml:space="preserve"> to participate in NOAA trainings</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52CC4D4B"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Elevated</w:t>
      </w:r>
      <w:r w:rsidRPr="00ED661F">
        <w:rPr>
          <w:rFonts w:ascii="Calibri" w:eastAsia="Times New Roman" w:hAnsi="Calibri" w:cs="Calibri"/>
          <w:i/>
          <w:color w:val="000000" w:themeColor="text1"/>
          <w:sz w:val="20"/>
          <w:szCs w:val="20"/>
        </w:rPr>
        <w:t xml:space="preserve"> risk</w:t>
      </w:r>
    </w:p>
    <w:p w14:paraId="02BE0E37" w14:textId="77777777" w:rsidR="00B867EC" w:rsidRPr="009B16CF" w:rsidRDefault="00B867EC" w:rsidP="00B867EC">
      <w:pPr>
        <w:pStyle w:val="ListParagraph"/>
        <w:numPr>
          <w:ilvl w:val="0"/>
          <w:numId w:val="17"/>
        </w:numPr>
        <w:rPr>
          <w:rFonts w:ascii="Calibri" w:eastAsia="Times New Roman" w:hAnsi="Calibri" w:cs="Calibri"/>
          <w:color w:val="000000" w:themeColor="text1"/>
          <w:sz w:val="20"/>
          <w:szCs w:val="20"/>
        </w:rPr>
      </w:pPr>
      <w:r w:rsidRPr="009B16CF">
        <w:rPr>
          <w:rFonts w:cstheme="minorHAnsi"/>
          <w:sz w:val="20"/>
          <w:szCs w:val="20"/>
        </w:rPr>
        <w:t>Temporary area restrictions</w:t>
      </w:r>
      <w:r>
        <w:rPr>
          <w:rFonts w:cstheme="minorHAnsi"/>
          <w:sz w:val="20"/>
          <w:szCs w:val="20"/>
        </w:rPr>
        <w:t>: When a RAMP assessment determines there is elevated risk of entanglement in a district, the district is closed to fishing until the next RAMP assessment.</w:t>
      </w:r>
    </w:p>
    <w:p w14:paraId="503410E6" w14:textId="77777777" w:rsidR="00B867EC" w:rsidRPr="00CA43DF" w:rsidRDefault="00B867EC" w:rsidP="00B867EC">
      <w:pPr>
        <w:pStyle w:val="ListParagraph"/>
        <w:numPr>
          <w:ilvl w:val="0"/>
          <w:numId w:val="17"/>
        </w:numPr>
        <w:rPr>
          <w:rFonts w:cstheme="minorHAnsi"/>
          <w:sz w:val="20"/>
          <w:szCs w:val="20"/>
        </w:rPr>
      </w:pPr>
      <w:r>
        <w:rPr>
          <w:rFonts w:cstheme="minorHAnsi"/>
          <w:sz w:val="20"/>
          <w:szCs w:val="20"/>
        </w:rPr>
        <w:t>D</w:t>
      </w:r>
      <w:r w:rsidRPr="00CA43DF">
        <w:rPr>
          <w:rFonts w:cstheme="minorHAnsi"/>
          <w:sz w:val="20"/>
          <w:szCs w:val="20"/>
        </w:rPr>
        <w:t>ecrease concentration of gear outside closes areas</w:t>
      </w:r>
      <w:r>
        <w:rPr>
          <w:rFonts w:cstheme="minorHAnsi"/>
          <w:sz w:val="20"/>
          <w:szCs w:val="20"/>
        </w:rPr>
        <w:t xml:space="preserve"> (i.e., buffer zones): </w:t>
      </w:r>
      <w:r>
        <w:rPr>
          <w:rFonts w:cstheme="minorHAnsi"/>
          <w:color w:val="FF0000"/>
          <w:sz w:val="20"/>
          <w:szCs w:val="20"/>
        </w:rPr>
        <w:t>n</w:t>
      </w:r>
      <w:r w:rsidRPr="00ED661F">
        <w:rPr>
          <w:rFonts w:cstheme="minorHAnsi"/>
          <w:color w:val="FF0000"/>
          <w:sz w:val="20"/>
          <w:szCs w:val="20"/>
        </w:rPr>
        <w:t>ot evaluated.</w:t>
      </w:r>
    </w:p>
    <w:p w14:paraId="787914E1" w14:textId="77777777"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 xml:space="preserve">Require </w:t>
      </w:r>
      <w:r>
        <w:rPr>
          <w:rFonts w:cstheme="minorHAnsi"/>
          <w:sz w:val="20"/>
          <w:szCs w:val="20"/>
        </w:rPr>
        <w:t xml:space="preserve">solar loggers </w:t>
      </w:r>
      <w:r w:rsidRPr="00CA43DF">
        <w:rPr>
          <w:rFonts w:cstheme="minorHAnsi"/>
          <w:sz w:val="20"/>
          <w:szCs w:val="20"/>
        </w:rPr>
        <w:t>to fish in an area</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5822FDF6" w14:textId="77777777"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Increase readiness of law enforcement</w:t>
      </w:r>
      <w:r>
        <w:rPr>
          <w:rFonts w:cstheme="minorHAnsi"/>
          <w:sz w:val="20"/>
          <w:szCs w:val="20"/>
        </w:rPr>
        <w:t xml:space="preserve">, </w:t>
      </w:r>
      <w:r w:rsidRPr="00CA43DF">
        <w:rPr>
          <w:rFonts w:cstheme="minorHAnsi"/>
          <w:sz w:val="20"/>
          <w:szCs w:val="20"/>
        </w:rPr>
        <w:t xml:space="preserve">data </w:t>
      </w:r>
      <w:r>
        <w:rPr>
          <w:rFonts w:cstheme="minorHAnsi"/>
          <w:sz w:val="20"/>
          <w:szCs w:val="20"/>
        </w:rPr>
        <w:t>g</w:t>
      </w:r>
      <w:r w:rsidRPr="00CA43DF">
        <w:rPr>
          <w:rFonts w:cstheme="minorHAnsi"/>
          <w:sz w:val="20"/>
          <w:szCs w:val="20"/>
        </w:rPr>
        <w:t>ather</w:t>
      </w:r>
      <w:r>
        <w:rPr>
          <w:rFonts w:cstheme="minorHAnsi"/>
          <w:sz w:val="20"/>
          <w:szCs w:val="20"/>
        </w:rPr>
        <w:t>er</w:t>
      </w:r>
      <w:r w:rsidRPr="00CA43DF">
        <w:rPr>
          <w:rFonts w:cstheme="minorHAnsi"/>
          <w:sz w:val="20"/>
          <w:szCs w:val="20"/>
        </w:rPr>
        <w:t>s</w:t>
      </w:r>
      <w:r>
        <w:rPr>
          <w:rFonts w:cstheme="minorHAnsi"/>
          <w:sz w:val="20"/>
          <w:szCs w:val="20"/>
        </w:rPr>
        <w:t>,</w:t>
      </w:r>
      <w:r w:rsidRPr="00CA43DF">
        <w:rPr>
          <w:rFonts w:cstheme="minorHAnsi"/>
          <w:sz w:val="20"/>
          <w:szCs w:val="20"/>
        </w:rPr>
        <w:t xml:space="preserve"> and first responders</w:t>
      </w:r>
      <w:r>
        <w:rPr>
          <w:rFonts w:cstheme="minorHAnsi"/>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1E62C965" w14:textId="77777777" w:rsidR="00082D32" w:rsidRPr="00B15631" w:rsidRDefault="00082D32" w:rsidP="00082D32">
      <w:pPr>
        <w:pBdr>
          <w:bottom w:val="single" w:sz="4" w:space="1" w:color="auto"/>
        </w:pBdr>
        <w:rPr>
          <w:rFonts w:eastAsia="Times New Roman" w:cstheme="minorHAnsi"/>
          <w:i/>
          <w:iCs/>
          <w:color w:val="000000"/>
          <w:sz w:val="20"/>
          <w:szCs w:val="20"/>
        </w:rPr>
      </w:pPr>
      <w:r w:rsidRPr="00B15631">
        <w:rPr>
          <w:rFonts w:eastAsia="Times New Roman" w:cstheme="minorHAnsi"/>
          <w:i/>
          <w:iCs/>
          <w:color w:val="000000"/>
          <w:sz w:val="20"/>
          <w:szCs w:val="20"/>
        </w:rPr>
        <w:lastRenderedPageBreak/>
        <w:t>Alternative management strategies: CBD v. Bonham settlement</w:t>
      </w:r>
    </w:p>
    <w:p w14:paraId="4ED4F5C4" w14:textId="77777777" w:rsidR="00082D32" w:rsidRPr="00B15631" w:rsidRDefault="00082D32" w:rsidP="00082D32">
      <w:pPr>
        <w:ind w:leftChars="148" w:left="355"/>
        <w:rPr>
          <w:rFonts w:eastAsia="Times New Roman" w:cstheme="minorHAnsi"/>
          <w:b/>
          <w:iCs/>
          <w:color w:val="000000"/>
          <w:sz w:val="20"/>
          <w:szCs w:val="20"/>
        </w:rPr>
      </w:pPr>
      <w:r w:rsidRPr="00B15631">
        <w:rPr>
          <w:rFonts w:eastAsia="Times New Roman" w:cstheme="minorHAnsi"/>
          <w:b/>
          <w:iCs/>
          <w:color w:val="000000"/>
          <w:sz w:val="20"/>
          <w:szCs w:val="20"/>
        </w:rPr>
        <w:t>1. Risk assessment interval</w:t>
      </w:r>
      <w:r>
        <w:rPr>
          <w:rFonts w:eastAsia="Times New Roman" w:cstheme="minorHAnsi"/>
          <w:b/>
          <w:iCs/>
          <w:color w:val="000000"/>
          <w:sz w:val="20"/>
          <w:szCs w:val="20"/>
        </w:rPr>
        <w:t xml:space="preserve"> (12 times per year)</w:t>
      </w:r>
    </w:p>
    <w:p w14:paraId="5AE54462" w14:textId="77777777" w:rsidR="00082D32" w:rsidRPr="00B15631" w:rsidRDefault="00082D32" w:rsidP="00082D32">
      <w:pPr>
        <w:ind w:left="343"/>
        <w:rPr>
          <w:rFonts w:eastAsia="Times New Roman" w:cstheme="minorHAnsi"/>
          <w:color w:val="000000"/>
          <w:sz w:val="20"/>
          <w:szCs w:val="20"/>
        </w:rPr>
      </w:pPr>
      <w:r w:rsidRPr="00CA43DF">
        <w:rPr>
          <w:rFonts w:cstheme="minorHAnsi"/>
          <w:sz w:val="20"/>
          <w:szCs w:val="20"/>
        </w:rPr>
        <w:t>The RAMP risk assessment and management action determination is conducted four times per year</w:t>
      </w:r>
      <w:r w:rsidRPr="00B15631">
        <w:rPr>
          <w:rFonts w:eastAsia="Times New Roman" w:cstheme="minorHAnsi"/>
          <w:color w:val="000000"/>
          <w:sz w:val="20"/>
          <w:szCs w:val="20"/>
        </w:rPr>
        <w:t xml:space="preserve">: </w:t>
      </w:r>
      <w:r w:rsidRPr="00B15631">
        <w:rPr>
          <w:rFonts w:cstheme="minorHAnsi"/>
          <w:color w:val="000000"/>
          <w:sz w:val="20"/>
          <w:szCs w:val="20"/>
        </w:rPr>
        <w:t>Nov 1, Dec 15, Jan 15, Feb 15, Mar 15, Apr 1, Apr 15, May 1, May 15, Jun 1, Jun 15, Jul 1</w:t>
      </w:r>
      <w:r>
        <w:rPr>
          <w:rFonts w:cstheme="minorHAnsi"/>
          <w:color w:val="000000"/>
          <w:sz w:val="20"/>
          <w:szCs w:val="20"/>
        </w:rPr>
        <w:t>. We simulate the RAMP decisions on the time step closest to the specified date.</w:t>
      </w:r>
    </w:p>
    <w:p w14:paraId="287D37D3" w14:textId="77777777" w:rsidR="00082D32" w:rsidRPr="00B15631" w:rsidRDefault="00082D32" w:rsidP="00082D32">
      <w:pPr>
        <w:ind w:left="343"/>
        <w:rPr>
          <w:rFonts w:eastAsia="Times New Roman" w:cstheme="minorHAnsi"/>
          <w:color w:val="000000"/>
          <w:sz w:val="20"/>
          <w:szCs w:val="20"/>
        </w:rPr>
      </w:pPr>
    </w:p>
    <w:p w14:paraId="66D3536C" w14:textId="77777777" w:rsidR="00082D32" w:rsidRDefault="00082D32" w:rsidP="00082D32">
      <w:pPr>
        <w:ind w:left="360"/>
        <w:rPr>
          <w:rFonts w:eastAsia="Times New Roman" w:cstheme="minorHAnsi"/>
          <w:b/>
          <w:iCs/>
          <w:color w:val="000000"/>
          <w:sz w:val="20"/>
          <w:szCs w:val="20"/>
        </w:rPr>
      </w:pPr>
      <w:r>
        <w:rPr>
          <w:rFonts w:eastAsia="Times New Roman" w:cstheme="minorHAnsi"/>
          <w:b/>
          <w:iCs/>
          <w:color w:val="000000"/>
          <w:sz w:val="20"/>
          <w:szCs w:val="20"/>
        </w:rPr>
        <w:t>2</w:t>
      </w:r>
      <w:r w:rsidRPr="00B15631">
        <w:rPr>
          <w:rFonts w:eastAsia="Times New Roman" w:cstheme="minorHAnsi"/>
          <w:b/>
          <w:iCs/>
          <w:color w:val="000000"/>
          <w:sz w:val="20"/>
          <w:szCs w:val="20"/>
        </w:rPr>
        <w:t xml:space="preserve">. Risk </w:t>
      </w:r>
      <w:r>
        <w:rPr>
          <w:rFonts w:eastAsia="Times New Roman" w:cstheme="minorHAnsi"/>
          <w:b/>
          <w:iCs/>
          <w:color w:val="000000"/>
          <w:sz w:val="20"/>
          <w:szCs w:val="20"/>
        </w:rPr>
        <w:t>assessment framework (RAF)</w:t>
      </w:r>
    </w:p>
    <w:p w14:paraId="543431CC"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71673799" w14:textId="77777777" w:rsidR="00082D32" w:rsidRPr="008052B6" w:rsidRDefault="00082D32" w:rsidP="00082D32">
      <w:pPr>
        <w:ind w:left="720"/>
        <w:rPr>
          <w:rFonts w:eastAsia="Times New Roman" w:cstheme="minorHAnsi"/>
          <w:i/>
          <w:iCs/>
          <w:color w:val="000000"/>
          <w:sz w:val="20"/>
          <w:szCs w:val="20"/>
        </w:rPr>
      </w:pPr>
      <w:r w:rsidRPr="008052B6">
        <w:rPr>
          <w:rFonts w:eastAsia="Times New Roman" w:cstheme="minorHAnsi"/>
          <w:i/>
          <w:iCs/>
          <w:color w:val="000000"/>
          <w:sz w:val="20"/>
          <w:szCs w:val="20"/>
        </w:rPr>
        <w:t>Entanglements</w:t>
      </w:r>
    </w:p>
    <w:p w14:paraId="1FCCD648" w14:textId="77777777" w:rsidR="00082D32" w:rsidRPr="0079722A" w:rsidRDefault="00082D32" w:rsidP="00082D32">
      <w:pPr>
        <w:pStyle w:val="ListParagraph"/>
        <w:numPr>
          <w:ilvl w:val="0"/>
          <w:numId w:val="4"/>
        </w:numPr>
        <w:ind w:left="1440"/>
        <w:rPr>
          <w:rFonts w:eastAsia="Times New Roman" w:cstheme="minorHAnsi"/>
          <w:color w:val="FF0000"/>
          <w:sz w:val="20"/>
          <w:szCs w:val="20"/>
        </w:rPr>
      </w:pPr>
      <w:r w:rsidRPr="00B15631">
        <w:rPr>
          <w:rFonts w:eastAsia="Times New Roman" w:cstheme="minorHAnsi"/>
          <w:color w:val="000000"/>
          <w:sz w:val="20"/>
          <w:szCs w:val="20"/>
          <w:u w:val="single"/>
        </w:rPr>
        <w:t>≥1 confirmed ESA</w:t>
      </w:r>
      <w:r>
        <w:rPr>
          <w:rFonts w:eastAsia="Times New Roman" w:cstheme="minorHAnsi"/>
          <w:color w:val="000000"/>
          <w:sz w:val="20"/>
          <w:szCs w:val="20"/>
          <w:u w:val="single"/>
        </w:rPr>
        <w:t xml:space="preserve">-listed </w:t>
      </w:r>
      <w:r w:rsidRPr="00B15631">
        <w:rPr>
          <w:rFonts w:eastAsia="Times New Roman" w:cstheme="minorHAnsi"/>
          <w:color w:val="000000"/>
          <w:sz w:val="20"/>
          <w:szCs w:val="20"/>
          <w:u w:val="single"/>
        </w:rPr>
        <w:t xml:space="preserve">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CA-DC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using </w:t>
      </w:r>
      <w:r w:rsidRPr="0079722A">
        <w:rPr>
          <w:rFonts w:eastAsia="Times New Roman" w:cstheme="minorHAnsi"/>
          <w:color w:val="FF0000"/>
          <w:sz w:val="20"/>
          <w:szCs w:val="20"/>
        </w:rPr>
        <w:t>either the historical record of whale entanglements or the simulated whale entanglements (but what’s the p(observed)?).</w:t>
      </w:r>
    </w:p>
    <w:p w14:paraId="104538A3" w14:textId="77777777" w:rsidR="00082D32" w:rsidRDefault="00082D32" w:rsidP="00082D32">
      <w:pPr>
        <w:pStyle w:val="ListParagraph"/>
        <w:numPr>
          <w:ilvl w:val="0"/>
          <w:numId w:val="4"/>
        </w:numPr>
        <w:ind w:left="1440"/>
        <w:rPr>
          <w:rFonts w:eastAsia="Times New Roman" w:cstheme="minorHAnsi"/>
          <w:color w:val="000000"/>
          <w:sz w:val="20"/>
          <w:szCs w:val="20"/>
        </w:rPr>
      </w:pPr>
      <w:r w:rsidRPr="00B15631">
        <w:rPr>
          <w:rFonts w:eastAsia="Times New Roman" w:cstheme="minorHAnsi"/>
          <w:color w:val="000000"/>
          <w:sz w:val="20"/>
          <w:szCs w:val="20"/>
          <w:u w:val="single"/>
        </w:rPr>
        <w:t>≥2 confirmed ESA</w:t>
      </w:r>
      <w:r>
        <w:rPr>
          <w:rFonts w:eastAsia="Times New Roman" w:cstheme="minorHAnsi"/>
          <w:color w:val="000000"/>
          <w:sz w:val="20"/>
          <w:szCs w:val="20"/>
          <w:u w:val="single"/>
        </w:rPr>
        <w:t>-listed</w:t>
      </w:r>
      <w:r w:rsidRPr="00B15631">
        <w:rPr>
          <w:rFonts w:eastAsia="Times New Roman" w:cstheme="minorHAnsi"/>
          <w:color w:val="000000"/>
          <w:sz w:val="20"/>
          <w:szCs w:val="20"/>
          <w:u w:val="single"/>
        </w:rPr>
        <w:t xml:space="preserve"> 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unknown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using </w:t>
      </w:r>
      <w:r w:rsidRPr="0079722A">
        <w:rPr>
          <w:rFonts w:eastAsia="Times New Roman" w:cstheme="minorHAnsi"/>
          <w:color w:val="FF0000"/>
          <w:sz w:val="20"/>
          <w:szCs w:val="20"/>
        </w:rPr>
        <w:t>either the historical record of whale entanglements or</w:t>
      </w:r>
      <w:r>
        <w:rPr>
          <w:rFonts w:eastAsia="Times New Roman" w:cstheme="minorHAnsi"/>
          <w:color w:val="FF0000"/>
          <w:sz w:val="20"/>
          <w:szCs w:val="20"/>
        </w:rPr>
        <w:t xml:space="preserve"> is not evaluated at all.</w:t>
      </w:r>
    </w:p>
    <w:p w14:paraId="4A9A8CB2" w14:textId="77777777" w:rsidR="00082D32" w:rsidRPr="008052B6" w:rsidRDefault="00082D32" w:rsidP="00082D32">
      <w:pPr>
        <w:ind w:left="720"/>
        <w:rPr>
          <w:rFonts w:eastAsia="Times New Roman" w:cstheme="minorHAnsi"/>
          <w:i/>
          <w:color w:val="000000"/>
          <w:sz w:val="20"/>
          <w:szCs w:val="20"/>
        </w:rPr>
      </w:pPr>
      <w:r w:rsidRPr="008052B6">
        <w:rPr>
          <w:rFonts w:eastAsia="Times New Roman" w:cstheme="minorHAnsi"/>
          <w:i/>
          <w:color w:val="000000"/>
          <w:sz w:val="20"/>
          <w:szCs w:val="20"/>
        </w:rPr>
        <w:t>Whale concentrations</w:t>
      </w:r>
    </w:p>
    <w:p w14:paraId="26146D72"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≥20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in a NOAA survey:</w:t>
      </w:r>
      <w:r>
        <w:rPr>
          <w:rFonts w:eastAsia="Times New Roman" w:cstheme="minorHAnsi"/>
          <w:color w:val="000000"/>
          <w:sz w:val="20"/>
          <w:szCs w:val="20"/>
        </w:rPr>
        <w:t xml:space="preserve"> This indicator is monitored by simulating the annual survey tracks of the spring shipboard rockfish survey and fall aerial marine mammal survey over the whale densities predicted by the species distribution model. Observations are recorded using encounter probabilities based on </w:t>
      </w:r>
      <w:r w:rsidRPr="00A87D06">
        <w:rPr>
          <w:rFonts w:eastAsia="Times New Roman" w:cstheme="minorHAnsi"/>
          <w:color w:val="FF0000"/>
          <w:sz w:val="20"/>
          <w:szCs w:val="20"/>
        </w:rPr>
        <w:t>Eq. X</w:t>
      </w:r>
      <w:r>
        <w:rPr>
          <w:rFonts w:eastAsia="Times New Roman" w:cstheme="minorHAnsi"/>
          <w:color w:val="000000"/>
          <w:sz w:val="20"/>
          <w:szCs w:val="20"/>
        </w:rPr>
        <w:t xml:space="preserve"> and </w:t>
      </w:r>
      <w:r w:rsidRPr="00A87D06">
        <w:rPr>
          <w:rFonts w:eastAsia="Times New Roman" w:cstheme="minorHAnsi"/>
          <w:color w:val="FF0000"/>
          <w:sz w:val="20"/>
          <w:szCs w:val="20"/>
        </w:rPr>
        <w:t>detection probabilities from the literature.</w:t>
      </w:r>
    </w:p>
    <w:p w14:paraId="78B76DA7"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≥5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running average in 1 week:</w:t>
      </w:r>
      <w:r>
        <w:rPr>
          <w:rFonts w:eastAsia="Times New Roman" w:cstheme="minorHAnsi"/>
          <w:color w:val="000000"/>
          <w:sz w:val="20"/>
          <w:szCs w:val="20"/>
        </w:rPr>
        <w:t xml:space="preserve"> This risk factor is monitored using the same procedure as above.</w:t>
      </w:r>
    </w:p>
    <w:p w14:paraId="2FF68532" w14:textId="77777777" w:rsidR="00082D32" w:rsidRDefault="00082D32" w:rsidP="00082D32">
      <w:pPr>
        <w:rPr>
          <w:rFonts w:eastAsia="Times New Roman" w:cstheme="minorHAnsi"/>
          <w:b/>
          <w:iCs/>
          <w:color w:val="000000"/>
          <w:sz w:val="20"/>
          <w:szCs w:val="20"/>
        </w:rPr>
      </w:pPr>
    </w:p>
    <w:p w14:paraId="1F60ADCD"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 xml:space="preserve">Management action is triggered </w:t>
      </w:r>
      <w:r>
        <w:rPr>
          <w:rFonts w:eastAsia="Times New Roman" w:cstheme="minorHAnsi"/>
          <w:sz w:val="20"/>
          <w:szCs w:val="20"/>
        </w:rPr>
        <w:t xml:space="preserve">when two of the following indicators occur simultaneously: </w:t>
      </w:r>
    </w:p>
    <w:p w14:paraId="5AF854C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Fleet dynamics</w:t>
      </w:r>
    </w:p>
    <w:p w14:paraId="03D874AA" w14:textId="77777777" w:rsidR="00082D32" w:rsidRPr="005462D4" w:rsidRDefault="00082D32" w:rsidP="00082D32">
      <w:pPr>
        <w:pStyle w:val="ListParagraph"/>
        <w:numPr>
          <w:ilvl w:val="0"/>
          <w:numId w:val="5"/>
        </w:numPr>
        <w:ind w:left="1440"/>
        <w:rPr>
          <w:rFonts w:eastAsia="Times New Roman" w:cstheme="minorHAnsi"/>
          <w:color w:val="FF0000"/>
          <w:sz w:val="20"/>
          <w:szCs w:val="20"/>
        </w:rPr>
      </w:pPr>
      <w:r w:rsidRPr="00CB0F72">
        <w:rPr>
          <w:rFonts w:eastAsia="Times New Roman" w:cstheme="minorHAnsi"/>
          <w:color w:val="000000"/>
          <w:sz w:val="20"/>
          <w:szCs w:val="20"/>
          <w:u w:val="single"/>
        </w:rPr>
        <w:t>First two weeks of the season:</w:t>
      </w:r>
      <w:r>
        <w:rPr>
          <w:rFonts w:eastAsia="Times New Roman" w:cstheme="minorHAnsi"/>
          <w:color w:val="000000"/>
          <w:sz w:val="20"/>
          <w:szCs w:val="20"/>
        </w:rPr>
        <w:t xml:space="preserve"> This indicator </w:t>
      </w:r>
      <w:r w:rsidRPr="005462D4">
        <w:rPr>
          <w:rFonts w:eastAsia="Times New Roman" w:cstheme="minorHAnsi"/>
          <w:color w:val="FF0000"/>
          <w:sz w:val="20"/>
          <w:szCs w:val="20"/>
        </w:rPr>
        <w:t>reflects the fact that…</w:t>
      </w:r>
    </w:p>
    <w:p w14:paraId="22005D99" w14:textId="77777777" w:rsidR="00082D32" w:rsidRPr="00253015" w:rsidRDefault="00082D32" w:rsidP="00082D32">
      <w:pPr>
        <w:pStyle w:val="ListParagraph"/>
        <w:numPr>
          <w:ilvl w:val="0"/>
          <w:numId w:val="5"/>
        </w:numPr>
        <w:ind w:left="1440"/>
        <w:rPr>
          <w:rFonts w:eastAsia="Times New Roman" w:cstheme="minorHAnsi"/>
          <w:color w:val="000000"/>
          <w:sz w:val="20"/>
          <w:szCs w:val="20"/>
        </w:rPr>
      </w:pPr>
      <w:r w:rsidRPr="00CB0F72">
        <w:rPr>
          <w:rFonts w:eastAsia="Times New Roman" w:cstheme="minorHAnsi"/>
          <w:color w:val="000000"/>
          <w:sz w:val="20"/>
          <w:szCs w:val="20"/>
          <w:u w:val="single"/>
        </w:rPr>
        <w:t>Season opening after Feb 1:</w:t>
      </w:r>
      <w:r>
        <w:rPr>
          <w:rFonts w:eastAsia="Times New Roman" w:cstheme="minorHAnsi"/>
          <w:color w:val="000000"/>
          <w:sz w:val="20"/>
          <w:szCs w:val="20"/>
        </w:rPr>
        <w:t xml:space="preserve"> </w:t>
      </w:r>
      <w:r>
        <w:rPr>
          <w:rFonts w:cstheme="minorHAnsi"/>
          <w:color w:val="000000" w:themeColor="text1"/>
          <w:sz w:val="20"/>
          <w:szCs w:val="20"/>
        </w:rPr>
        <w:t>This indicator is triggered when the season opens after February 1</w:t>
      </w:r>
      <w:r w:rsidRPr="003F216F">
        <w:rPr>
          <w:rFonts w:cstheme="minorHAnsi"/>
          <w:color w:val="000000" w:themeColor="text1"/>
          <w:sz w:val="20"/>
          <w:szCs w:val="20"/>
          <w:vertAlign w:val="superscript"/>
        </w:rPr>
        <w:t>st</w:t>
      </w:r>
      <w:r>
        <w:rPr>
          <w:rFonts w:cstheme="minorHAnsi"/>
          <w:color w:val="000000" w:themeColor="text1"/>
          <w:sz w:val="20"/>
          <w:szCs w:val="20"/>
        </w:rPr>
        <w:t xml:space="preserve"> due to either high domoic acid contamination </w:t>
      </w:r>
      <w:r w:rsidRPr="003F216F">
        <w:rPr>
          <w:rFonts w:cstheme="minorHAnsi"/>
          <w:color w:val="FF0000"/>
          <w:sz w:val="20"/>
          <w:szCs w:val="20"/>
        </w:rPr>
        <w:t>or low meat quality.</w:t>
      </w:r>
    </w:p>
    <w:p w14:paraId="0313872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Ocean/forage conditions</w:t>
      </w:r>
    </w:p>
    <w:p w14:paraId="1F33E0F2" w14:textId="77777777" w:rsidR="00082D32" w:rsidRPr="00253015" w:rsidRDefault="00082D32" w:rsidP="00082D32">
      <w:pPr>
        <w:pStyle w:val="ListParagraph"/>
        <w:numPr>
          <w:ilvl w:val="0"/>
          <w:numId w:val="6"/>
        </w:numPr>
        <w:rPr>
          <w:rFonts w:eastAsia="Times New Roman" w:cstheme="minorHAnsi"/>
          <w:color w:val="000000"/>
          <w:sz w:val="20"/>
          <w:szCs w:val="20"/>
        </w:rPr>
      </w:pPr>
      <w:r w:rsidRPr="00253015">
        <w:rPr>
          <w:rFonts w:eastAsia="Times New Roman" w:cstheme="minorHAnsi"/>
          <w:color w:val="000000"/>
          <w:sz w:val="20"/>
          <w:szCs w:val="20"/>
          <w:u w:val="single"/>
        </w:rPr>
        <w:t>Upwelling below average (El Ni</w:t>
      </w:r>
      <w:r w:rsidRPr="00C01C6D">
        <w:rPr>
          <w:rFonts w:cstheme="minorHAnsi"/>
          <w:color w:val="000000" w:themeColor="text1"/>
          <w:sz w:val="20"/>
          <w:szCs w:val="20"/>
          <w:u w:val="single"/>
        </w:rPr>
        <w:t>ñ</w:t>
      </w:r>
      <w:r w:rsidRPr="00253015">
        <w:rPr>
          <w:rFonts w:eastAsia="Times New Roman" w:cstheme="minorHAnsi"/>
          <w:color w:val="000000"/>
          <w:sz w:val="20"/>
          <w:szCs w:val="20"/>
          <w:u w:val="single"/>
        </w:rPr>
        <w:t>o conditions or warmer than average waters):</w:t>
      </w:r>
      <w:r w:rsidRPr="0032253B">
        <w:rPr>
          <w:rFonts w:eastAsia="Times New Roman" w:cstheme="minorHAnsi"/>
          <w:color w:val="000000"/>
          <w:sz w:val="20"/>
          <w:szCs w:val="20"/>
        </w:rPr>
        <w:t xml:space="preserve">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when SST was </w:t>
      </w:r>
      <w:r w:rsidRPr="00105ED7">
        <w:rPr>
          <w:rFonts w:cstheme="minorHAnsi"/>
          <w:color w:val="FF0000"/>
          <w:sz w:val="20"/>
          <w:szCs w:val="20"/>
        </w:rPr>
        <w:t xml:space="preserve">higher than average </w:t>
      </w:r>
      <w:r>
        <w:rPr>
          <w:rFonts w:cstheme="minorHAnsi"/>
          <w:color w:val="000000" w:themeColor="text1"/>
          <w:sz w:val="20"/>
          <w:szCs w:val="20"/>
        </w:rPr>
        <w:t>over the month before evaluation.</w:t>
      </w:r>
    </w:p>
    <w:p w14:paraId="2449633C" w14:textId="77777777" w:rsidR="00082D32" w:rsidRPr="00253015" w:rsidRDefault="00082D32" w:rsidP="00082D32">
      <w:pPr>
        <w:pStyle w:val="ListParagraph"/>
        <w:numPr>
          <w:ilvl w:val="0"/>
          <w:numId w:val="6"/>
        </w:numPr>
        <w:rPr>
          <w:rFonts w:eastAsia="Times New Roman" w:cstheme="minorHAnsi"/>
          <w:color w:val="000000"/>
          <w:sz w:val="20"/>
          <w:szCs w:val="20"/>
        </w:rPr>
      </w:pPr>
      <w:r w:rsidRPr="00253015">
        <w:rPr>
          <w:rFonts w:eastAsia="Times New Roman" w:cstheme="minorHAnsi"/>
          <w:color w:val="000000"/>
          <w:sz w:val="20"/>
          <w:szCs w:val="20"/>
          <w:u w:val="single"/>
        </w:rPr>
        <w:t xml:space="preserve">Low krill (offshore forage) abundance AND high anchovy </w:t>
      </w:r>
      <w:r w:rsidRPr="0032253B">
        <w:rPr>
          <w:rFonts w:eastAsia="Times New Roman" w:cstheme="minorHAnsi"/>
          <w:color w:val="000000"/>
          <w:sz w:val="20"/>
          <w:szCs w:val="20"/>
          <w:u w:val="single"/>
        </w:rPr>
        <w:t>(inshore forage) abundance:</w:t>
      </w:r>
      <w:r>
        <w:rPr>
          <w:rFonts w:eastAsia="Times New Roman" w:cstheme="minorHAnsi"/>
          <w:color w:val="000000"/>
          <w:sz w:val="20"/>
          <w:szCs w:val="20"/>
        </w:rPr>
        <w:t xml:space="preserve"> </w:t>
      </w:r>
      <w:r w:rsidRPr="00105ED7">
        <w:rPr>
          <w:rFonts w:cstheme="minorHAnsi"/>
          <w:color w:val="000000" w:themeColor="text1"/>
          <w:sz w:val="20"/>
          <w:szCs w:val="20"/>
        </w:rPr>
        <w:t xml:space="preserve">This indicator is monitored using </w:t>
      </w:r>
      <w:r w:rsidRPr="00105ED7">
        <w:rPr>
          <w:rFonts w:cstheme="minorHAnsi"/>
          <w:color w:val="FF0000"/>
          <w:sz w:val="20"/>
          <w:szCs w:val="20"/>
        </w:rPr>
        <w:t xml:space="preserve">NOAA survey data </w:t>
      </w:r>
      <w:r>
        <w:rPr>
          <w:rFonts w:cstheme="minorHAnsi"/>
          <w:color w:val="000000" w:themeColor="text1"/>
          <w:sz w:val="20"/>
          <w:szCs w:val="20"/>
        </w:rPr>
        <w:t xml:space="preserve">and is triggered when the following occur simultaneously: </w:t>
      </w:r>
      <w:r w:rsidRPr="00105ED7">
        <w:rPr>
          <w:rFonts w:cstheme="minorHAnsi"/>
          <w:color w:val="FF0000"/>
          <w:sz w:val="20"/>
          <w:szCs w:val="20"/>
        </w:rPr>
        <w:t>krill abundance is below average and anchovy abundance is above average</w:t>
      </w:r>
      <w:r>
        <w:rPr>
          <w:rFonts w:cstheme="minorHAnsi"/>
          <w:color w:val="000000" w:themeColor="text1"/>
          <w:sz w:val="20"/>
          <w:szCs w:val="20"/>
        </w:rPr>
        <w:t>.</w:t>
      </w:r>
    </w:p>
    <w:p w14:paraId="2E70AB92" w14:textId="77777777" w:rsidR="00082D32" w:rsidRPr="00253015" w:rsidRDefault="00082D32" w:rsidP="00082D32">
      <w:pPr>
        <w:pStyle w:val="ListParagraph"/>
        <w:numPr>
          <w:ilvl w:val="0"/>
          <w:numId w:val="6"/>
        </w:numPr>
        <w:rPr>
          <w:rFonts w:eastAsia="Times New Roman" w:cstheme="minorHAnsi"/>
          <w:color w:val="000000"/>
          <w:sz w:val="20"/>
          <w:szCs w:val="20"/>
        </w:rPr>
      </w:pPr>
      <w:r w:rsidRPr="0032253B">
        <w:rPr>
          <w:rFonts w:eastAsia="Times New Roman" w:cstheme="minorHAnsi"/>
          <w:color w:val="000000"/>
          <w:sz w:val="20"/>
          <w:szCs w:val="20"/>
          <w:u w:val="single"/>
        </w:rPr>
        <w:t>Whales are concentrated inshore based on NOAA survey data:</w:t>
      </w:r>
      <w:r w:rsidRPr="0032253B">
        <w:rPr>
          <w:rFonts w:eastAsia="Times New Roman" w:cstheme="minorHAnsi"/>
          <w:color w:val="000000"/>
          <w:sz w:val="20"/>
          <w:szCs w:val="20"/>
        </w:rPr>
        <w:t xml:space="preserve"> This </w:t>
      </w:r>
      <w:r>
        <w:rPr>
          <w:rFonts w:eastAsia="Times New Roman" w:cstheme="minorHAnsi"/>
          <w:color w:val="000000"/>
          <w:sz w:val="20"/>
          <w:szCs w:val="20"/>
        </w:rPr>
        <w:t xml:space="preserve">indictor is monitored using the simulated NOAA survey data described in Alternate Strategy #2. The indicator is triggered when there is </w:t>
      </w:r>
      <w:r w:rsidRPr="00BD73A6">
        <w:rPr>
          <w:rFonts w:eastAsia="Times New Roman" w:cstheme="minorHAnsi"/>
          <w:color w:val="FF0000"/>
          <w:sz w:val="20"/>
          <w:szCs w:val="20"/>
        </w:rPr>
        <w:t>a higher than average density of whales inshore</w:t>
      </w:r>
      <w:r>
        <w:rPr>
          <w:rFonts w:eastAsia="Times New Roman" w:cstheme="minorHAnsi"/>
          <w:color w:val="000000"/>
          <w:sz w:val="20"/>
          <w:szCs w:val="20"/>
        </w:rPr>
        <w:t>.</w:t>
      </w:r>
    </w:p>
    <w:p w14:paraId="3372D16A" w14:textId="77777777" w:rsidR="00082D32" w:rsidRPr="00B15631" w:rsidRDefault="00082D32" w:rsidP="00082D32">
      <w:pPr>
        <w:ind w:firstLineChars="300" w:firstLine="600"/>
        <w:rPr>
          <w:rFonts w:eastAsia="Times New Roman" w:cstheme="minorHAnsi"/>
          <w:color w:val="000000"/>
          <w:sz w:val="20"/>
          <w:szCs w:val="20"/>
        </w:rPr>
      </w:pPr>
    </w:p>
    <w:p w14:paraId="56D88D06" w14:textId="77777777" w:rsidR="00082D32" w:rsidRDefault="00082D32" w:rsidP="00082D32">
      <w:pPr>
        <w:ind w:left="257"/>
        <w:rPr>
          <w:rFonts w:eastAsia="Times New Roman" w:cstheme="minorHAnsi"/>
          <w:b/>
          <w:iCs/>
          <w:color w:val="000000"/>
          <w:sz w:val="20"/>
          <w:szCs w:val="20"/>
        </w:rPr>
      </w:pPr>
      <w:r>
        <w:rPr>
          <w:rFonts w:eastAsia="Times New Roman" w:cstheme="minorHAnsi"/>
          <w:b/>
          <w:iCs/>
          <w:color w:val="000000"/>
          <w:sz w:val="20"/>
          <w:szCs w:val="20"/>
        </w:rPr>
        <w:t>3</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Management measures toolbox (MMT):</w:t>
      </w:r>
    </w:p>
    <w:p w14:paraId="4CA6FDE3" w14:textId="77777777" w:rsidR="00082D32" w:rsidRDefault="00082D32" w:rsidP="00082D32">
      <w:pPr>
        <w:ind w:left="257"/>
        <w:rPr>
          <w:rFonts w:cstheme="minorHAnsi"/>
          <w:sz w:val="20"/>
          <w:szCs w:val="20"/>
        </w:rPr>
      </w:pPr>
      <w:r>
        <w:rPr>
          <w:rFonts w:cstheme="minorHAnsi"/>
          <w:sz w:val="20"/>
          <w:szCs w:val="20"/>
        </w:rPr>
        <w:t>Management actions should be commensurate with the risk level and based on the best available science. The settlement specifies the following management measures:</w:t>
      </w:r>
    </w:p>
    <w:p w14:paraId="3D66DE15" w14:textId="77777777" w:rsidR="00082D32" w:rsidRPr="00F0335E" w:rsidRDefault="00082D32" w:rsidP="00082D32">
      <w:pPr>
        <w:pStyle w:val="ListParagraph"/>
        <w:numPr>
          <w:ilvl w:val="0"/>
          <w:numId w:val="18"/>
        </w:numPr>
        <w:ind w:left="1350"/>
        <w:rPr>
          <w:rFonts w:cstheme="minorHAnsi"/>
          <w:sz w:val="20"/>
          <w:szCs w:val="20"/>
        </w:rPr>
      </w:pPr>
      <w:r w:rsidRPr="00790E6E">
        <w:rPr>
          <w:rFonts w:eastAsia="Times New Roman" w:cstheme="minorHAnsi"/>
          <w:color w:val="000000"/>
          <w:sz w:val="20"/>
          <w:szCs w:val="20"/>
          <w:u w:val="single"/>
        </w:rPr>
        <w:t>Modification of fishing season and allowable fishing areas (i.e., space-time closures):</w:t>
      </w:r>
      <w:r>
        <w:rPr>
          <w:rFonts w:eastAsia="Times New Roman" w:cstheme="minorHAnsi"/>
          <w:color w:val="000000"/>
          <w:sz w:val="20"/>
          <w:szCs w:val="20"/>
        </w:rPr>
        <w:t xml:space="preserve"> When a RAMP risk assessment determines that there is an elevated risk of whale entanglement in a district, the district is closed to fishing until a subsequent RAMP assessment identifies a low risk of entanglement.</w:t>
      </w:r>
    </w:p>
    <w:p w14:paraId="2E62A5B2" w14:textId="77777777" w:rsidR="00082D32" w:rsidRPr="00F0335E" w:rsidRDefault="00082D32" w:rsidP="00082D32">
      <w:pPr>
        <w:pStyle w:val="ListParagraph"/>
        <w:numPr>
          <w:ilvl w:val="0"/>
          <w:numId w:val="18"/>
        </w:numPr>
        <w:ind w:left="1350"/>
        <w:rPr>
          <w:rFonts w:cstheme="minorHAnsi"/>
          <w:sz w:val="20"/>
          <w:szCs w:val="20"/>
        </w:rPr>
      </w:pPr>
      <w:r w:rsidRPr="00790E6E">
        <w:rPr>
          <w:rFonts w:eastAsia="Times New Roman" w:cstheme="minorHAnsi"/>
          <w:color w:val="000000"/>
          <w:sz w:val="20"/>
          <w:szCs w:val="20"/>
          <w:u w:val="single"/>
        </w:rPr>
        <w:t>Spatially explicit trap limits (total or per-vessel):</w:t>
      </w:r>
      <w:r>
        <w:rPr>
          <w:rFonts w:eastAsia="Times New Roman" w:cstheme="minorHAnsi"/>
          <w:color w:val="000000"/>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197B5DE1" w14:textId="77777777" w:rsidR="00082D32" w:rsidRPr="00F0335E" w:rsidRDefault="00082D32" w:rsidP="00082D32">
      <w:pPr>
        <w:pStyle w:val="ListParagraph"/>
        <w:numPr>
          <w:ilvl w:val="0"/>
          <w:numId w:val="18"/>
        </w:numPr>
        <w:ind w:left="1350"/>
        <w:rPr>
          <w:rFonts w:cstheme="minorHAnsi"/>
          <w:sz w:val="20"/>
          <w:szCs w:val="20"/>
        </w:rPr>
      </w:pPr>
      <w:r w:rsidRPr="00790E6E">
        <w:rPr>
          <w:rFonts w:eastAsia="Times New Roman" w:cstheme="minorHAnsi"/>
          <w:color w:val="000000"/>
          <w:sz w:val="20"/>
          <w:szCs w:val="20"/>
          <w:u w:val="single"/>
        </w:rPr>
        <w:t>Requirement of specialized gear (e.g., ropeless gear):</w:t>
      </w:r>
      <w:r>
        <w:rPr>
          <w:rFonts w:eastAsia="Times New Roman" w:cstheme="minorHAnsi"/>
          <w:color w:val="000000"/>
          <w:sz w:val="20"/>
          <w:szCs w:val="20"/>
        </w:rPr>
        <w:t xml:space="preserve"> </w:t>
      </w:r>
      <w:r>
        <w:rPr>
          <w:rFonts w:cstheme="minorHAnsi"/>
          <w:color w:val="FF0000"/>
          <w:sz w:val="20"/>
          <w:szCs w:val="20"/>
        </w:rPr>
        <w:t>n</w:t>
      </w:r>
      <w:r w:rsidRPr="00ED661F">
        <w:rPr>
          <w:rFonts w:cstheme="minorHAnsi"/>
          <w:color w:val="FF0000"/>
          <w:sz w:val="20"/>
          <w:szCs w:val="20"/>
        </w:rPr>
        <w:t>ot evaluated.</w:t>
      </w:r>
    </w:p>
    <w:p w14:paraId="2CCD4DC4" w14:textId="77777777" w:rsidR="00082D32" w:rsidRDefault="00082D32" w:rsidP="00082D32">
      <w:pPr>
        <w:rPr>
          <w:rFonts w:eastAsia="Times New Roman" w:cstheme="minorHAnsi"/>
          <w:color w:val="000000"/>
          <w:sz w:val="20"/>
          <w:szCs w:val="20"/>
        </w:rPr>
      </w:pPr>
    </w:p>
    <w:p w14:paraId="5B2D278D" w14:textId="77777777" w:rsidR="00082D32" w:rsidRDefault="00082D32" w:rsidP="00082D32">
      <w:pPr>
        <w:ind w:left="163" w:firstLine="180"/>
        <w:rPr>
          <w:rFonts w:eastAsia="Times New Roman" w:cstheme="minorHAnsi"/>
          <w:b/>
          <w:iCs/>
          <w:color w:val="000000"/>
          <w:sz w:val="20"/>
          <w:szCs w:val="20"/>
        </w:rPr>
      </w:pPr>
      <w:r>
        <w:rPr>
          <w:rFonts w:eastAsia="Times New Roman" w:cstheme="minorHAnsi"/>
          <w:b/>
          <w:iCs/>
          <w:color w:val="000000"/>
          <w:sz w:val="20"/>
          <w:szCs w:val="20"/>
        </w:rPr>
        <w:t>4</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Extra season closure stipulations</w:t>
      </w:r>
    </w:p>
    <w:p w14:paraId="4540D38D" w14:textId="08F60DD2" w:rsidR="00227343" w:rsidRDefault="00082D32" w:rsidP="00082D32">
      <w:pPr>
        <w:ind w:left="360"/>
      </w:pPr>
      <w:r>
        <w:rPr>
          <w:rFonts w:eastAsia="Times New Roman" w:cstheme="minorHAnsi"/>
          <w:color w:val="000000"/>
          <w:sz w:val="20"/>
          <w:szCs w:val="20"/>
        </w:rPr>
        <w:t xml:space="preserve">The season for Districts 10, 17, and south will </w:t>
      </w:r>
      <w:r w:rsidRPr="000322FB">
        <w:rPr>
          <w:rFonts w:eastAsia="Times New Roman" w:cstheme="minorHAnsi"/>
          <w:color w:val="000000"/>
          <w:sz w:val="20"/>
          <w:szCs w:val="20"/>
        </w:rPr>
        <w:t>close April 1 unless the March 15 risk assessment indicates low risk of entanglement</w:t>
      </w:r>
      <w:r>
        <w:rPr>
          <w:rFonts w:eastAsia="Times New Roman" w:cstheme="minorHAnsi"/>
          <w:color w:val="000000"/>
          <w:sz w:val="20"/>
          <w:szCs w:val="20"/>
        </w:rPr>
        <w:t>.</w:t>
      </w:r>
    </w:p>
    <w:sectPr w:rsidR="00227343" w:rsidSect="008B6F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 Free" w:date="2019-09-03T10:35:00Z" w:initials="CMF">
    <w:p w14:paraId="7779BB3C" w14:textId="30AD1AF1" w:rsidR="001C1E10" w:rsidRDefault="001C1E10">
      <w:pPr>
        <w:pStyle w:val="CommentText"/>
      </w:pPr>
      <w:r>
        <w:rPr>
          <w:rStyle w:val="CommentReference"/>
        </w:rPr>
        <w:annotationRef/>
      </w:r>
      <w:r>
        <w:t>Link to C-HARM</w:t>
      </w:r>
    </w:p>
  </w:comment>
  <w:comment w:id="2" w:author="Chris Free" w:date="2019-09-03T10:35:00Z" w:initials="CMF">
    <w:p w14:paraId="69B674CF" w14:textId="16136330" w:rsidR="005B17D5" w:rsidRDefault="005B17D5">
      <w:pPr>
        <w:pStyle w:val="CommentText"/>
      </w:pPr>
      <w:r>
        <w:rPr>
          <w:rStyle w:val="CommentReference"/>
        </w:rPr>
        <w:annotationRef/>
      </w:r>
      <w:r>
        <w:t>C-HARM</w:t>
      </w:r>
    </w:p>
  </w:comment>
  <w:comment w:id="3" w:author="Chris Free" w:date="2019-09-03T10:38:00Z" w:initials="CMF">
    <w:p w14:paraId="128EEE1F" w14:textId="7A9A3A03" w:rsidR="005E2577" w:rsidRDefault="005E2577">
      <w:pPr>
        <w:pStyle w:val="CommentText"/>
      </w:pPr>
      <w:r>
        <w:rPr>
          <w:rStyle w:val="CommentReference"/>
        </w:rPr>
        <w:annotationRef/>
      </w:r>
      <w:r>
        <w:t>Redundant and complicated</w:t>
      </w:r>
    </w:p>
  </w:comment>
  <w:comment w:id="4" w:author="Chris Free" w:date="2019-09-03T10:47:00Z" w:initials="CMF">
    <w:p w14:paraId="7F426F56" w14:textId="6E5EEB58" w:rsidR="004B1D08" w:rsidRDefault="004B1D08">
      <w:pPr>
        <w:pStyle w:val="CommentText"/>
      </w:pPr>
      <w:r>
        <w:rPr>
          <w:rStyle w:val="CommentReference"/>
        </w:rPr>
        <w:annotationRef/>
      </w:r>
      <w:r>
        <w:t>This could come from commercial catch.</w:t>
      </w:r>
    </w:p>
  </w:comment>
  <w:comment w:id="5" w:author="Chris Free" w:date="2019-09-03T11:02:00Z" w:initials="CMF">
    <w:p w14:paraId="0F9BC734" w14:textId="1B4BFEA0" w:rsidR="003E753C" w:rsidRDefault="003E753C">
      <w:pPr>
        <w:pStyle w:val="CommentText"/>
      </w:pPr>
      <w:r>
        <w:rPr>
          <w:rStyle w:val="CommentReference"/>
        </w:rPr>
        <w:annotationRef/>
      </w:r>
      <w:r>
        <w:t xml:space="preserve">How good does </w:t>
      </w:r>
      <w:proofErr w:type="spellStart"/>
      <w:r>
        <w:t>dist</w:t>
      </w:r>
      <w:proofErr w:type="spellEnd"/>
      <w:r>
        <w:t xml:space="preserve"> need to be to inform dynamic mgmt.?</w:t>
      </w:r>
    </w:p>
  </w:comment>
  <w:comment w:id="6" w:author="Chris Free" w:date="2019-09-03T10:53:00Z" w:initials="CMF">
    <w:p w14:paraId="72946C3D" w14:textId="40EAED3B" w:rsidR="007C279D" w:rsidRDefault="007C279D">
      <w:pPr>
        <w:pStyle w:val="CommentText"/>
      </w:pPr>
      <w:r>
        <w:rPr>
          <w:rStyle w:val="CommentReference"/>
        </w:rPr>
        <w:annotationRef/>
      </w:r>
      <w:r>
        <w:t>Sensitivity analysis:</w:t>
      </w:r>
      <w:r w:rsidR="003E753C">
        <w:t xml:space="preserve"> 100% observed, 10% observed, lag from a uniform distribution. </w:t>
      </w:r>
    </w:p>
  </w:comment>
  <w:comment w:id="7" w:author="Chris Free" w:date="2019-09-03T11:05:00Z" w:initials="CMF">
    <w:p w14:paraId="2CC394F6" w14:textId="3DBA23BA" w:rsidR="00015A47" w:rsidRDefault="00015A47">
      <w:pPr>
        <w:pStyle w:val="CommentText"/>
      </w:pPr>
      <w:r>
        <w:rPr>
          <w:rStyle w:val="CommentReference"/>
        </w:rPr>
        <w:annotationRef/>
      </w:r>
      <w:r>
        <w:t>Have some probability of delay.</w:t>
      </w:r>
      <w:r w:rsidR="005910C3">
        <w:t xml:space="preserve"> Hurdle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9BB3C" w15:done="0"/>
  <w15:commentEx w15:paraId="69B674CF" w15:done="0"/>
  <w15:commentEx w15:paraId="128EEE1F" w15:done="0"/>
  <w15:commentEx w15:paraId="7F426F56" w15:done="0"/>
  <w15:commentEx w15:paraId="0F9BC734" w15:done="0"/>
  <w15:commentEx w15:paraId="72946C3D" w15:done="0"/>
  <w15:commentEx w15:paraId="2CC394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9BB3C" w16cid:durableId="2118C075"/>
  <w16cid:commentId w16cid:paraId="69B674CF" w16cid:durableId="2118C088"/>
  <w16cid:commentId w16cid:paraId="128EEE1F" w16cid:durableId="2118C113"/>
  <w16cid:commentId w16cid:paraId="7F426F56" w16cid:durableId="2118C324"/>
  <w16cid:commentId w16cid:paraId="0F9BC734" w16cid:durableId="2118C6E0"/>
  <w16cid:commentId w16cid:paraId="72946C3D" w16cid:durableId="2118C4C4"/>
  <w16cid:commentId w16cid:paraId="2CC394F6" w16cid:durableId="2118C7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F5E"/>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10AF3703"/>
    <w:multiLevelType w:val="hybridMultilevel"/>
    <w:tmpl w:val="42F631B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 w15:restartNumberingAfterBreak="0">
    <w:nsid w:val="118423EE"/>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06EAF"/>
    <w:multiLevelType w:val="hybridMultilevel"/>
    <w:tmpl w:val="1AC8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3DCB"/>
    <w:multiLevelType w:val="hybridMultilevel"/>
    <w:tmpl w:val="BCE0960C"/>
    <w:lvl w:ilvl="0" w:tplc="886E8D64">
      <w:start w:val="1"/>
      <w:numFmt w:val="decimal"/>
      <w:lvlText w:val="%1."/>
      <w:lvlJc w:val="left"/>
      <w:pPr>
        <w:ind w:left="180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A5660E"/>
    <w:multiLevelType w:val="multilevel"/>
    <w:tmpl w:val="E6143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86592"/>
    <w:multiLevelType w:val="hybridMultilevel"/>
    <w:tmpl w:val="A3F46F3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39217698"/>
    <w:multiLevelType w:val="hybridMultilevel"/>
    <w:tmpl w:val="D09A3B88"/>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76596"/>
    <w:multiLevelType w:val="hybridMultilevel"/>
    <w:tmpl w:val="DF80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D2B99"/>
    <w:multiLevelType w:val="hybridMultilevel"/>
    <w:tmpl w:val="8DD25A16"/>
    <w:lvl w:ilvl="0" w:tplc="0409000F">
      <w:start w:val="1"/>
      <w:numFmt w:val="decimal"/>
      <w:lvlText w:val="%1."/>
      <w:lvlJc w:val="left"/>
      <w:pPr>
        <w:ind w:left="720" w:hanging="360"/>
      </w:pPr>
      <w:rPr>
        <w:rFonts w:hint="default"/>
      </w:rPr>
    </w:lvl>
    <w:lvl w:ilvl="1" w:tplc="886E8D64">
      <w:start w:val="1"/>
      <w:numFmt w:val="decimal"/>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659D6"/>
    <w:multiLevelType w:val="hybridMultilevel"/>
    <w:tmpl w:val="75220A9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4E7C3B5D"/>
    <w:multiLevelType w:val="hybridMultilevel"/>
    <w:tmpl w:val="449C7A54"/>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12" w15:restartNumberingAfterBreak="0">
    <w:nsid w:val="5212439F"/>
    <w:multiLevelType w:val="hybridMultilevel"/>
    <w:tmpl w:val="FAC4D60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57A47BCA"/>
    <w:multiLevelType w:val="hybridMultilevel"/>
    <w:tmpl w:val="371813AC"/>
    <w:lvl w:ilvl="0" w:tplc="12825FA8">
      <w:start w:val="1"/>
      <w:numFmt w:val="decimal"/>
      <w:lvlText w:val="%1."/>
      <w:lvlJc w:val="left"/>
      <w:pPr>
        <w:ind w:left="96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841B3"/>
    <w:multiLevelType w:val="hybridMultilevel"/>
    <w:tmpl w:val="5606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26CD9"/>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6F684AC9"/>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4313C5"/>
    <w:multiLevelType w:val="hybridMultilevel"/>
    <w:tmpl w:val="98F0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lvlOverride w:ilvl="1">
      <w:lvl w:ilvl="1">
        <w:numFmt w:val="lowerLetter"/>
        <w:lvlText w:val="%2."/>
        <w:lvlJc w:val="left"/>
      </w:lvl>
    </w:lvlOverride>
  </w:num>
  <w:num w:numId="4">
    <w:abstractNumId w:val="1"/>
  </w:num>
  <w:num w:numId="5">
    <w:abstractNumId w:val="12"/>
  </w:num>
  <w:num w:numId="6">
    <w:abstractNumId w:val="10"/>
  </w:num>
  <w:num w:numId="7">
    <w:abstractNumId w:val="3"/>
  </w:num>
  <w:num w:numId="8">
    <w:abstractNumId w:val="17"/>
  </w:num>
  <w:num w:numId="9">
    <w:abstractNumId w:val="8"/>
  </w:num>
  <w:num w:numId="10">
    <w:abstractNumId w:val="13"/>
  </w:num>
  <w:num w:numId="11">
    <w:abstractNumId w:val="7"/>
  </w:num>
  <w:num w:numId="12">
    <w:abstractNumId w:val="0"/>
  </w:num>
  <w:num w:numId="13">
    <w:abstractNumId w:val="14"/>
  </w:num>
  <w:num w:numId="14">
    <w:abstractNumId w:val="9"/>
  </w:num>
  <w:num w:numId="15">
    <w:abstractNumId w:val="4"/>
  </w:num>
  <w:num w:numId="16">
    <w:abstractNumId w:val="2"/>
  </w:num>
  <w:num w:numId="17">
    <w:abstractNumId w:val="16"/>
  </w:num>
  <w:num w:numId="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F0"/>
    <w:rsid w:val="00015A47"/>
    <w:rsid w:val="00020682"/>
    <w:rsid w:val="000425DB"/>
    <w:rsid w:val="00046588"/>
    <w:rsid w:val="000737E6"/>
    <w:rsid w:val="00082D32"/>
    <w:rsid w:val="000866EA"/>
    <w:rsid w:val="000D0191"/>
    <w:rsid w:val="000D462C"/>
    <w:rsid w:val="000D5805"/>
    <w:rsid w:val="000D7C97"/>
    <w:rsid w:val="000E50B8"/>
    <w:rsid w:val="001254E5"/>
    <w:rsid w:val="00146980"/>
    <w:rsid w:val="0015752A"/>
    <w:rsid w:val="001712ED"/>
    <w:rsid w:val="001B1D5B"/>
    <w:rsid w:val="001B72C7"/>
    <w:rsid w:val="001C1E10"/>
    <w:rsid w:val="001C5942"/>
    <w:rsid w:val="0021059D"/>
    <w:rsid w:val="00211A74"/>
    <w:rsid w:val="00227343"/>
    <w:rsid w:val="002361B4"/>
    <w:rsid w:val="00253015"/>
    <w:rsid w:val="002A4CBF"/>
    <w:rsid w:val="002B2D10"/>
    <w:rsid w:val="002C5ED1"/>
    <w:rsid w:val="002D02E1"/>
    <w:rsid w:val="002F1733"/>
    <w:rsid w:val="002F1FAB"/>
    <w:rsid w:val="0032253B"/>
    <w:rsid w:val="00337C68"/>
    <w:rsid w:val="00380767"/>
    <w:rsid w:val="003B1DC3"/>
    <w:rsid w:val="003E753C"/>
    <w:rsid w:val="003F6244"/>
    <w:rsid w:val="003F64BC"/>
    <w:rsid w:val="004067DD"/>
    <w:rsid w:val="00425A2C"/>
    <w:rsid w:val="00464E9D"/>
    <w:rsid w:val="00491570"/>
    <w:rsid w:val="004A62F4"/>
    <w:rsid w:val="004A6B5B"/>
    <w:rsid w:val="004B1D08"/>
    <w:rsid w:val="004B796D"/>
    <w:rsid w:val="004E5143"/>
    <w:rsid w:val="00557025"/>
    <w:rsid w:val="005910C3"/>
    <w:rsid w:val="005B17D5"/>
    <w:rsid w:val="005E2577"/>
    <w:rsid w:val="006123F0"/>
    <w:rsid w:val="00650CCA"/>
    <w:rsid w:val="00665907"/>
    <w:rsid w:val="00690E29"/>
    <w:rsid w:val="006A5BE3"/>
    <w:rsid w:val="006C4ED8"/>
    <w:rsid w:val="00720261"/>
    <w:rsid w:val="00724E06"/>
    <w:rsid w:val="00750602"/>
    <w:rsid w:val="00765C7F"/>
    <w:rsid w:val="00781764"/>
    <w:rsid w:val="007B6262"/>
    <w:rsid w:val="007C20BA"/>
    <w:rsid w:val="007C279D"/>
    <w:rsid w:val="007F55DF"/>
    <w:rsid w:val="007F71B5"/>
    <w:rsid w:val="008052B6"/>
    <w:rsid w:val="008A01CE"/>
    <w:rsid w:val="008B4BD0"/>
    <w:rsid w:val="008B6F70"/>
    <w:rsid w:val="008C7840"/>
    <w:rsid w:val="008D1A8D"/>
    <w:rsid w:val="008E2042"/>
    <w:rsid w:val="008F5E0F"/>
    <w:rsid w:val="00935D50"/>
    <w:rsid w:val="00941222"/>
    <w:rsid w:val="009766FA"/>
    <w:rsid w:val="00976A81"/>
    <w:rsid w:val="0098027F"/>
    <w:rsid w:val="009A0C62"/>
    <w:rsid w:val="00A01883"/>
    <w:rsid w:val="00A471F7"/>
    <w:rsid w:val="00AD20F9"/>
    <w:rsid w:val="00AD495C"/>
    <w:rsid w:val="00AF67CF"/>
    <w:rsid w:val="00B01683"/>
    <w:rsid w:val="00B15631"/>
    <w:rsid w:val="00B1721E"/>
    <w:rsid w:val="00B454F0"/>
    <w:rsid w:val="00B867EC"/>
    <w:rsid w:val="00BA538B"/>
    <w:rsid w:val="00C24933"/>
    <w:rsid w:val="00C41536"/>
    <w:rsid w:val="00C63EE7"/>
    <w:rsid w:val="00CB1870"/>
    <w:rsid w:val="00CB54C5"/>
    <w:rsid w:val="00CD1903"/>
    <w:rsid w:val="00CF0E16"/>
    <w:rsid w:val="00D13CCE"/>
    <w:rsid w:val="00D21AE6"/>
    <w:rsid w:val="00DD2544"/>
    <w:rsid w:val="00DE0460"/>
    <w:rsid w:val="00E373F0"/>
    <w:rsid w:val="00E64F22"/>
    <w:rsid w:val="00E94D06"/>
    <w:rsid w:val="00E977FC"/>
    <w:rsid w:val="00EA4FE4"/>
    <w:rsid w:val="00EC5996"/>
    <w:rsid w:val="00ED11C7"/>
    <w:rsid w:val="00ED7944"/>
    <w:rsid w:val="00EE0BE1"/>
    <w:rsid w:val="00F346C0"/>
    <w:rsid w:val="00F662D0"/>
    <w:rsid w:val="00FE7CB0"/>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02613"/>
  <w15:chartTrackingRefBased/>
  <w15:docId w15:val="{43258D08-EFD5-1147-AD2D-CA3BDCBF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F0"/>
    <w:pPr>
      <w:ind w:left="720"/>
      <w:contextualSpacing/>
    </w:pPr>
  </w:style>
  <w:style w:type="paragraph" w:styleId="NormalWeb">
    <w:name w:val="Normal (Web)"/>
    <w:basedOn w:val="Normal"/>
    <w:uiPriority w:val="99"/>
    <w:semiHidden/>
    <w:unhideWhenUsed/>
    <w:rsid w:val="00B156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C1E10"/>
    <w:rPr>
      <w:sz w:val="16"/>
      <w:szCs w:val="16"/>
    </w:rPr>
  </w:style>
  <w:style w:type="paragraph" w:styleId="CommentText">
    <w:name w:val="annotation text"/>
    <w:basedOn w:val="Normal"/>
    <w:link w:val="CommentTextChar"/>
    <w:uiPriority w:val="99"/>
    <w:semiHidden/>
    <w:unhideWhenUsed/>
    <w:rsid w:val="001C1E10"/>
    <w:rPr>
      <w:sz w:val="20"/>
      <w:szCs w:val="20"/>
    </w:rPr>
  </w:style>
  <w:style w:type="character" w:customStyle="1" w:styleId="CommentTextChar">
    <w:name w:val="Comment Text Char"/>
    <w:basedOn w:val="DefaultParagraphFont"/>
    <w:link w:val="CommentText"/>
    <w:uiPriority w:val="99"/>
    <w:semiHidden/>
    <w:rsid w:val="001C1E10"/>
    <w:rPr>
      <w:sz w:val="20"/>
      <w:szCs w:val="20"/>
    </w:rPr>
  </w:style>
  <w:style w:type="paragraph" w:styleId="CommentSubject">
    <w:name w:val="annotation subject"/>
    <w:basedOn w:val="CommentText"/>
    <w:next w:val="CommentText"/>
    <w:link w:val="CommentSubjectChar"/>
    <w:uiPriority w:val="99"/>
    <w:semiHidden/>
    <w:unhideWhenUsed/>
    <w:rsid w:val="001C1E10"/>
    <w:rPr>
      <w:b/>
      <w:bCs/>
    </w:rPr>
  </w:style>
  <w:style w:type="character" w:customStyle="1" w:styleId="CommentSubjectChar">
    <w:name w:val="Comment Subject Char"/>
    <w:basedOn w:val="CommentTextChar"/>
    <w:link w:val="CommentSubject"/>
    <w:uiPriority w:val="99"/>
    <w:semiHidden/>
    <w:rsid w:val="001C1E10"/>
    <w:rPr>
      <w:b/>
      <w:bCs/>
      <w:sz w:val="20"/>
      <w:szCs w:val="20"/>
    </w:rPr>
  </w:style>
  <w:style w:type="paragraph" w:styleId="BalloonText">
    <w:name w:val="Balloon Text"/>
    <w:basedOn w:val="Normal"/>
    <w:link w:val="BalloonTextChar"/>
    <w:uiPriority w:val="99"/>
    <w:semiHidden/>
    <w:unhideWhenUsed/>
    <w:rsid w:val="001C1E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1E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81666">
      <w:bodyDiv w:val="1"/>
      <w:marLeft w:val="0"/>
      <w:marRight w:val="0"/>
      <w:marTop w:val="0"/>
      <w:marBottom w:val="0"/>
      <w:divBdr>
        <w:top w:val="none" w:sz="0" w:space="0" w:color="auto"/>
        <w:left w:val="none" w:sz="0" w:space="0" w:color="auto"/>
        <w:bottom w:val="none" w:sz="0" w:space="0" w:color="auto"/>
        <w:right w:val="none" w:sz="0" w:space="0" w:color="auto"/>
      </w:divBdr>
    </w:div>
    <w:div w:id="769006717">
      <w:bodyDiv w:val="1"/>
      <w:marLeft w:val="0"/>
      <w:marRight w:val="0"/>
      <w:marTop w:val="0"/>
      <w:marBottom w:val="0"/>
      <w:divBdr>
        <w:top w:val="none" w:sz="0" w:space="0" w:color="auto"/>
        <w:left w:val="none" w:sz="0" w:space="0" w:color="auto"/>
        <w:bottom w:val="none" w:sz="0" w:space="0" w:color="auto"/>
        <w:right w:val="none" w:sz="0" w:space="0" w:color="auto"/>
      </w:divBdr>
    </w:div>
    <w:div w:id="954403062">
      <w:bodyDiv w:val="1"/>
      <w:marLeft w:val="0"/>
      <w:marRight w:val="0"/>
      <w:marTop w:val="0"/>
      <w:marBottom w:val="0"/>
      <w:divBdr>
        <w:top w:val="none" w:sz="0" w:space="0" w:color="auto"/>
        <w:left w:val="none" w:sz="0" w:space="0" w:color="auto"/>
        <w:bottom w:val="none" w:sz="0" w:space="0" w:color="auto"/>
        <w:right w:val="none" w:sz="0" w:space="0" w:color="auto"/>
      </w:divBdr>
    </w:div>
    <w:div w:id="1126125454">
      <w:bodyDiv w:val="1"/>
      <w:marLeft w:val="0"/>
      <w:marRight w:val="0"/>
      <w:marTop w:val="0"/>
      <w:marBottom w:val="0"/>
      <w:divBdr>
        <w:top w:val="none" w:sz="0" w:space="0" w:color="auto"/>
        <w:left w:val="none" w:sz="0" w:space="0" w:color="auto"/>
        <w:bottom w:val="none" w:sz="0" w:space="0" w:color="auto"/>
        <w:right w:val="none" w:sz="0" w:space="0" w:color="auto"/>
      </w:divBdr>
    </w:div>
    <w:div w:id="1437018281">
      <w:bodyDiv w:val="1"/>
      <w:marLeft w:val="0"/>
      <w:marRight w:val="0"/>
      <w:marTop w:val="0"/>
      <w:marBottom w:val="0"/>
      <w:divBdr>
        <w:top w:val="none" w:sz="0" w:space="0" w:color="auto"/>
        <w:left w:val="none" w:sz="0" w:space="0" w:color="auto"/>
        <w:bottom w:val="none" w:sz="0" w:space="0" w:color="auto"/>
        <w:right w:val="none" w:sz="0" w:space="0" w:color="auto"/>
      </w:divBdr>
    </w:div>
    <w:div w:id="18192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125</cp:revision>
  <dcterms:created xsi:type="dcterms:W3CDTF">2019-08-28T20:48:00Z</dcterms:created>
  <dcterms:modified xsi:type="dcterms:W3CDTF">2019-09-03T18:18:00Z</dcterms:modified>
</cp:coreProperties>
</file>