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6BEB3" w14:textId="6DB7470F" w:rsidR="00D32C29" w:rsidRPr="003C6F65" w:rsidRDefault="003B64B0">
      <w:pPr>
        <w:rPr>
          <w:b/>
        </w:rPr>
      </w:pPr>
      <w:r>
        <w:rPr>
          <w:b/>
        </w:rPr>
        <w:t xml:space="preserve">2. </w:t>
      </w:r>
      <w:r w:rsidR="003C6F65" w:rsidRPr="003C6F65">
        <w:rPr>
          <w:b/>
        </w:rPr>
        <w:t>Methods</w:t>
      </w:r>
    </w:p>
    <w:p w14:paraId="1024DA16" w14:textId="77777777" w:rsidR="00510E10" w:rsidRDefault="00510E10"/>
    <w:p w14:paraId="10D8D893" w14:textId="2B2DF479" w:rsidR="003B64B0" w:rsidRPr="003B64B0" w:rsidRDefault="003B64B0">
      <w:pPr>
        <w:rPr>
          <w:i/>
        </w:rPr>
      </w:pPr>
      <w:r>
        <w:rPr>
          <w:i/>
        </w:rPr>
        <w:t xml:space="preserve">2.1 </w:t>
      </w:r>
      <w:r w:rsidRPr="003B64B0">
        <w:rPr>
          <w:i/>
        </w:rPr>
        <w:t>Overview</w:t>
      </w:r>
    </w:p>
    <w:p w14:paraId="26F21215" w14:textId="77777777" w:rsidR="003B64B0" w:rsidRDefault="003B64B0"/>
    <w:p w14:paraId="038552EF" w14:textId="77777777" w:rsidR="003B64B0" w:rsidRDefault="003B64B0" w:rsidP="003B64B0">
      <w:r>
        <w:t>Is there an influence?</w:t>
      </w:r>
    </w:p>
    <w:p w14:paraId="2CCB42C3" w14:textId="77777777" w:rsidR="003B64B0" w:rsidRDefault="003B64B0" w:rsidP="003B64B0">
      <w:pPr>
        <w:pStyle w:val="ListParagraph"/>
        <w:numPr>
          <w:ilvl w:val="0"/>
          <w:numId w:val="3"/>
        </w:numPr>
      </w:pPr>
      <w:r>
        <w:t>Primary prey</w:t>
      </w:r>
    </w:p>
    <w:p w14:paraId="0CCD0590" w14:textId="77777777" w:rsidR="003B64B0" w:rsidRDefault="003B64B0" w:rsidP="003B64B0">
      <w:pPr>
        <w:pStyle w:val="ListParagraph"/>
        <w:numPr>
          <w:ilvl w:val="0"/>
          <w:numId w:val="3"/>
        </w:numPr>
      </w:pPr>
      <w:r>
        <w:t>All prey summed (infinite prey switching)</w:t>
      </w:r>
    </w:p>
    <w:p w14:paraId="305B2D2C" w14:textId="77777777" w:rsidR="003B64B0" w:rsidRDefault="003B64B0" w:rsidP="003B64B0">
      <w:pPr>
        <w:pStyle w:val="ListParagraph"/>
        <w:numPr>
          <w:ilvl w:val="0"/>
          <w:numId w:val="3"/>
        </w:numPr>
      </w:pPr>
      <w:r>
        <w:t>All prey weighted (inflexible prey switching)</w:t>
      </w:r>
    </w:p>
    <w:p w14:paraId="34E0ABE1" w14:textId="77777777" w:rsidR="003B64B0" w:rsidRDefault="003B64B0" w:rsidP="003B64B0"/>
    <w:p w14:paraId="2A2EA7BD" w14:textId="77777777" w:rsidR="003B64B0" w:rsidRDefault="003B64B0" w:rsidP="003B64B0">
      <w:r>
        <w:t>What drives influence?</w:t>
      </w:r>
    </w:p>
    <w:p w14:paraId="5AE5BEB2" w14:textId="77777777" w:rsidR="003B64B0" w:rsidRDefault="003B64B0" w:rsidP="003B64B0">
      <w:pPr>
        <w:pStyle w:val="ListParagraph"/>
        <w:numPr>
          <w:ilvl w:val="0"/>
          <w:numId w:val="1"/>
        </w:numPr>
      </w:pPr>
      <w:r>
        <w:t>Taxonomy</w:t>
      </w:r>
    </w:p>
    <w:p w14:paraId="3AD1A5FB" w14:textId="77777777" w:rsidR="003B64B0" w:rsidRDefault="003B64B0" w:rsidP="003B64B0">
      <w:pPr>
        <w:pStyle w:val="ListParagraph"/>
        <w:numPr>
          <w:ilvl w:val="0"/>
          <w:numId w:val="1"/>
        </w:numPr>
      </w:pPr>
      <w:r>
        <w:t>Dominance of primary prey</w:t>
      </w:r>
    </w:p>
    <w:p w14:paraId="17D95691" w14:textId="77777777" w:rsidR="003B64B0" w:rsidRDefault="003B64B0" w:rsidP="003B64B0">
      <w:pPr>
        <w:pStyle w:val="ListParagraph"/>
        <w:numPr>
          <w:ilvl w:val="0"/>
          <w:numId w:val="1"/>
        </w:numPr>
      </w:pPr>
      <w:r>
        <w:t>Number of prey</w:t>
      </w:r>
    </w:p>
    <w:p w14:paraId="07DABDFD" w14:textId="77777777" w:rsidR="003B64B0" w:rsidRDefault="003B64B0" w:rsidP="003B64B0">
      <w:pPr>
        <w:pStyle w:val="ListParagraph"/>
        <w:numPr>
          <w:ilvl w:val="0"/>
          <w:numId w:val="1"/>
        </w:numPr>
      </w:pPr>
      <w:r>
        <w:t>Spatial overlap in predator/prey stocks</w:t>
      </w:r>
    </w:p>
    <w:p w14:paraId="2FAC6401" w14:textId="77777777" w:rsidR="003B64B0" w:rsidRDefault="003B64B0"/>
    <w:p w14:paraId="69F92DB5" w14:textId="77777777" w:rsidR="003B64B0" w:rsidRDefault="003B64B0"/>
    <w:p w14:paraId="752E274E" w14:textId="1D08A0B3" w:rsidR="000C3037" w:rsidRDefault="003B64B0">
      <w:pPr>
        <w:rPr>
          <w:i/>
        </w:rPr>
      </w:pPr>
      <w:r>
        <w:rPr>
          <w:i/>
        </w:rPr>
        <w:t xml:space="preserve">2.2 </w:t>
      </w:r>
      <w:r w:rsidR="000C3037" w:rsidRPr="000C3037">
        <w:rPr>
          <w:i/>
        </w:rPr>
        <w:t>Stock selection</w:t>
      </w:r>
    </w:p>
    <w:p w14:paraId="7CB62531" w14:textId="77777777" w:rsidR="000C3037" w:rsidRPr="007831C5" w:rsidRDefault="000C3037"/>
    <w:p w14:paraId="4B99DF63" w14:textId="77777777" w:rsidR="003B64B0" w:rsidRDefault="003B64B0" w:rsidP="003B64B0"/>
    <w:p w14:paraId="27087D98" w14:textId="77777777" w:rsidR="002E72A2" w:rsidRDefault="002E72A2">
      <w:pPr>
        <w:rPr>
          <w:i/>
        </w:rPr>
      </w:pPr>
      <w:r>
        <w:rPr>
          <w:i/>
        </w:rPr>
        <w:br w:type="page"/>
      </w:r>
    </w:p>
    <w:p w14:paraId="601496BB" w14:textId="51A7A241" w:rsidR="003B64B0" w:rsidRPr="003B64B0" w:rsidRDefault="003B64B0" w:rsidP="003B64B0">
      <w:pPr>
        <w:rPr>
          <w:i/>
        </w:rPr>
      </w:pPr>
      <w:r w:rsidRPr="003B64B0">
        <w:rPr>
          <w:i/>
        </w:rPr>
        <w:lastRenderedPageBreak/>
        <w:t xml:space="preserve">2.3 </w:t>
      </w:r>
      <w:r w:rsidR="00C00252">
        <w:rPr>
          <w:i/>
        </w:rPr>
        <w:t>Population m</w:t>
      </w:r>
      <w:r w:rsidRPr="003B64B0">
        <w:rPr>
          <w:i/>
        </w:rPr>
        <w:t>odel</w:t>
      </w:r>
    </w:p>
    <w:p w14:paraId="1889C2FB" w14:textId="77777777" w:rsidR="003B64B0" w:rsidRDefault="003B64B0" w:rsidP="003B64B0"/>
    <w:p w14:paraId="236C9AB5" w14:textId="760EC828" w:rsidR="002E72A2" w:rsidRDefault="002E72A2" w:rsidP="002E72A2">
      <w:pPr>
        <w:ind w:firstLine="720"/>
      </w:pPr>
      <w:r>
        <w:t xml:space="preserve">We modeled the influence of </w:t>
      </w:r>
      <w:r>
        <w:t xml:space="preserve">prey abundance </w:t>
      </w:r>
      <w:r>
        <w:t xml:space="preserve">on </w:t>
      </w:r>
      <w:r>
        <w:t xml:space="preserve">predator </w:t>
      </w:r>
      <w:r>
        <w:t xml:space="preserve">productivity using a Pella-Tomlinson surplus production model with normally distributed variation around the specified production function and multiplicative </w:t>
      </w:r>
      <w:r w:rsidR="00BD6466">
        <w:t>prey</w:t>
      </w:r>
      <w:r>
        <w:t xml:space="preserve"> influence. Observed surplus production was calculated for each</w:t>
      </w:r>
      <w:r w:rsidR="005942A8">
        <w:t xml:space="preserve"> predator</w:t>
      </w:r>
      <w:r>
        <w:t xml:space="preserve"> stock as the net change in total biomass in the absence of harvest:</w:t>
      </w:r>
    </w:p>
    <w:p w14:paraId="1877C60E" w14:textId="77777777" w:rsidR="002E72A2" w:rsidRDefault="002E72A2" w:rsidP="002E72A2"/>
    <w:p w14:paraId="45F5D8AF" w14:textId="77777777" w:rsidR="002E72A2" w:rsidRPr="001A4967" w:rsidRDefault="002E72A2" w:rsidP="002E72A2">
      <w:pPr>
        <w:rPr>
          <w:b/>
          <w:u w:val="singl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SP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i,t+1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</m:oMath>
      </m:oMathPara>
    </w:p>
    <w:p w14:paraId="03868400" w14:textId="77777777" w:rsidR="002E72A2" w:rsidRDefault="002E72A2" w:rsidP="002E72A2"/>
    <w:p w14:paraId="5A829FFB" w14:textId="47B5ADCB" w:rsidR="002E72A2" w:rsidRDefault="002E72A2" w:rsidP="002E72A2">
      <w:r>
        <w:t xml:space="preserve">where </w:t>
      </w:r>
      <w:proofErr w:type="spellStart"/>
      <w:proofErr w:type="gramStart"/>
      <w:r w:rsidRPr="00A16E9B">
        <w:rPr>
          <w:i/>
        </w:rPr>
        <w:t>SP</w:t>
      </w:r>
      <w:r>
        <w:rPr>
          <w:i/>
          <w:vertAlign w:val="subscript"/>
        </w:rPr>
        <w:t>i,t</w:t>
      </w:r>
      <w:proofErr w:type="spellEnd"/>
      <w:proofErr w:type="gramEnd"/>
      <w:r w:rsidRPr="00A16E9B">
        <w:rPr>
          <w:i/>
        </w:rPr>
        <w:t xml:space="preserve"> </w:t>
      </w:r>
      <w:r>
        <w:t xml:space="preserve">is the surplus production for stock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over year </w:t>
      </w:r>
      <w:r w:rsidRPr="00A16E9B">
        <w:rPr>
          <w:i/>
        </w:rPr>
        <w:t>t</w:t>
      </w:r>
      <w:r>
        <w:t xml:space="preserve">, </w:t>
      </w:r>
      <w:proofErr w:type="spellStart"/>
      <w:r w:rsidRPr="00A16E9B">
        <w:rPr>
          <w:i/>
        </w:rPr>
        <w:t>B</w:t>
      </w:r>
      <w:r>
        <w:rPr>
          <w:i/>
          <w:vertAlign w:val="subscript"/>
        </w:rPr>
        <w:t>i,t</w:t>
      </w:r>
      <w:proofErr w:type="spellEnd"/>
      <w:r>
        <w:t xml:space="preserve"> and </w:t>
      </w:r>
      <w:r w:rsidRPr="00A16E9B">
        <w:rPr>
          <w:i/>
        </w:rPr>
        <w:t>B</w:t>
      </w:r>
      <w:r>
        <w:rPr>
          <w:i/>
          <w:vertAlign w:val="subscript"/>
        </w:rPr>
        <w:t>i,t+1</w:t>
      </w:r>
      <w:r>
        <w:t xml:space="preserve"> are the biomasses of stock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in years </w:t>
      </w:r>
      <w:r>
        <w:rPr>
          <w:i/>
        </w:rPr>
        <w:t>t</w:t>
      </w:r>
      <w:r>
        <w:t xml:space="preserve"> and </w:t>
      </w:r>
      <w:r>
        <w:rPr>
          <w:i/>
        </w:rPr>
        <w:t>t+1</w:t>
      </w:r>
      <w:r>
        <w:t xml:space="preserve">, respectively, and </w:t>
      </w:r>
      <w:proofErr w:type="spellStart"/>
      <w:r w:rsidRPr="00A16E9B">
        <w:rPr>
          <w:i/>
        </w:rPr>
        <w:t>C</w:t>
      </w:r>
      <w:r>
        <w:rPr>
          <w:i/>
          <w:vertAlign w:val="subscript"/>
        </w:rPr>
        <w:t>i,t</w:t>
      </w:r>
      <w:proofErr w:type="spellEnd"/>
      <w:r w:rsidRPr="00A16E9B">
        <w:rPr>
          <w:vertAlign w:val="subscript"/>
        </w:rPr>
        <w:t xml:space="preserve"> </w:t>
      </w:r>
      <w:r>
        <w:t xml:space="preserve">is the catch for stock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removed between years </w:t>
      </w:r>
      <w:r w:rsidRPr="00A16E9B">
        <w:rPr>
          <w:i/>
        </w:rPr>
        <w:t xml:space="preserve">t </w:t>
      </w:r>
      <w:r>
        <w:t xml:space="preserve">and </w:t>
      </w:r>
      <w:r w:rsidRPr="00A16E9B">
        <w:rPr>
          <w:i/>
        </w:rPr>
        <w:t>t+</w:t>
      </w:r>
      <w:r>
        <w:rPr>
          <w:i/>
        </w:rPr>
        <w:t>1</w:t>
      </w:r>
      <w:r>
        <w:t>. We used a Pella-Tomlinson surplus production model (Pella &amp; Tomlinson 1969) because it contains a shape parameter (</w:t>
      </w:r>
      <w:r w:rsidRPr="00D05ED8">
        <w:rPr>
          <w:i/>
        </w:rPr>
        <w:t>p</w:t>
      </w:r>
      <w:r>
        <w:t>) that allows it to replicate either the Fox (</w:t>
      </w:r>
      <w:r w:rsidRPr="00D05ED8">
        <w:rPr>
          <w:i/>
        </w:rPr>
        <w:t>p</w:t>
      </w:r>
      <w:r w:rsidRPr="00E94023">
        <w:rPr>
          <w:rFonts w:cstheme="minorHAnsi"/>
          <w:color w:val="222222"/>
          <w:shd w:val="clear" w:color="auto" w:fill="FFFFFF"/>
        </w:rPr>
        <w:t>→</w:t>
      </w:r>
      <w:r>
        <w:t>0) or Schaefer (</w:t>
      </w:r>
      <w:r w:rsidRPr="00D05ED8">
        <w:rPr>
          <w:i/>
        </w:rPr>
        <w:t>p</w:t>
      </w:r>
      <w:r>
        <w:t>=1) surplus production models (Schaefer 1954; Fox 1970). We extended the Pell</w:t>
      </w:r>
      <w:r w:rsidR="00470B8F">
        <w:t>a-Tomlinson model to include prey</w:t>
      </w:r>
      <w:r>
        <w:t xml:space="preserve"> influence and assumed normal residual process variability:</w:t>
      </w:r>
    </w:p>
    <w:p w14:paraId="604051EC" w14:textId="77777777" w:rsidR="002E72A2" w:rsidRPr="00E730C4" w:rsidRDefault="002E72A2" w:rsidP="002E72A2"/>
    <w:p w14:paraId="1E93C099" w14:textId="156DD0C1" w:rsidR="002E72A2" w:rsidRPr="001A4967" w:rsidRDefault="002E72A2" w:rsidP="002E72A2">
      <w:pPr>
        <w:rPr>
          <w:b/>
          <w:u w:val="singl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SP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Prey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5507CB5" w14:textId="77777777" w:rsidR="002E72A2" w:rsidRDefault="002E72A2" w:rsidP="002E72A2"/>
    <w:p w14:paraId="1BCCFE67" w14:textId="59730548" w:rsidR="002E72A2" w:rsidRDefault="002E72A2" w:rsidP="002E72A2">
      <w:pPr>
        <w:rPr>
          <w:rFonts w:eastAsiaTheme="minorEastAsia" w:cstheme="minorHAnsi"/>
        </w:rPr>
      </w:pPr>
      <w:r w:rsidRPr="00583016">
        <w:rPr>
          <w:rFonts w:cstheme="minorHAnsi"/>
        </w:rPr>
        <w:t xml:space="preserve">where </w:t>
      </w:r>
      <w:proofErr w:type="spellStart"/>
      <w:proofErr w:type="gramStart"/>
      <w:r w:rsidRPr="00583016">
        <w:rPr>
          <w:rFonts w:cstheme="minorHAnsi"/>
          <w:i/>
        </w:rPr>
        <w:t>SP</w:t>
      </w:r>
      <w:r w:rsidRPr="00583016">
        <w:rPr>
          <w:rFonts w:cstheme="minorHAnsi"/>
          <w:i/>
          <w:vertAlign w:val="subscript"/>
        </w:rPr>
        <w:t>i,t</w:t>
      </w:r>
      <w:proofErr w:type="spellEnd"/>
      <w:proofErr w:type="gramEnd"/>
      <w:r>
        <w:rPr>
          <w:rFonts w:cstheme="minorHAnsi"/>
        </w:rPr>
        <w:t xml:space="preserve"> is the surplus production for stock </w:t>
      </w:r>
      <w:proofErr w:type="spellStart"/>
      <w:r w:rsidRPr="0019476F">
        <w:rPr>
          <w:rFonts w:cstheme="minorHAnsi"/>
          <w:i/>
        </w:rPr>
        <w:t>i</w:t>
      </w:r>
      <w:proofErr w:type="spellEnd"/>
      <w:r w:rsidRPr="0019476F">
        <w:rPr>
          <w:rFonts w:cstheme="minorHAnsi"/>
          <w:i/>
        </w:rPr>
        <w:t xml:space="preserve"> </w:t>
      </w:r>
      <w:r>
        <w:rPr>
          <w:rFonts w:cstheme="minorHAnsi"/>
        </w:rPr>
        <w:t xml:space="preserve">in year </w:t>
      </w:r>
      <w:r w:rsidRPr="0019476F">
        <w:rPr>
          <w:rFonts w:cstheme="minorHAnsi"/>
          <w:i/>
        </w:rPr>
        <w:t>t</w:t>
      </w:r>
      <w:r>
        <w:rPr>
          <w:rFonts w:cstheme="minorHAnsi"/>
        </w:rPr>
        <w:t xml:space="preserve">, </w:t>
      </w:r>
      <w:proofErr w:type="spellStart"/>
      <w:r w:rsidRPr="00583016">
        <w:rPr>
          <w:rFonts w:cstheme="minorHAnsi"/>
          <w:i/>
        </w:rPr>
        <w:t>B</w:t>
      </w:r>
      <w:r w:rsidRPr="00583016">
        <w:rPr>
          <w:rFonts w:cstheme="minorHAnsi"/>
          <w:i/>
          <w:vertAlign w:val="subscript"/>
        </w:rPr>
        <w:t>i,t</w:t>
      </w:r>
      <w:proofErr w:type="spellEnd"/>
      <w:r w:rsidRPr="00583016">
        <w:rPr>
          <w:rFonts w:cstheme="minorHAnsi"/>
        </w:rPr>
        <w:t xml:space="preserve"> </w:t>
      </w:r>
      <w:r>
        <w:rPr>
          <w:rFonts w:cstheme="minorHAnsi"/>
        </w:rPr>
        <w:t xml:space="preserve">is the </w:t>
      </w:r>
      <w:r w:rsidRPr="00583016">
        <w:rPr>
          <w:rFonts w:cstheme="minorHAnsi"/>
        </w:rPr>
        <w:t xml:space="preserve">biomass, </w:t>
      </w:r>
      <w:proofErr w:type="spellStart"/>
      <w:r w:rsidRPr="00ED5C37">
        <w:rPr>
          <w:rFonts w:cstheme="minorHAnsi"/>
          <w:i/>
        </w:rPr>
        <w:t>SST</w:t>
      </w:r>
      <w:r w:rsidRPr="00ED5C37">
        <w:rPr>
          <w:rFonts w:cstheme="minorHAnsi"/>
          <w:i/>
          <w:vertAlign w:val="subscript"/>
        </w:rPr>
        <w:t>i,t</w:t>
      </w:r>
      <w:proofErr w:type="spellEnd"/>
      <w:r w:rsidRPr="00ED5C37">
        <w:rPr>
          <w:rFonts w:cstheme="minorHAnsi"/>
          <w:i/>
          <w:vertAlign w:val="subscript"/>
        </w:rPr>
        <w:t xml:space="preserve"> </w:t>
      </w:r>
      <w:r>
        <w:rPr>
          <w:rFonts w:cstheme="minorHAnsi"/>
        </w:rPr>
        <w:t xml:space="preserve">is the </w:t>
      </w:r>
      <w:r w:rsidR="00C83D8E">
        <w:rPr>
          <w:rFonts w:cstheme="minorHAnsi"/>
        </w:rPr>
        <w:t>prey abundance</w:t>
      </w:r>
      <w:r>
        <w:rPr>
          <w:rFonts w:cstheme="minorHAnsi"/>
        </w:rPr>
        <w:t xml:space="preserve">, </w:t>
      </w:r>
      <w:proofErr w:type="spellStart"/>
      <w:r w:rsidRPr="00583016">
        <w:rPr>
          <w:rFonts w:cstheme="minorHAnsi"/>
          <w:i/>
        </w:rPr>
        <w:t>r</w:t>
      </w:r>
      <w:r w:rsidRPr="00583016">
        <w:rPr>
          <w:rFonts w:cstheme="minorHAnsi"/>
          <w:i/>
          <w:vertAlign w:val="subscript"/>
        </w:rPr>
        <w:t>i</w:t>
      </w:r>
      <w:proofErr w:type="spellEnd"/>
      <w:r>
        <w:rPr>
          <w:rFonts w:cstheme="minorHAnsi"/>
        </w:rPr>
        <w:t xml:space="preserve"> is the intrinsic rate of growth, </w:t>
      </w:r>
      <w:r>
        <w:rPr>
          <w:rFonts w:cstheme="minorHAnsi"/>
          <w:i/>
        </w:rPr>
        <w:t>K</w:t>
      </w:r>
      <w:r w:rsidRPr="00583016">
        <w:rPr>
          <w:rFonts w:cstheme="minorHAnsi"/>
          <w:i/>
          <w:vertAlign w:val="subscript"/>
        </w:rPr>
        <w:t>i</w:t>
      </w:r>
      <w:r w:rsidRPr="00583016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is the carrying capacity,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cstheme="minorHAnsi"/>
          <w:i/>
        </w:rPr>
        <w:t xml:space="preserve"> </w:t>
      </w:r>
      <w:r w:rsidR="00FC604A">
        <w:rPr>
          <w:rFonts w:cstheme="minorHAnsi"/>
        </w:rPr>
        <w:t>is the influence of prey abundance</w:t>
      </w:r>
      <w:r>
        <w:rPr>
          <w:rFonts w:cstheme="minorHAnsi"/>
        </w:rPr>
        <w:t xml:space="preserve"> on productivity,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P,i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 w:cstheme="minorHAnsi"/>
        </w:rPr>
        <w:t xml:space="preserve"> is independent identically distributed normal residual process variability. We used Akaike Information Criterion (AIC; Akaike 1974) to compare models using shape parameters (</w:t>
      </w:r>
      <w:r w:rsidRPr="0089566E">
        <w:rPr>
          <w:rFonts w:eastAsiaTheme="minorEastAsia" w:cstheme="minorHAnsi"/>
          <w:i/>
        </w:rPr>
        <w:t>p</w:t>
      </w:r>
      <w:r>
        <w:rPr>
          <w:rFonts w:eastAsiaTheme="minorEastAsia" w:cstheme="minorHAnsi"/>
        </w:rPr>
        <w:t>) that maximize productivity at 50% (</w:t>
      </w:r>
      <w:r w:rsidRPr="00796B34">
        <w:rPr>
          <w:rFonts w:eastAsiaTheme="minorEastAsia" w:cstheme="minorHAnsi"/>
          <w:i/>
        </w:rPr>
        <w:t>p</w:t>
      </w:r>
      <w:r>
        <w:rPr>
          <w:rFonts w:eastAsiaTheme="minorEastAsia" w:cstheme="minorHAnsi"/>
        </w:rPr>
        <w:t>=1), 45% (</w:t>
      </w:r>
      <w:r w:rsidRPr="00796B34">
        <w:rPr>
          <w:rFonts w:eastAsiaTheme="minorEastAsia" w:cstheme="minorHAnsi"/>
          <w:i/>
        </w:rPr>
        <w:t>p</w:t>
      </w:r>
      <w:r>
        <w:rPr>
          <w:rFonts w:eastAsiaTheme="minorEastAsia" w:cstheme="minorHAnsi"/>
        </w:rPr>
        <w:t>=0.55), 40% (</w:t>
      </w:r>
      <w:r w:rsidRPr="00796B34">
        <w:rPr>
          <w:rFonts w:eastAsiaTheme="minorEastAsia" w:cstheme="minorHAnsi"/>
          <w:i/>
        </w:rPr>
        <w:t>p</w:t>
      </w:r>
      <w:r>
        <w:rPr>
          <w:rFonts w:eastAsiaTheme="minorEastAsia" w:cstheme="minorHAnsi"/>
        </w:rPr>
        <w:t>=0.2), and 37% (</w:t>
      </w:r>
      <w:r w:rsidRPr="00796B34">
        <w:rPr>
          <w:rFonts w:eastAsiaTheme="minorEastAsia" w:cstheme="minorHAnsi"/>
          <w:i/>
        </w:rPr>
        <w:t>p</w:t>
      </w:r>
      <w:r>
        <w:rPr>
          <w:rFonts w:eastAsiaTheme="minorEastAsia" w:cstheme="minorHAnsi"/>
        </w:rPr>
        <w:t xml:space="preserve">=0.01) of carrying capacity and selected the model with the lowest AIC score as the “base” model. We evaluated these shape parameter values because 50% produces the symmetric Schaefer model, 40% is the meta-analytic mean (Thorson et al. 2012), and 37% is the asymptotic limit of this parameterization of the Pella-Tomlinson model. </w:t>
      </w:r>
    </w:p>
    <w:p w14:paraId="2248764F" w14:textId="77777777" w:rsidR="002E72A2" w:rsidRDefault="002E72A2" w:rsidP="002E72A2">
      <w:pPr>
        <w:rPr>
          <w:rFonts w:eastAsiaTheme="minorEastAsia" w:cstheme="minorHAnsi"/>
        </w:rPr>
      </w:pPr>
    </w:p>
    <w:p w14:paraId="57940543" w14:textId="36FE3C3E" w:rsidR="002E72A2" w:rsidRDefault="002E72A2" w:rsidP="002E72A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603D3">
        <w:rPr>
          <w:rFonts w:eastAsiaTheme="minorEastAsia"/>
        </w:rPr>
        <w:t xml:space="preserve"> &lt; 0 means increasing prey abundance</w:t>
      </w:r>
      <w:r>
        <w:rPr>
          <w:rFonts w:eastAsiaTheme="minorEastAsia"/>
        </w:rPr>
        <w:t xml:space="preserve"> reduces </w:t>
      </w:r>
      <w:r w:rsidR="00E603D3">
        <w:rPr>
          <w:rFonts w:eastAsiaTheme="minorEastAsia"/>
        </w:rPr>
        <w:t xml:space="preserve">predator </w:t>
      </w:r>
      <w:r>
        <w:rPr>
          <w:rFonts w:eastAsiaTheme="minorEastAsia"/>
        </w:rPr>
        <w:t>productivity at a given biomass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&gt; 0 means increasing </w:t>
      </w:r>
      <w:r w:rsidR="00E603D3">
        <w:rPr>
          <w:rFonts w:eastAsiaTheme="minorEastAsia"/>
        </w:rPr>
        <w:t>prey abundance</w:t>
      </w:r>
      <w:r>
        <w:rPr>
          <w:rFonts w:eastAsiaTheme="minorEastAsia"/>
        </w:rPr>
        <w:t xml:space="preserve"> magnifies </w:t>
      </w:r>
      <w:r w:rsidR="00E603D3">
        <w:rPr>
          <w:rFonts w:eastAsiaTheme="minorEastAsia"/>
        </w:rPr>
        <w:t xml:space="preserve">predator </w:t>
      </w:r>
      <w:r>
        <w:rPr>
          <w:rFonts w:eastAsiaTheme="minorEastAsia"/>
        </w:rPr>
        <w:t>p</w:t>
      </w:r>
      <w:r w:rsidR="00E603D3">
        <w:rPr>
          <w:rFonts w:eastAsiaTheme="minorEastAsia"/>
        </w:rPr>
        <w:t>roductivity at a given biomass.</w:t>
      </w:r>
    </w:p>
    <w:p w14:paraId="649AB241" w14:textId="77777777" w:rsidR="002E72A2" w:rsidRDefault="002E72A2" w:rsidP="002E72A2"/>
    <w:p w14:paraId="1DB55C6E" w14:textId="77777777" w:rsidR="002E72A2" w:rsidRDefault="002E72A2" w:rsidP="002E72A2">
      <w:pPr>
        <w:ind w:firstLine="720"/>
        <w:rPr>
          <w:rFonts w:cstheme="minorHAnsi"/>
        </w:rPr>
      </w:pPr>
      <w:r>
        <w:t>To ease model fitting, we</w:t>
      </w:r>
      <w:bookmarkStart w:id="0" w:name="_GoBack"/>
      <w:bookmarkEnd w:id="0"/>
      <w:r>
        <w:t xml:space="preserve"> scaled biomass and production to each stock's maximum biomass and centered SST data around each stock’s mean SST. We also placed a likelihood penalty on carrying capacities greater than five times the observed maximum biomass to constrain unrealistic carrying capacities. We fit the model </w:t>
      </w:r>
      <w:r w:rsidRPr="001E4A6B">
        <w:rPr>
          <w:rFonts w:cstheme="minorHAnsi"/>
        </w:rPr>
        <w:t>using</w:t>
      </w:r>
      <w:r>
        <w:rPr>
          <w:rFonts w:cstheme="minorHAnsi"/>
        </w:rPr>
        <w:t xml:space="preserve"> maximum likelihood estimation in the </w:t>
      </w:r>
      <w:r w:rsidRPr="002F3067">
        <w:rPr>
          <w:rFonts w:cstheme="minorHAnsi"/>
          <w:i/>
        </w:rPr>
        <w:t>TMB</w:t>
      </w:r>
      <w:r>
        <w:rPr>
          <w:rFonts w:cstheme="minorHAnsi"/>
        </w:rPr>
        <w:t xml:space="preserve"> package</w:t>
      </w:r>
      <w:r w:rsidRPr="001E4A6B">
        <w:rPr>
          <w:rFonts w:cstheme="minorHAnsi"/>
        </w:rPr>
        <w:t xml:space="preserve"> (</w:t>
      </w:r>
      <w:r w:rsidRPr="001E4A6B">
        <w:rPr>
          <w:rFonts w:cstheme="minorHAnsi"/>
          <w:color w:val="000000"/>
          <w:shd w:val="clear" w:color="auto" w:fill="FFFFFF"/>
        </w:rPr>
        <w:t xml:space="preserve">Kristensen </w:t>
      </w:r>
      <w:r>
        <w:rPr>
          <w:rFonts w:cstheme="minorHAnsi"/>
          <w:color w:val="000000"/>
          <w:shd w:val="clear" w:color="auto" w:fill="FFFFFF"/>
        </w:rPr>
        <w:t xml:space="preserve">et al. </w:t>
      </w:r>
      <w:r w:rsidRPr="001E4A6B">
        <w:rPr>
          <w:rFonts w:cstheme="minorHAnsi"/>
          <w:color w:val="000000"/>
          <w:shd w:val="clear" w:color="auto" w:fill="FFFFFF"/>
        </w:rPr>
        <w:t>2016</w:t>
      </w:r>
      <w:r>
        <w:rPr>
          <w:rFonts w:cstheme="minorHAnsi"/>
          <w:color w:val="000000"/>
          <w:shd w:val="clear" w:color="auto" w:fill="FFFFFF"/>
        </w:rPr>
        <w:t>; Template Model Builder</w:t>
      </w:r>
      <w:r w:rsidRPr="001E4A6B">
        <w:rPr>
          <w:rFonts w:cstheme="minorHAnsi"/>
          <w:color w:val="000000"/>
          <w:shd w:val="clear" w:color="auto" w:fill="FFFFFF"/>
        </w:rPr>
        <w:t>)</w:t>
      </w:r>
      <w:r>
        <w:rPr>
          <w:rFonts w:cstheme="minorHAnsi"/>
        </w:rPr>
        <w:t xml:space="preserve"> in R (R Core Team 2017). </w:t>
      </w:r>
    </w:p>
    <w:p w14:paraId="52084C86" w14:textId="77777777" w:rsidR="002E72A2" w:rsidRDefault="002E72A2" w:rsidP="003B64B0"/>
    <w:p w14:paraId="7809DF43" w14:textId="77777777" w:rsidR="003B64B0" w:rsidRDefault="003B64B0" w:rsidP="003B64B0"/>
    <w:p w14:paraId="1839F1D7" w14:textId="6F09A53A" w:rsidR="003B64B0" w:rsidRPr="003B64B0" w:rsidRDefault="003B64B0" w:rsidP="003B64B0">
      <w:pPr>
        <w:rPr>
          <w:i/>
        </w:rPr>
      </w:pPr>
      <w:r>
        <w:rPr>
          <w:i/>
        </w:rPr>
        <w:t xml:space="preserve">2.4 </w:t>
      </w:r>
      <w:r w:rsidRPr="003B64B0">
        <w:rPr>
          <w:i/>
        </w:rPr>
        <w:t>Data analysis</w:t>
      </w:r>
    </w:p>
    <w:p w14:paraId="2C36AE59" w14:textId="77777777" w:rsidR="006C59C0" w:rsidRDefault="006C59C0"/>
    <w:p w14:paraId="67B3345D" w14:textId="77777777" w:rsidR="003C6F65" w:rsidRPr="003C6F65" w:rsidRDefault="003C6F65">
      <w:pPr>
        <w:rPr>
          <w:b/>
        </w:rPr>
      </w:pPr>
      <w:r w:rsidRPr="003C6F65">
        <w:rPr>
          <w:b/>
        </w:rPr>
        <w:t>Results</w:t>
      </w:r>
    </w:p>
    <w:p w14:paraId="60ECC620" w14:textId="77777777" w:rsidR="003C6F65" w:rsidRDefault="003C6F65"/>
    <w:p w14:paraId="4E8C5512" w14:textId="77777777" w:rsidR="00D2407D" w:rsidRDefault="00D2407D">
      <w:pPr>
        <w:rPr>
          <w:b/>
        </w:rPr>
      </w:pPr>
      <w:r>
        <w:rPr>
          <w:b/>
        </w:rPr>
        <w:lastRenderedPageBreak/>
        <w:br w:type="page"/>
      </w:r>
    </w:p>
    <w:p w14:paraId="76799A81" w14:textId="202F3837" w:rsidR="003C6F65" w:rsidRPr="003C6F65" w:rsidRDefault="003C6F65">
      <w:pPr>
        <w:rPr>
          <w:b/>
        </w:rPr>
      </w:pPr>
      <w:r w:rsidRPr="003C6F65">
        <w:rPr>
          <w:b/>
        </w:rPr>
        <w:lastRenderedPageBreak/>
        <w:t>Tables &amp; Figures</w:t>
      </w:r>
    </w:p>
    <w:p w14:paraId="73CC1207" w14:textId="77777777" w:rsidR="003C6F65" w:rsidRDefault="003C6F65"/>
    <w:p w14:paraId="658B883C" w14:textId="2D4EEE3B" w:rsidR="003C6F65" w:rsidRDefault="00D2407D" w:rsidP="003C6F65">
      <w:r>
        <w:rPr>
          <w:b/>
        </w:rPr>
        <w:t>Figure 1</w:t>
      </w:r>
      <w:r w:rsidR="003C6F65" w:rsidRPr="00E40F1C">
        <w:rPr>
          <w:b/>
        </w:rPr>
        <w:t>.</w:t>
      </w:r>
      <w:r w:rsidR="003C6F65">
        <w:t xml:space="preserve"> Primary prey influence</w:t>
      </w:r>
    </w:p>
    <w:p w14:paraId="34F64A34" w14:textId="77777777" w:rsidR="003C6F65" w:rsidRDefault="003C6F65"/>
    <w:p w14:paraId="171BCA5E" w14:textId="77777777" w:rsidR="00D2407D" w:rsidRDefault="00D2407D" w:rsidP="00A9129C">
      <w:pPr>
        <w:rPr>
          <w:b/>
        </w:rPr>
      </w:pPr>
    </w:p>
    <w:p w14:paraId="00A4E9CA" w14:textId="51A99F5B" w:rsidR="00A9129C" w:rsidRPr="003C6F65" w:rsidRDefault="00A9129C" w:rsidP="00A9129C">
      <w:pPr>
        <w:rPr>
          <w:b/>
        </w:rPr>
      </w:pPr>
      <w:r>
        <w:rPr>
          <w:b/>
        </w:rPr>
        <w:t xml:space="preserve">Supp. </w:t>
      </w:r>
      <w:r w:rsidRPr="003C6F65">
        <w:rPr>
          <w:b/>
        </w:rPr>
        <w:t>Tables &amp; Figures</w:t>
      </w:r>
    </w:p>
    <w:p w14:paraId="321F9507" w14:textId="77777777" w:rsidR="00A9129C" w:rsidRDefault="00A9129C"/>
    <w:p w14:paraId="580255B8" w14:textId="38FDA705" w:rsidR="00807759" w:rsidRDefault="00807759">
      <w:r w:rsidRPr="00807759">
        <w:rPr>
          <w:b/>
        </w:rPr>
        <w:t>Supp. Table 1.</w:t>
      </w:r>
      <w:r>
        <w:t xml:space="preserve"> Stock selection and sample size.</w:t>
      </w:r>
    </w:p>
    <w:p w14:paraId="6C9F5E9D" w14:textId="77777777" w:rsidR="00807759" w:rsidRDefault="00807759"/>
    <w:p w14:paraId="0CD2DC27" w14:textId="4816246D" w:rsidR="00D2407D" w:rsidRDefault="00D2407D" w:rsidP="00D2407D">
      <w:r>
        <w:rPr>
          <w:b/>
        </w:rPr>
        <w:t xml:space="preserve">Supp. </w:t>
      </w:r>
      <w:r w:rsidRPr="00E40F1C">
        <w:rPr>
          <w:b/>
        </w:rPr>
        <w:t>Figure 1.</w:t>
      </w:r>
      <w:r>
        <w:t xml:space="preserve"> Prey time series</w:t>
      </w:r>
    </w:p>
    <w:p w14:paraId="10548330" w14:textId="16FE58FE" w:rsidR="00D2407D" w:rsidRDefault="00D2407D" w:rsidP="00D2407D">
      <w:r>
        <w:rPr>
          <w:b/>
        </w:rPr>
        <w:t xml:space="preserve">Supp. </w:t>
      </w:r>
      <w:r w:rsidRPr="00E40F1C">
        <w:rPr>
          <w:b/>
        </w:rPr>
        <w:t>Figure 2.</w:t>
      </w:r>
      <w:r>
        <w:t xml:space="preserve"> Predator time series w/ inset primary prey time series</w:t>
      </w:r>
    </w:p>
    <w:p w14:paraId="153972B3" w14:textId="36A8C843" w:rsidR="00D2407D" w:rsidRDefault="00D2407D" w:rsidP="00D2407D">
      <w:r>
        <w:rPr>
          <w:b/>
        </w:rPr>
        <w:t xml:space="preserve">Supp. </w:t>
      </w:r>
      <w:r w:rsidRPr="00E40F1C">
        <w:rPr>
          <w:b/>
        </w:rPr>
        <w:t>Figure 3.</w:t>
      </w:r>
      <w:r>
        <w:t xml:space="preserve"> Predator surplus production and fit</w:t>
      </w:r>
    </w:p>
    <w:p w14:paraId="57F20196" w14:textId="041790D4" w:rsidR="00D2407D" w:rsidRDefault="00D2407D" w:rsidP="00D2407D">
      <w:r>
        <w:rPr>
          <w:b/>
        </w:rPr>
        <w:t xml:space="preserve">Supp. </w:t>
      </w:r>
      <w:r w:rsidRPr="00E40F1C">
        <w:rPr>
          <w:b/>
        </w:rPr>
        <w:t>Figure 4.</w:t>
      </w:r>
      <w:r>
        <w:t xml:space="preserve"> Predator diet composition</w:t>
      </w:r>
    </w:p>
    <w:p w14:paraId="0E9645D9" w14:textId="77777777" w:rsidR="00807759" w:rsidRDefault="00807759">
      <w:pPr>
        <w:rPr>
          <w:b/>
        </w:rPr>
      </w:pPr>
      <w:r>
        <w:rPr>
          <w:b/>
        </w:rPr>
        <w:br w:type="page"/>
      </w:r>
    </w:p>
    <w:p w14:paraId="04DAAD61" w14:textId="77777777" w:rsidR="00807759" w:rsidRDefault="00807759">
      <w:r>
        <w:rPr>
          <w:b/>
        </w:rPr>
        <w:lastRenderedPageBreak/>
        <w:t xml:space="preserve">Supp. Table 1. </w:t>
      </w:r>
      <w:r>
        <w:t>Stock selection and sample size.</w:t>
      </w:r>
    </w:p>
    <w:p w14:paraId="516BB5A7" w14:textId="77777777" w:rsidR="00807759" w:rsidRDefault="00807759"/>
    <w:tbl>
      <w:tblPr>
        <w:tblW w:w="8090" w:type="dxa"/>
        <w:tblLook w:val="04A0" w:firstRow="1" w:lastRow="0" w:firstColumn="1" w:lastColumn="0" w:noHBand="0" w:noVBand="1"/>
      </w:tblPr>
      <w:tblGrid>
        <w:gridCol w:w="5490"/>
        <w:gridCol w:w="1071"/>
        <w:gridCol w:w="889"/>
        <w:gridCol w:w="725"/>
      </w:tblGrid>
      <w:tr w:rsidR="00807759" w:rsidRPr="00807759" w14:paraId="6FCCAED0" w14:textId="77777777" w:rsidTr="00807759">
        <w:trPr>
          <w:trHeight w:val="320"/>
        </w:trPr>
        <w:tc>
          <w:tcPr>
            <w:tcW w:w="5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6E22" w14:textId="77777777" w:rsidR="00807759" w:rsidRPr="00807759" w:rsidRDefault="00807759" w:rsidP="00807759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07759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BEAA9" w14:textId="77777777" w:rsidR="00807759" w:rsidRPr="00807759" w:rsidRDefault="00807759" w:rsidP="00807759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07759">
              <w:rPr>
                <w:rFonts w:ascii="Calibri" w:eastAsia="Times New Roman" w:hAnsi="Calibri"/>
                <w:b/>
                <w:bCs/>
                <w:color w:val="000000"/>
              </w:rPr>
              <w:t># of stocks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64D35" w14:textId="77777777" w:rsidR="00807759" w:rsidRPr="00807759" w:rsidRDefault="00807759" w:rsidP="00807759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07759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</w:tr>
      <w:tr w:rsidR="00807759" w:rsidRPr="00807759" w14:paraId="53658633" w14:textId="77777777" w:rsidTr="00807759">
        <w:trPr>
          <w:trHeight w:val="340"/>
        </w:trPr>
        <w:tc>
          <w:tcPr>
            <w:tcW w:w="54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B431F" w14:textId="77777777" w:rsidR="00807759" w:rsidRPr="00807759" w:rsidRDefault="00807759" w:rsidP="00807759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07759">
              <w:rPr>
                <w:rFonts w:ascii="Calibri" w:eastAsia="Times New Roman" w:hAnsi="Calibri"/>
                <w:b/>
                <w:bCs/>
                <w:color w:val="000000"/>
              </w:rPr>
              <w:t>Condition</w:t>
            </w:r>
          </w:p>
        </w:tc>
        <w:tc>
          <w:tcPr>
            <w:tcW w:w="107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AC2EB" w14:textId="77777777" w:rsidR="00807759" w:rsidRPr="00807759" w:rsidRDefault="00807759" w:rsidP="00807759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07759">
              <w:rPr>
                <w:rFonts w:ascii="Calibri" w:eastAsia="Times New Roman" w:hAnsi="Calibri"/>
                <w:b/>
                <w:bCs/>
                <w:color w:val="000000"/>
              </w:rPr>
              <w:t>Atlantic</w:t>
            </w:r>
          </w:p>
        </w:tc>
        <w:tc>
          <w:tcPr>
            <w:tcW w:w="88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963A" w14:textId="77777777" w:rsidR="00807759" w:rsidRPr="00807759" w:rsidRDefault="00807759" w:rsidP="00807759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07759">
              <w:rPr>
                <w:rFonts w:ascii="Calibri" w:eastAsia="Times New Roman" w:hAnsi="Calibri"/>
                <w:b/>
                <w:bCs/>
                <w:color w:val="000000"/>
              </w:rPr>
              <w:t>Pacific</w:t>
            </w:r>
          </w:p>
        </w:tc>
        <w:tc>
          <w:tcPr>
            <w:tcW w:w="6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3F548" w14:textId="77777777" w:rsidR="00807759" w:rsidRPr="00807759" w:rsidRDefault="00807759" w:rsidP="00807759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07759">
              <w:rPr>
                <w:rFonts w:ascii="Calibri" w:eastAsia="Times New Roman" w:hAnsi="Calibri"/>
                <w:b/>
                <w:bCs/>
                <w:color w:val="000000"/>
              </w:rPr>
              <w:t>Total</w:t>
            </w:r>
          </w:p>
        </w:tc>
      </w:tr>
      <w:tr w:rsidR="00807759" w:rsidRPr="00807759" w14:paraId="3C526250" w14:textId="77777777" w:rsidTr="00807759">
        <w:trPr>
          <w:trHeight w:val="34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3175" w14:textId="77777777" w:rsidR="00807759" w:rsidRPr="00807759" w:rsidRDefault="00807759" w:rsidP="00807759">
            <w:pPr>
              <w:rPr>
                <w:rFonts w:ascii="Calibri" w:eastAsia="Times New Roman" w:hAnsi="Calibri"/>
                <w:color w:val="000000"/>
              </w:rPr>
            </w:pPr>
            <w:r w:rsidRPr="00807759">
              <w:rPr>
                <w:rFonts w:ascii="Calibri" w:eastAsia="Times New Roman" w:hAnsi="Calibri"/>
                <w:color w:val="000000"/>
              </w:rPr>
              <w:t>All predator stocks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5B06" w14:textId="77777777" w:rsidR="00807759" w:rsidRPr="00807759" w:rsidRDefault="00807759" w:rsidP="0080775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7759">
              <w:rPr>
                <w:rFonts w:ascii="Calibri" w:eastAsia="Times New Roman" w:hAnsi="Calibri"/>
                <w:color w:val="000000"/>
              </w:rPr>
              <w:t>73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E966" w14:textId="77777777" w:rsidR="00807759" w:rsidRPr="00807759" w:rsidRDefault="00807759" w:rsidP="0080775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7759">
              <w:rPr>
                <w:rFonts w:ascii="Calibri" w:eastAsia="Times New Roman" w:hAnsi="Calibri"/>
                <w:color w:val="000000"/>
              </w:rPr>
              <w:t>76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96F6" w14:textId="77777777" w:rsidR="00807759" w:rsidRPr="00807759" w:rsidRDefault="00807759" w:rsidP="0080775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7759">
              <w:rPr>
                <w:rFonts w:ascii="Calibri" w:eastAsia="Times New Roman" w:hAnsi="Calibri"/>
                <w:color w:val="000000"/>
              </w:rPr>
              <w:t>149</w:t>
            </w:r>
          </w:p>
        </w:tc>
      </w:tr>
      <w:tr w:rsidR="00807759" w:rsidRPr="00807759" w14:paraId="7AAD2FFC" w14:textId="77777777" w:rsidTr="00807759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7626" w14:textId="366C0AD1" w:rsidR="00807759" w:rsidRPr="00807759" w:rsidRDefault="007F1484" w:rsidP="00807759">
            <w:pPr>
              <w:ind w:firstLineChars="200" w:firstLine="48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≥</w:t>
            </w:r>
            <w:r w:rsidR="00807759" w:rsidRPr="00807759">
              <w:rPr>
                <w:rFonts w:ascii="Calibri" w:eastAsia="Times New Roman" w:hAnsi="Calibri"/>
                <w:color w:val="000000"/>
              </w:rPr>
              <w:t xml:space="preserve">20 </w:t>
            </w:r>
            <w:proofErr w:type="spellStart"/>
            <w:r w:rsidR="00807759" w:rsidRPr="00807759">
              <w:rPr>
                <w:rFonts w:ascii="Calibri" w:eastAsia="Times New Roman" w:hAnsi="Calibri"/>
                <w:color w:val="000000"/>
              </w:rPr>
              <w:t>yr</w:t>
            </w:r>
            <w:proofErr w:type="spellEnd"/>
            <w:r w:rsidR="00807759" w:rsidRPr="00807759">
              <w:rPr>
                <w:rFonts w:ascii="Calibri" w:eastAsia="Times New Roman" w:hAnsi="Calibri"/>
                <w:color w:val="000000"/>
              </w:rPr>
              <w:t xml:space="preserve"> of data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5689" w14:textId="77777777" w:rsidR="00807759" w:rsidRPr="00807759" w:rsidRDefault="00807759" w:rsidP="0080775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7759"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B197" w14:textId="77777777" w:rsidR="00807759" w:rsidRPr="00807759" w:rsidRDefault="00807759" w:rsidP="0080775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7759"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D661" w14:textId="77777777" w:rsidR="00807759" w:rsidRPr="00807759" w:rsidRDefault="00807759" w:rsidP="0080775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7759">
              <w:rPr>
                <w:rFonts w:ascii="Calibri" w:eastAsia="Times New Roman" w:hAnsi="Calibri"/>
                <w:color w:val="000000"/>
              </w:rPr>
              <w:t>45</w:t>
            </w:r>
          </w:p>
        </w:tc>
      </w:tr>
      <w:tr w:rsidR="00807759" w:rsidRPr="00807759" w14:paraId="6E50971A" w14:textId="77777777" w:rsidTr="00807759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6D433" w14:textId="794FB218" w:rsidR="00807759" w:rsidRPr="00807759" w:rsidRDefault="007F1484" w:rsidP="00807759">
            <w:pPr>
              <w:ind w:firstLineChars="200" w:firstLine="48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≥</w:t>
            </w:r>
            <w:r w:rsidR="00807759" w:rsidRPr="00807759">
              <w:rPr>
                <w:rFonts w:ascii="Calibri" w:eastAsia="Times New Roman" w:hAnsi="Calibri"/>
                <w:color w:val="000000"/>
              </w:rPr>
              <w:t xml:space="preserve">20 </w:t>
            </w:r>
            <w:proofErr w:type="spellStart"/>
            <w:r w:rsidR="00807759" w:rsidRPr="00807759">
              <w:rPr>
                <w:rFonts w:ascii="Calibri" w:eastAsia="Times New Roman" w:hAnsi="Calibri"/>
                <w:color w:val="000000"/>
              </w:rPr>
              <w:t>yr</w:t>
            </w:r>
            <w:proofErr w:type="spellEnd"/>
            <w:r w:rsidR="00807759" w:rsidRPr="00807759">
              <w:rPr>
                <w:rFonts w:ascii="Calibri" w:eastAsia="Times New Roman" w:hAnsi="Calibri"/>
                <w:color w:val="000000"/>
              </w:rPr>
              <w:t xml:space="preserve"> of data and ≥20% of diet from forage fish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799E5" w14:textId="77777777" w:rsidR="00807759" w:rsidRPr="00807759" w:rsidRDefault="00807759" w:rsidP="0080775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7759"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7B936" w14:textId="77777777" w:rsidR="00807759" w:rsidRPr="00807759" w:rsidRDefault="00807759" w:rsidP="0080775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7759"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9305A" w14:textId="77777777" w:rsidR="00807759" w:rsidRPr="00807759" w:rsidRDefault="00807759" w:rsidP="0080775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07759">
              <w:rPr>
                <w:rFonts w:ascii="Calibri" w:eastAsia="Times New Roman" w:hAnsi="Calibri"/>
                <w:color w:val="000000"/>
              </w:rPr>
              <w:t>35</w:t>
            </w:r>
          </w:p>
        </w:tc>
      </w:tr>
    </w:tbl>
    <w:p w14:paraId="4F75BF07" w14:textId="543A08AD" w:rsidR="00F016EC" w:rsidRDefault="00F016EC">
      <w:pPr>
        <w:rPr>
          <w:b/>
        </w:rPr>
      </w:pPr>
      <w:r>
        <w:rPr>
          <w:b/>
        </w:rPr>
        <w:br w:type="page"/>
      </w:r>
    </w:p>
    <w:p w14:paraId="2CD7E660" w14:textId="66648D5D" w:rsidR="003756C0" w:rsidRDefault="001E7DF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E0250A7" wp14:editId="6F63E567">
            <wp:extent cx="5943600" cy="4459605"/>
            <wp:effectExtent l="0" t="0" r="0" b="10795"/>
            <wp:docPr id="1" name="Picture 1" descr="data/hilborn_etal_2017/figures/Fig1_prey_time_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/hilborn_etal_2017/figures/Fig1_prey_time_seri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06D2" w14:textId="77777777" w:rsidR="001E7DF0" w:rsidRDefault="001E7DF0">
      <w:pPr>
        <w:rPr>
          <w:b/>
        </w:rPr>
      </w:pPr>
    </w:p>
    <w:p w14:paraId="42627E8E" w14:textId="367C7621" w:rsidR="001E7DF0" w:rsidRDefault="001E7DF0">
      <w:r>
        <w:rPr>
          <w:b/>
        </w:rPr>
        <w:t>Supp. Figur</w:t>
      </w:r>
      <w:r w:rsidRPr="00633BD2">
        <w:rPr>
          <w:b/>
        </w:rPr>
        <w:t xml:space="preserve">e 1. </w:t>
      </w:r>
      <w:proofErr w:type="spellStart"/>
      <w:r w:rsidRPr="007652F5">
        <w:t>Hilborn</w:t>
      </w:r>
      <w:proofErr w:type="spellEnd"/>
      <w:r w:rsidRPr="007652F5">
        <w:t xml:space="preserve"> et al. (2017) prey biomass time series.</w:t>
      </w:r>
      <w:r>
        <w:t xml:space="preserve"> Biomass time series are in terms of </w:t>
      </w:r>
      <w:r w:rsidRPr="001E7DF0">
        <w:t>total biomass</w:t>
      </w:r>
      <w:r>
        <w:t xml:space="preserve"> (TB), </w:t>
      </w:r>
      <w:r w:rsidRPr="001E7DF0">
        <w:t>spawning s</w:t>
      </w:r>
      <w:r>
        <w:t>tock biomass (SSB), and total landings (TL).</w:t>
      </w:r>
    </w:p>
    <w:p w14:paraId="3428A4B4" w14:textId="1B87C04D" w:rsidR="002D5A4E" w:rsidRDefault="002D5A4E">
      <w:r>
        <w:br w:type="page"/>
      </w:r>
    </w:p>
    <w:p w14:paraId="131067DC" w14:textId="77777777" w:rsidR="008A7C69" w:rsidRDefault="001129C0" w:rsidP="00E97B4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277F201" wp14:editId="5A45F9C1">
            <wp:extent cx="4802293" cy="7203440"/>
            <wp:effectExtent l="0" t="0" r="0" b="10160"/>
            <wp:docPr id="2" name="Picture 2" descr="data/hilborn_etal_2017/figures/Fig2_pred_time_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/hilborn_etal_2017/figures/Fig2_pred_time_seri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537" cy="720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220A" w14:textId="77777777" w:rsidR="008A7C69" w:rsidRDefault="008A7C69" w:rsidP="00E97B49">
      <w:pPr>
        <w:rPr>
          <w:b/>
        </w:rPr>
      </w:pPr>
    </w:p>
    <w:p w14:paraId="5D1575A7" w14:textId="5835B66C" w:rsidR="000A3CDE" w:rsidRDefault="00E97B49" w:rsidP="00E97B49">
      <w:r>
        <w:rPr>
          <w:b/>
        </w:rPr>
        <w:t>Supp. Figure 2</w:t>
      </w:r>
      <w:r w:rsidRPr="00633BD2">
        <w:rPr>
          <w:b/>
        </w:rPr>
        <w:t xml:space="preserve">. </w:t>
      </w:r>
      <w:proofErr w:type="spellStart"/>
      <w:r w:rsidRPr="007652F5">
        <w:t>Hilborn</w:t>
      </w:r>
      <w:proofErr w:type="spellEnd"/>
      <w:r w:rsidRPr="007652F5">
        <w:t xml:space="preserve"> et al. (2017) predator biomass time series</w:t>
      </w:r>
      <w:r w:rsidR="006446CD" w:rsidRPr="007652F5">
        <w:t>.</w:t>
      </w:r>
    </w:p>
    <w:p w14:paraId="1FA42248" w14:textId="77777777" w:rsidR="000A3CDE" w:rsidRDefault="000A3CDE">
      <w:r>
        <w:br w:type="page"/>
      </w:r>
    </w:p>
    <w:p w14:paraId="76C3DDD9" w14:textId="6BA5C578" w:rsidR="000A3CDE" w:rsidRPr="007652F5" w:rsidRDefault="000A3CDE" w:rsidP="000A3CDE">
      <w:r>
        <w:rPr>
          <w:b/>
        </w:rPr>
        <w:lastRenderedPageBreak/>
        <w:t>Supp. Figure 3</w:t>
      </w:r>
      <w:r w:rsidRPr="00633BD2">
        <w:rPr>
          <w:b/>
        </w:rPr>
        <w:t xml:space="preserve">. </w:t>
      </w:r>
      <w:proofErr w:type="spellStart"/>
      <w:r w:rsidRPr="007652F5">
        <w:t>Hilborn</w:t>
      </w:r>
      <w:proofErr w:type="spellEnd"/>
      <w:r w:rsidRPr="007652F5">
        <w:t xml:space="preserve"> et al. (2017) predator </w:t>
      </w:r>
      <w:r>
        <w:t>surplus production</w:t>
      </w:r>
      <w:r w:rsidRPr="007652F5">
        <w:t>.</w:t>
      </w:r>
    </w:p>
    <w:p w14:paraId="2ADC159B" w14:textId="77777777" w:rsidR="00E97B49" w:rsidRPr="007652F5" w:rsidRDefault="00E97B49" w:rsidP="00E97B49"/>
    <w:p w14:paraId="41E9095D" w14:textId="77777777" w:rsidR="00850E06" w:rsidRPr="003756C0" w:rsidRDefault="00850E06">
      <w:pPr>
        <w:rPr>
          <w:b/>
        </w:rPr>
      </w:pPr>
    </w:p>
    <w:sectPr w:rsidR="00850E06" w:rsidRPr="003756C0" w:rsidSect="0095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011F3"/>
    <w:multiLevelType w:val="hybridMultilevel"/>
    <w:tmpl w:val="9D962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050B4"/>
    <w:multiLevelType w:val="hybridMultilevel"/>
    <w:tmpl w:val="948C5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77557"/>
    <w:multiLevelType w:val="hybridMultilevel"/>
    <w:tmpl w:val="C3004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F65"/>
    <w:rsid w:val="000A3CDE"/>
    <w:rsid w:val="000C3037"/>
    <w:rsid w:val="000D4543"/>
    <w:rsid w:val="001129C0"/>
    <w:rsid w:val="00172859"/>
    <w:rsid w:val="001A612F"/>
    <w:rsid w:val="001D7028"/>
    <w:rsid w:val="001E7DF0"/>
    <w:rsid w:val="002D5A4E"/>
    <w:rsid w:val="002E72A2"/>
    <w:rsid w:val="003756C0"/>
    <w:rsid w:val="003B64B0"/>
    <w:rsid w:val="003C6F65"/>
    <w:rsid w:val="00470B8F"/>
    <w:rsid w:val="00510E10"/>
    <w:rsid w:val="0052392F"/>
    <w:rsid w:val="005942A8"/>
    <w:rsid w:val="00594850"/>
    <w:rsid w:val="005A39FC"/>
    <w:rsid w:val="00633BD2"/>
    <w:rsid w:val="006446CD"/>
    <w:rsid w:val="006C59C0"/>
    <w:rsid w:val="007652F5"/>
    <w:rsid w:val="007831C5"/>
    <w:rsid w:val="007D2937"/>
    <w:rsid w:val="007F1484"/>
    <w:rsid w:val="00807759"/>
    <w:rsid w:val="00850E06"/>
    <w:rsid w:val="008A7C69"/>
    <w:rsid w:val="008C0B7F"/>
    <w:rsid w:val="009430D0"/>
    <w:rsid w:val="009537B2"/>
    <w:rsid w:val="0096564B"/>
    <w:rsid w:val="00A9129C"/>
    <w:rsid w:val="00BD6466"/>
    <w:rsid w:val="00C00252"/>
    <w:rsid w:val="00C77EDC"/>
    <w:rsid w:val="00C83D8E"/>
    <w:rsid w:val="00D2407D"/>
    <w:rsid w:val="00D32C29"/>
    <w:rsid w:val="00DA0FB6"/>
    <w:rsid w:val="00E17EA3"/>
    <w:rsid w:val="00E40F1C"/>
    <w:rsid w:val="00E603D3"/>
    <w:rsid w:val="00E97B49"/>
    <w:rsid w:val="00F016EC"/>
    <w:rsid w:val="00F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8F0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</dc:creator>
  <cp:keywords/>
  <dc:description/>
  <cp:lastModifiedBy>Chris Free</cp:lastModifiedBy>
  <cp:revision>37</cp:revision>
  <cp:lastPrinted>2018-06-06T13:36:00Z</cp:lastPrinted>
  <dcterms:created xsi:type="dcterms:W3CDTF">2017-11-02T15:12:00Z</dcterms:created>
  <dcterms:modified xsi:type="dcterms:W3CDTF">2018-06-06T13:52:00Z</dcterms:modified>
</cp:coreProperties>
</file>