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716F" w:rsidRDefault="0048781D">
      <w:pPr>
        <w:pStyle w:val="Heading2"/>
      </w:pPr>
      <w:bookmarkStart w:id="0" w:name="_1ci93xb" w:colFirst="0" w:colLast="0"/>
      <w:bookmarkEnd w:id="0"/>
      <w:r>
        <w:t>Supplemental Tables and Figures</w:t>
      </w:r>
    </w:p>
    <w:p w:rsidR="0061716F" w:rsidRDefault="0048781D">
      <w:r>
        <w:rPr>
          <w:b/>
        </w:rPr>
        <w:t xml:space="preserve">Table S1. </w:t>
      </w:r>
      <w:r>
        <w:t>Nutrients included in analysis (AR=average re</w:t>
      </w:r>
      <w:bookmarkStart w:id="1" w:name="_GoBack"/>
      <w:bookmarkEnd w:id="1"/>
      <w:r>
        <w:t>quirement; IOM=U.S. Institute of Medicine; EFSA=European Food Safety Authority).</w:t>
      </w:r>
    </w:p>
    <w:p w:rsidR="0061716F" w:rsidRDefault="0061716F">
      <w:pPr>
        <w:widowControl w:val="0"/>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764"/>
        <w:gridCol w:w="2445"/>
        <w:gridCol w:w="791"/>
        <w:gridCol w:w="1138"/>
        <w:gridCol w:w="2945"/>
        <w:gridCol w:w="1277"/>
      </w:tblGrid>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61716F">
            <w:pPr>
              <w:widowControl w:val="0"/>
            </w:pPr>
          </w:p>
        </w:tc>
        <w:tc>
          <w:tcPr>
            <w:tcW w:w="2444" w:type="dxa"/>
            <w:tcBorders>
              <w:top w:val="nil"/>
              <w:left w:val="nil"/>
              <w:bottom w:val="nil"/>
              <w:right w:val="nil"/>
            </w:tcBorders>
            <w:tcMar>
              <w:top w:w="1" w:type="dxa"/>
              <w:left w:w="1" w:type="dxa"/>
              <w:bottom w:w="1" w:type="dxa"/>
              <w:right w:w="1" w:type="dxa"/>
            </w:tcMar>
            <w:vAlign w:val="bottom"/>
          </w:tcPr>
          <w:p w:rsidR="0061716F" w:rsidRDefault="0061716F">
            <w:pPr>
              <w:widowControl w:val="0"/>
            </w:pPr>
          </w:p>
        </w:tc>
        <w:tc>
          <w:tcPr>
            <w:tcW w:w="791" w:type="dxa"/>
            <w:tcBorders>
              <w:top w:val="nil"/>
              <w:left w:val="nil"/>
              <w:bottom w:val="nil"/>
              <w:right w:val="nil"/>
            </w:tcBorders>
            <w:tcMar>
              <w:top w:w="1" w:type="dxa"/>
              <w:left w:w="1" w:type="dxa"/>
              <w:bottom w:w="1" w:type="dxa"/>
              <w:right w:w="1" w:type="dxa"/>
            </w:tcMar>
            <w:vAlign w:val="bottom"/>
          </w:tcPr>
          <w:p w:rsidR="0061716F" w:rsidRDefault="0061716F">
            <w:pPr>
              <w:widowControl w:val="0"/>
            </w:pPr>
          </w:p>
        </w:tc>
        <w:tc>
          <w:tcPr>
            <w:tcW w:w="1138" w:type="dxa"/>
            <w:tcBorders>
              <w:top w:val="nil"/>
              <w:left w:val="nil"/>
              <w:bottom w:val="nil"/>
              <w:right w:val="nil"/>
            </w:tcBorders>
            <w:tcMar>
              <w:top w:w="1" w:type="dxa"/>
              <w:left w:w="1" w:type="dxa"/>
              <w:bottom w:w="1" w:type="dxa"/>
              <w:right w:w="1" w:type="dxa"/>
            </w:tcMar>
            <w:vAlign w:val="bottom"/>
          </w:tcPr>
          <w:p w:rsidR="0061716F" w:rsidRDefault="0061716F">
            <w:pPr>
              <w:widowControl w:val="0"/>
            </w:pP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b/>
                <w:sz w:val="20"/>
                <w:szCs w:val="20"/>
              </w:rPr>
              <w:t>Prevalence of inadequacies</w:t>
            </w:r>
          </w:p>
        </w:tc>
        <w:tc>
          <w:tcPr>
            <w:tcW w:w="1277" w:type="dxa"/>
            <w:tcBorders>
              <w:top w:val="nil"/>
              <w:left w:val="nil"/>
              <w:bottom w:val="nil"/>
              <w:right w:val="nil"/>
            </w:tcBorders>
            <w:tcMar>
              <w:top w:w="1" w:type="dxa"/>
              <w:left w:w="1" w:type="dxa"/>
              <w:bottom w:w="1" w:type="dxa"/>
              <w:right w:w="1" w:type="dxa"/>
            </w:tcMar>
            <w:vAlign w:val="bottom"/>
          </w:tcPr>
          <w:p w:rsidR="0061716F" w:rsidRDefault="0061716F">
            <w:pPr>
              <w:widowControl w:val="0"/>
              <w:rPr>
                <w:sz w:val="20"/>
                <w:szCs w:val="20"/>
              </w:rPr>
            </w:pPr>
          </w:p>
        </w:tc>
      </w:tr>
      <w:tr w:rsidR="0061716F">
        <w:trPr>
          <w:trHeight w:val="14"/>
        </w:trPr>
        <w:tc>
          <w:tcPr>
            <w:tcW w:w="763" w:type="dxa"/>
            <w:tcBorders>
              <w:top w:val="nil"/>
              <w:left w:val="nil"/>
              <w:bottom w:val="single" w:sz="15" w:space="0" w:color="000000"/>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b/>
                <w:sz w:val="20"/>
                <w:szCs w:val="20"/>
              </w:rPr>
              <w:t>Type</w:t>
            </w:r>
          </w:p>
        </w:tc>
        <w:tc>
          <w:tcPr>
            <w:tcW w:w="2444" w:type="dxa"/>
            <w:tcBorders>
              <w:top w:val="nil"/>
              <w:left w:val="nil"/>
              <w:bottom w:val="single" w:sz="15" w:space="0" w:color="000000"/>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b/>
                <w:sz w:val="20"/>
                <w:szCs w:val="20"/>
              </w:rPr>
              <w:t>Nutrient</w:t>
            </w:r>
          </w:p>
        </w:tc>
        <w:tc>
          <w:tcPr>
            <w:tcW w:w="791" w:type="dxa"/>
            <w:tcBorders>
              <w:top w:val="nil"/>
              <w:left w:val="nil"/>
              <w:bottom w:val="single" w:sz="15" w:space="0" w:color="000000"/>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b/>
                <w:sz w:val="20"/>
                <w:szCs w:val="20"/>
              </w:rPr>
              <w:t>Units</w:t>
            </w:r>
          </w:p>
        </w:tc>
        <w:tc>
          <w:tcPr>
            <w:tcW w:w="1138" w:type="dxa"/>
            <w:tcBorders>
              <w:top w:val="nil"/>
              <w:left w:val="nil"/>
              <w:bottom w:val="single" w:sz="15" w:space="0" w:color="000000"/>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b/>
                <w:sz w:val="20"/>
                <w:szCs w:val="20"/>
              </w:rPr>
              <w:t>AR source</w:t>
            </w:r>
          </w:p>
        </w:tc>
        <w:tc>
          <w:tcPr>
            <w:tcW w:w="2944" w:type="dxa"/>
            <w:tcBorders>
              <w:top w:val="nil"/>
              <w:left w:val="nil"/>
              <w:bottom w:val="single" w:sz="15" w:space="0" w:color="000000"/>
              <w:right w:val="nil"/>
            </w:tcBorders>
            <w:tcMar>
              <w:top w:w="1" w:type="dxa"/>
              <w:left w:w="1" w:type="dxa"/>
              <w:bottom w:w="1" w:type="dxa"/>
              <w:right w:w="1" w:type="dxa"/>
            </w:tcMar>
            <w:vAlign w:val="bottom"/>
          </w:tcPr>
          <w:p w:rsidR="0061716F" w:rsidRDefault="0048781D">
            <w:pPr>
              <w:widowControl w:val="0"/>
              <w:rPr>
                <w:sz w:val="20"/>
                <w:szCs w:val="20"/>
              </w:rPr>
            </w:pPr>
            <w:r>
              <w:rPr>
                <w:b/>
                <w:sz w:val="20"/>
                <w:szCs w:val="20"/>
              </w:rPr>
              <w:t>(billions of people)</w:t>
            </w:r>
          </w:p>
        </w:tc>
        <w:tc>
          <w:tcPr>
            <w:tcW w:w="1277" w:type="dxa"/>
            <w:tcBorders>
              <w:top w:val="nil"/>
              <w:left w:val="nil"/>
              <w:bottom w:val="single" w:sz="15" w:space="0" w:color="000000"/>
              <w:right w:val="nil"/>
            </w:tcBorders>
            <w:tcMar>
              <w:top w:w="1" w:type="dxa"/>
              <w:left w:w="1" w:type="dxa"/>
              <w:bottom w:w="1" w:type="dxa"/>
              <w:right w:w="1" w:type="dxa"/>
            </w:tcMar>
            <w:vAlign w:val="bottom"/>
          </w:tcPr>
          <w:p w:rsidR="0061716F" w:rsidRDefault="0048781D">
            <w:pPr>
              <w:widowControl w:val="0"/>
              <w:rPr>
                <w:sz w:val="20"/>
                <w:szCs w:val="20"/>
              </w:rPr>
            </w:pPr>
            <w:r>
              <w:rPr>
                <w:b/>
                <w:sz w:val="20"/>
                <w:szCs w:val="20"/>
              </w:rPr>
              <w:t>% of people</w:t>
            </w:r>
          </w:p>
        </w:tc>
      </w:tr>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Vitamin E</w:t>
            </w:r>
          </w:p>
        </w:tc>
        <w:tc>
          <w:tcPr>
            <w:tcW w:w="791"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sz w:val="20"/>
                <w:szCs w:val="20"/>
              </w:rPr>
              <w:t>5.0</w:t>
            </w:r>
          </w:p>
        </w:tc>
        <w:tc>
          <w:tcPr>
            <w:tcW w:w="1277"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sz w:val="20"/>
                <w:szCs w:val="20"/>
              </w:rPr>
              <w:t>66.9%</w:t>
            </w:r>
          </w:p>
        </w:tc>
      </w:tr>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Riboflavin (vitamin B</w:t>
            </w:r>
            <w:r>
              <w:rPr>
                <w:rFonts w:ascii="Calibri" w:eastAsia="Calibri" w:hAnsi="Calibri" w:cs="Calibri"/>
                <w:sz w:val="20"/>
                <w:szCs w:val="20"/>
                <w:vertAlign w:val="subscript"/>
              </w:rPr>
              <w:t>2</w:t>
            </w:r>
            <w:r>
              <w:rPr>
                <w:rFonts w:ascii="Calibri" w:eastAsia="Calibri" w:hAnsi="Calibri" w:cs="Calibri"/>
                <w:sz w:val="20"/>
                <w:szCs w:val="20"/>
              </w:rPr>
              <w:t>)</w:t>
            </w:r>
          </w:p>
        </w:tc>
        <w:tc>
          <w:tcPr>
            <w:tcW w:w="791"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sz w:val="20"/>
                <w:szCs w:val="20"/>
              </w:rPr>
              <w:t>4.1</w:t>
            </w:r>
          </w:p>
        </w:tc>
        <w:tc>
          <w:tcPr>
            <w:tcW w:w="1277"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sz w:val="20"/>
                <w:szCs w:val="20"/>
              </w:rPr>
              <w:t>54.5%</w:t>
            </w:r>
          </w:p>
        </w:tc>
      </w:tr>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Folate (vitamin B</w:t>
            </w:r>
            <w:r>
              <w:rPr>
                <w:rFonts w:ascii="Calibri" w:eastAsia="Calibri" w:hAnsi="Calibri" w:cs="Calibri"/>
                <w:sz w:val="20"/>
                <w:szCs w:val="20"/>
                <w:vertAlign w:val="subscript"/>
              </w:rPr>
              <w:t>9</w:t>
            </w:r>
            <w:r>
              <w:rPr>
                <w:rFonts w:ascii="Calibri" w:eastAsia="Calibri" w:hAnsi="Calibri" w:cs="Calibri"/>
                <w:sz w:val="20"/>
                <w:szCs w:val="20"/>
              </w:rPr>
              <w:t>)</w:t>
            </w:r>
          </w:p>
        </w:tc>
        <w:tc>
          <w:tcPr>
            <w:tcW w:w="791"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µg DFE</w:t>
            </w:r>
          </w:p>
        </w:tc>
        <w:tc>
          <w:tcPr>
            <w:tcW w:w="1138"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4.1</w:t>
            </w:r>
          </w:p>
        </w:tc>
        <w:tc>
          <w:tcPr>
            <w:tcW w:w="1277"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53.8%</w:t>
            </w:r>
          </w:p>
        </w:tc>
      </w:tr>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Vitamin C</w:t>
            </w:r>
          </w:p>
        </w:tc>
        <w:tc>
          <w:tcPr>
            <w:tcW w:w="791"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4.0</w:t>
            </w:r>
          </w:p>
        </w:tc>
        <w:tc>
          <w:tcPr>
            <w:tcW w:w="1277"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53.3%</w:t>
            </w:r>
          </w:p>
        </w:tc>
      </w:tr>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Vitamin B</w:t>
            </w:r>
            <w:r>
              <w:rPr>
                <w:rFonts w:ascii="Calibri" w:eastAsia="Calibri" w:hAnsi="Calibri" w:cs="Calibri"/>
                <w:sz w:val="20"/>
                <w:szCs w:val="20"/>
                <w:vertAlign w:val="subscript"/>
              </w:rPr>
              <w:t>6</w:t>
            </w:r>
            <w:r>
              <w:rPr>
                <w:rFonts w:ascii="Calibri" w:eastAsia="Calibri" w:hAnsi="Calibri" w:cs="Calibri"/>
                <w:sz w:val="20"/>
                <w:szCs w:val="20"/>
              </w:rPr>
              <w:t xml:space="preserve"> (pyridoxine)</w:t>
            </w:r>
          </w:p>
        </w:tc>
        <w:tc>
          <w:tcPr>
            <w:tcW w:w="791"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3.9</w:t>
            </w:r>
          </w:p>
        </w:tc>
        <w:tc>
          <w:tcPr>
            <w:tcW w:w="1277"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51.5%</w:t>
            </w:r>
          </w:p>
        </w:tc>
      </w:tr>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Vitamin A (RAE)</w:t>
            </w:r>
          </w:p>
        </w:tc>
        <w:tc>
          <w:tcPr>
            <w:tcW w:w="791"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µg DFE</w:t>
            </w:r>
          </w:p>
        </w:tc>
        <w:tc>
          <w:tcPr>
            <w:tcW w:w="1138"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3.6</w:t>
            </w:r>
          </w:p>
        </w:tc>
        <w:tc>
          <w:tcPr>
            <w:tcW w:w="1277"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47.9%</w:t>
            </w:r>
          </w:p>
        </w:tc>
      </w:tr>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Vitamin B</w:t>
            </w:r>
            <w:r>
              <w:rPr>
                <w:rFonts w:ascii="Calibri" w:eastAsia="Calibri" w:hAnsi="Calibri" w:cs="Calibri"/>
                <w:sz w:val="20"/>
                <w:szCs w:val="20"/>
                <w:vertAlign w:val="subscript"/>
              </w:rPr>
              <w:t>12</w:t>
            </w:r>
            <w:r>
              <w:rPr>
                <w:rFonts w:ascii="Calibri" w:eastAsia="Calibri" w:hAnsi="Calibri" w:cs="Calibri"/>
                <w:sz w:val="20"/>
                <w:szCs w:val="20"/>
              </w:rPr>
              <w:t xml:space="preserve"> (cobalamin)</w:t>
            </w:r>
          </w:p>
        </w:tc>
        <w:tc>
          <w:tcPr>
            <w:tcW w:w="791"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proofErr w:type="spellStart"/>
            <w:r>
              <w:rPr>
                <w:rFonts w:ascii="Calibri" w:eastAsia="Calibri" w:hAnsi="Calibri" w:cs="Calibri"/>
                <w:sz w:val="20"/>
                <w:szCs w:val="20"/>
              </w:rPr>
              <w:t>ug</w:t>
            </w:r>
            <w:proofErr w:type="spellEnd"/>
          </w:p>
        </w:tc>
        <w:tc>
          <w:tcPr>
            <w:tcW w:w="1138"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3.0</w:t>
            </w:r>
          </w:p>
        </w:tc>
        <w:tc>
          <w:tcPr>
            <w:tcW w:w="1277"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39.4%</w:t>
            </w:r>
          </w:p>
        </w:tc>
      </w:tr>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Thiamin (vitamin B</w:t>
            </w:r>
            <w:r>
              <w:rPr>
                <w:rFonts w:ascii="Calibri" w:eastAsia="Calibri" w:hAnsi="Calibri" w:cs="Calibri"/>
                <w:sz w:val="20"/>
                <w:szCs w:val="20"/>
                <w:vertAlign w:val="subscript"/>
              </w:rPr>
              <w:t>1</w:t>
            </w:r>
            <w:r>
              <w:rPr>
                <w:rFonts w:ascii="Calibri" w:eastAsia="Calibri" w:hAnsi="Calibri" w:cs="Calibri"/>
                <w:sz w:val="20"/>
                <w:szCs w:val="20"/>
              </w:rPr>
              <w:t>)</w:t>
            </w:r>
          </w:p>
        </w:tc>
        <w:tc>
          <w:tcPr>
            <w:tcW w:w="791"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2.2</w:t>
            </w:r>
          </w:p>
        </w:tc>
        <w:tc>
          <w:tcPr>
            <w:tcW w:w="1277"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29.7%</w:t>
            </w:r>
          </w:p>
        </w:tc>
      </w:tr>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Niacin (vitamin B</w:t>
            </w:r>
            <w:r>
              <w:rPr>
                <w:rFonts w:ascii="Calibri" w:eastAsia="Calibri" w:hAnsi="Calibri" w:cs="Calibri"/>
                <w:sz w:val="20"/>
                <w:szCs w:val="20"/>
                <w:vertAlign w:val="subscript"/>
              </w:rPr>
              <w:t>3</w:t>
            </w:r>
            <w:r>
              <w:rPr>
                <w:rFonts w:ascii="Calibri" w:eastAsia="Calibri" w:hAnsi="Calibri" w:cs="Calibri"/>
                <w:sz w:val="20"/>
                <w:szCs w:val="20"/>
              </w:rPr>
              <w:t>)</w:t>
            </w:r>
          </w:p>
        </w:tc>
        <w:tc>
          <w:tcPr>
            <w:tcW w:w="791"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1.7</w:t>
            </w:r>
          </w:p>
        </w:tc>
        <w:tc>
          <w:tcPr>
            <w:tcW w:w="1277"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22.1%</w:t>
            </w:r>
          </w:p>
        </w:tc>
      </w:tr>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Iodine</w:t>
            </w:r>
          </w:p>
        </w:tc>
        <w:tc>
          <w:tcPr>
            <w:tcW w:w="791"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proofErr w:type="spellStart"/>
            <w:r>
              <w:rPr>
                <w:rFonts w:ascii="Calibri" w:eastAsia="Calibri" w:hAnsi="Calibri" w:cs="Calibri"/>
                <w:sz w:val="20"/>
                <w:szCs w:val="20"/>
              </w:rPr>
              <w:t>ug</w:t>
            </w:r>
            <w:proofErr w:type="spellEnd"/>
          </w:p>
        </w:tc>
        <w:tc>
          <w:tcPr>
            <w:tcW w:w="1138"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5.1</w:t>
            </w:r>
          </w:p>
        </w:tc>
        <w:tc>
          <w:tcPr>
            <w:tcW w:w="1277"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67.5%</w:t>
            </w:r>
          </w:p>
        </w:tc>
      </w:tr>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Calcium</w:t>
            </w:r>
          </w:p>
        </w:tc>
        <w:tc>
          <w:tcPr>
            <w:tcW w:w="791"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5.0</w:t>
            </w:r>
          </w:p>
        </w:tc>
        <w:tc>
          <w:tcPr>
            <w:tcW w:w="1277"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66.3%</w:t>
            </w:r>
          </w:p>
        </w:tc>
      </w:tr>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Iron</w:t>
            </w:r>
          </w:p>
        </w:tc>
        <w:tc>
          <w:tcPr>
            <w:tcW w:w="791"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4.9</w:t>
            </w:r>
          </w:p>
        </w:tc>
        <w:tc>
          <w:tcPr>
            <w:tcW w:w="1277"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64.8%</w:t>
            </w:r>
          </w:p>
        </w:tc>
      </w:tr>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Zinc</w:t>
            </w:r>
          </w:p>
        </w:tc>
        <w:tc>
          <w:tcPr>
            <w:tcW w:w="791"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3.5</w:t>
            </w:r>
          </w:p>
        </w:tc>
        <w:tc>
          <w:tcPr>
            <w:tcW w:w="1277"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46.2%</w:t>
            </w:r>
          </w:p>
        </w:tc>
      </w:tr>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Selenium</w:t>
            </w:r>
          </w:p>
        </w:tc>
        <w:tc>
          <w:tcPr>
            <w:tcW w:w="791"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proofErr w:type="spellStart"/>
            <w:r>
              <w:rPr>
                <w:rFonts w:ascii="Calibri" w:eastAsia="Calibri" w:hAnsi="Calibri" w:cs="Calibri"/>
                <w:sz w:val="20"/>
                <w:szCs w:val="20"/>
              </w:rPr>
              <w:t>ug</w:t>
            </w:r>
            <w:proofErr w:type="spellEnd"/>
          </w:p>
        </w:tc>
        <w:tc>
          <w:tcPr>
            <w:tcW w:w="1138"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2.8</w:t>
            </w:r>
          </w:p>
        </w:tc>
        <w:tc>
          <w:tcPr>
            <w:tcW w:w="1277"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37.6%</w:t>
            </w:r>
          </w:p>
        </w:tc>
      </w:tr>
      <w:tr w:rsidR="0061716F">
        <w:trPr>
          <w:trHeight w:val="14"/>
        </w:trPr>
        <w:tc>
          <w:tcPr>
            <w:tcW w:w="763"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Magnesium</w:t>
            </w:r>
          </w:p>
        </w:tc>
        <w:tc>
          <w:tcPr>
            <w:tcW w:w="791"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2.4</w:t>
            </w:r>
          </w:p>
        </w:tc>
        <w:tc>
          <w:tcPr>
            <w:tcW w:w="1277" w:type="dxa"/>
            <w:tcBorders>
              <w:top w:val="nil"/>
              <w:left w:val="nil"/>
              <w:bottom w:val="nil"/>
              <w:right w:val="nil"/>
            </w:tcBorders>
            <w:tcMar>
              <w:top w:w="1" w:type="dxa"/>
              <w:left w:w="1" w:type="dxa"/>
              <w:bottom w:w="1" w:type="dxa"/>
              <w:right w:w="1" w:type="dxa"/>
            </w:tcMar>
            <w:vAlign w:val="bottom"/>
          </w:tcPr>
          <w:p w:rsidR="0061716F" w:rsidRDefault="0048781D">
            <w:pPr>
              <w:widowControl w:val="0"/>
              <w:rPr>
                <w:sz w:val="20"/>
                <w:szCs w:val="20"/>
              </w:rPr>
            </w:pPr>
            <w:r>
              <w:rPr>
                <w:rFonts w:ascii="Calibri" w:eastAsia="Calibri" w:hAnsi="Calibri" w:cs="Calibri"/>
                <w:sz w:val="20"/>
                <w:szCs w:val="20"/>
              </w:rPr>
              <w:t>31.4%</w:t>
            </w:r>
          </w:p>
        </w:tc>
      </w:tr>
    </w:tbl>
    <w:p w:rsidR="0061716F" w:rsidRDefault="0061716F">
      <w:pPr>
        <w:widowControl w:val="0"/>
        <w:pBdr>
          <w:top w:val="nil"/>
          <w:left w:val="nil"/>
          <w:bottom w:val="nil"/>
          <w:right w:val="nil"/>
          <w:between w:val="nil"/>
        </w:pBdr>
      </w:pPr>
    </w:p>
    <w:p w:rsidR="0061716F" w:rsidRDefault="0048781D">
      <w:pPr>
        <w:rPr>
          <w:b/>
        </w:rPr>
      </w:pPr>
      <w:r>
        <w:br w:type="page"/>
      </w:r>
    </w:p>
    <w:p w:rsidR="0061716F" w:rsidRDefault="0048781D">
      <w:r>
        <w:rPr>
          <w:b/>
        </w:rPr>
        <w:lastRenderedPageBreak/>
        <w:t xml:space="preserve">Table S2. </w:t>
      </w:r>
      <w:r>
        <w:t xml:space="preserve">Dietary factors included in the Global Dietary Database (GDD). *** animal-source food used to derive average requirements for iron (see </w:t>
      </w:r>
      <w:r>
        <w:rPr>
          <w:b/>
        </w:rPr>
        <w:t>Figures S7 and S9</w:t>
      </w:r>
      <w:r>
        <w:t>).</w:t>
      </w:r>
    </w:p>
    <w:p w:rsidR="0061716F" w:rsidRDefault="0061716F">
      <w:pPr>
        <w:rPr>
          <w:b/>
          <w:sz w:val="20"/>
          <w:szCs w:val="20"/>
        </w:rPr>
      </w:pPr>
    </w:p>
    <w:tbl>
      <w:tblPr>
        <w:tblStyle w:val="a0"/>
        <w:tblW w:w="6810" w:type="dxa"/>
        <w:tblBorders>
          <w:top w:val="nil"/>
          <w:left w:val="nil"/>
          <w:bottom w:val="nil"/>
          <w:right w:val="nil"/>
          <w:insideH w:val="nil"/>
          <w:insideV w:val="nil"/>
        </w:tblBorders>
        <w:tblLayout w:type="fixed"/>
        <w:tblLook w:val="0600" w:firstRow="0" w:lastRow="0" w:firstColumn="0" w:lastColumn="0" w:noHBand="1" w:noVBand="1"/>
      </w:tblPr>
      <w:tblGrid>
        <w:gridCol w:w="1620"/>
        <w:gridCol w:w="3660"/>
        <w:gridCol w:w="1530"/>
      </w:tblGrid>
      <w:tr w:rsidR="0061716F">
        <w:tc>
          <w:tcPr>
            <w:tcW w:w="1620" w:type="dxa"/>
            <w:tcBorders>
              <w:top w:val="nil"/>
              <w:left w:val="nil"/>
              <w:bottom w:val="single" w:sz="4" w:space="0" w:color="000000"/>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b/>
                <w:sz w:val="18"/>
                <w:szCs w:val="18"/>
              </w:rPr>
            </w:pPr>
            <w:r>
              <w:rPr>
                <w:b/>
                <w:sz w:val="18"/>
                <w:szCs w:val="18"/>
              </w:rPr>
              <w:t>Type</w:t>
            </w:r>
          </w:p>
        </w:tc>
        <w:tc>
          <w:tcPr>
            <w:tcW w:w="3660" w:type="dxa"/>
            <w:tcBorders>
              <w:top w:val="nil"/>
              <w:left w:val="nil"/>
              <w:bottom w:val="single" w:sz="4" w:space="0" w:color="000000"/>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b/>
                <w:sz w:val="18"/>
                <w:szCs w:val="18"/>
              </w:rPr>
            </w:pPr>
            <w:r>
              <w:rPr>
                <w:b/>
                <w:sz w:val="18"/>
                <w:szCs w:val="18"/>
              </w:rPr>
              <w:t>Factor</w:t>
            </w:r>
          </w:p>
        </w:tc>
        <w:tc>
          <w:tcPr>
            <w:tcW w:w="1530" w:type="dxa"/>
            <w:tcBorders>
              <w:top w:val="nil"/>
              <w:left w:val="nil"/>
              <w:bottom w:val="single" w:sz="4" w:space="0" w:color="000000"/>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b/>
                <w:sz w:val="18"/>
                <w:szCs w:val="18"/>
              </w:rPr>
            </w:pPr>
            <w:r>
              <w:rPr>
                <w:b/>
                <w:sz w:val="18"/>
                <w:szCs w:val="18"/>
              </w:rPr>
              <w:t>Units</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Folate</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µg DFE</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 A (RAE)</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µg RAE</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vertAlign w:val="subscript"/>
              </w:rPr>
            </w:pPr>
            <w:r>
              <w:rPr>
                <w:sz w:val="18"/>
                <w:szCs w:val="18"/>
              </w:rPr>
              <w:t>Vitamin B</w:t>
            </w:r>
            <w:r>
              <w:rPr>
                <w:sz w:val="18"/>
                <w:szCs w:val="18"/>
                <w:vertAlign w:val="subscript"/>
              </w:rPr>
              <w:t>1</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 B</w:t>
            </w:r>
            <w:r>
              <w:rPr>
                <w:sz w:val="18"/>
                <w:szCs w:val="18"/>
                <w:vertAlign w:val="subscript"/>
              </w:rPr>
              <w:t>12</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µg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 B</w:t>
            </w:r>
            <w:r>
              <w:rPr>
                <w:sz w:val="18"/>
                <w:szCs w:val="18"/>
                <w:vertAlign w:val="subscript"/>
              </w:rPr>
              <w:t>2</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 B</w:t>
            </w:r>
            <w:r>
              <w:rPr>
                <w:sz w:val="18"/>
                <w:szCs w:val="18"/>
                <w:vertAlign w:val="subscript"/>
              </w:rPr>
              <w:t>3</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 B</w:t>
            </w:r>
            <w:r>
              <w:rPr>
                <w:sz w:val="18"/>
                <w:szCs w:val="18"/>
                <w:vertAlign w:val="subscript"/>
              </w:rPr>
              <w:t>6</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 C</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 D</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µg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Vitamin E</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Calcium</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Iodine</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µg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Iron</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Magnesium</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Potassium</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Selenium</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µg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Zinc</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Fatty acids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Monounsaturated fatty acids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 of total kcal</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Fatty acids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Plant omega-3 fatty acids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Fatty acids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Saturated fat</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 of total kcal</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Fatty acids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Seafood omega-3 fatty acids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Fatty acids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Total omega-6 fatty acids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 of total kcal</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Added sugars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 of total kcal</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Dietary cholesterol</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Dietary fiber</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Dietary sodium</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Total carbohydrates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 of total kcal</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Total protein</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Beverages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Coffee</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cups</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Beverages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Fruit juices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Beverages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Sugar-sweetened beverages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Beverages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Tea</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cups</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Beverages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Total milk</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Beans and legumes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Cheese</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Eggs ***</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Fruits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Non-starchy vegetables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Nuts and seeds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Other starchy vegetables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Potatoes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Refined grains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Total processed meats ***</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Total seafoods ***</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Unprocessed red meats ***</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Whole grains</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r w:rsidR="0061716F">
        <w:tc>
          <w:tcPr>
            <w:tcW w:w="162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Yoghurt (including fermented milk)</w:t>
            </w:r>
          </w:p>
        </w:tc>
        <w:tc>
          <w:tcPr>
            <w:tcW w:w="153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rPr>
                <w:sz w:val="18"/>
                <w:szCs w:val="18"/>
              </w:rPr>
            </w:pPr>
            <w:r>
              <w:rPr>
                <w:sz w:val="18"/>
                <w:szCs w:val="18"/>
              </w:rPr>
              <w:t>g</w:t>
            </w:r>
          </w:p>
        </w:tc>
      </w:tr>
    </w:tbl>
    <w:p w:rsidR="0061716F" w:rsidRDefault="0048781D">
      <w:pPr>
        <w:rPr>
          <w:b/>
        </w:rPr>
      </w:pPr>
      <w:r>
        <w:br w:type="page"/>
      </w:r>
    </w:p>
    <w:p w:rsidR="0061716F" w:rsidRDefault="0061716F"/>
    <w:p w:rsidR="0061716F" w:rsidRDefault="0048781D">
      <w:r>
        <w:rPr>
          <w:b/>
        </w:rPr>
        <w:t>Table S3.</w:t>
      </w:r>
      <w:r>
        <w:t xml:space="preserve"> Mapping Global Dietary Database (GDD) age groups to match the World Bank (WB)</w:t>
      </w:r>
      <w:hyperlink r:id="rId7">
        <w:r>
          <w:rPr>
            <w:vertAlign w:val="superscript"/>
          </w:rPr>
          <w:t>26</w:t>
        </w:r>
      </w:hyperlink>
      <w:r>
        <w:t xml:space="preserve"> age groups.</w:t>
      </w:r>
    </w:p>
    <w:p w:rsidR="0061716F" w:rsidRDefault="0061716F"/>
    <w:tbl>
      <w:tblPr>
        <w:tblStyle w:val="a1"/>
        <w:tblW w:w="3435" w:type="dxa"/>
        <w:tblBorders>
          <w:top w:val="nil"/>
          <w:left w:val="nil"/>
          <w:bottom w:val="nil"/>
          <w:right w:val="nil"/>
          <w:insideH w:val="nil"/>
          <w:insideV w:val="nil"/>
        </w:tblBorders>
        <w:tblLayout w:type="fixed"/>
        <w:tblLook w:val="0600" w:firstRow="0" w:lastRow="0" w:firstColumn="0" w:lastColumn="0" w:noHBand="1" w:noVBand="1"/>
      </w:tblPr>
      <w:tblGrid>
        <w:gridCol w:w="1785"/>
        <w:gridCol w:w="1650"/>
      </w:tblGrid>
      <w:tr w:rsidR="0061716F">
        <w:tc>
          <w:tcPr>
            <w:tcW w:w="1785" w:type="dxa"/>
            <w:tcBorders>
              <w:top w:val="single" w:sz="4" w:space="0" w:color="000000"/>
              <w:left w:val="nil"/>
              <w:bottom w:val="single" w:sz="16" w:space="0" w:color="000000"/>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b/>
                <w:sz w:val="24"/>
                <w:szCs w:val="24"/>
              </w:rPr>
              <w:t>GDD age group</w:t>
            </w:r>
          </w:p>
        </w:tc>
        <w:tc>
          <w:tcPr>
            <w:tcW w:w="1650" w:type="dxa"/>
            <w:tcBorders>
              <w:top w:val="single" w:sz="4" w:space="0" w:color="000000"/>
              <w:left w:val="nil"/>
              <w:bottom w:val="single" w:sz="16" w:space="0" w:color="000000"/>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b/>
                <w:sz w:val="24"/>
                <w:szCs w:val="24"/>
              </w:rPr>
              <w:t>WB age group</w:t>
            </w:r>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0-11 </w:t>
            </w:r>
            <w:proofErr w:type="spellStart"/>
            <w:r>
              <w:rPr>
                <w:sz w:val="24"/>
                <w:szCs w:val="24"/>
              </w:rPr>
              <w:t>mo</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0-4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12-23 </w:t>
            </w:r>
            <w:proofErr w:type="spellStart"/>
            <w:r>
              <w:rPr>
                <w:sz w:val="24"/>
                <w:szCs w:val="24"/>
              </w:rPr>
              <w:t>mo</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0-4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2-5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0-4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6-10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5-9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11-14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10-14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15-19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15-19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20-24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20-24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25-29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25-29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30-34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30-34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35-39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35-39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40-44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40-44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45-49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45-49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50-54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50-54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55-59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55-59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60-64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60-64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65-69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65-69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70-74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70-74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75-79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75-79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80-84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80+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85-89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80+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90-94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80+ </w:t>
            </w:r>
            <w:proofErr w:type="spellStart"/>
            <w:r>
              <w:rPr>
                <w:sz w:val="24"/>
                <w:szCs w:val="24"/>
              </w:rPr>
              <w:t>yr</w:t>
            </w:r>
            <w:proofErr w:type="spellEnd"/>
          </w:p>
        </w:tc>
      </w:tr>
      <w:tr w:rsidR="0061716F">
        <w:tc>
          <w:tcPr>
            <w:tcW w:w="1785"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95+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61716F" w:rsidRDefault="0048781D">
            <w:pPr>
              <w:widowControl w:val="0"/>
              <w:pBdr>
                <w:top w:val="nil"/>
                <w:left w:val="nil"/>
                <w:bottom w:val="nil"/>
                <w:right w:val="nil"/>
                <w:between w:val="nil"/>
              </w:pBdr>
              <w:spacing w:line="240" w:lineRule="auto"/>
            </w:pPr>
            <w:r>
              <w:rPr>
                <w:sz w:val="24"/>
                <w:szCs w:val="24"/>
              </w:rPr>
              <w:t xml:space="preserve">80+ </w:t>
            </w:r>
            <w:proofErr w:type="spellStart"/>
            <w:r>
              <w:rPr>
                <w:sz w:val="24"/>
                <w:szCs w:val="24"/>
              </w:rPr>
              <w:t>yr</w:t>
            </w:r>
            <w:proofErr w:type="spellEnd"/>
          </w:p>
        </w:tc>
      </w:tr>
    </w:tbl>
    <w:p w:rsidR="0061716F" w:rsidRDefault="0061716F"/>
    <w:p w:rsidR="0061716F" w:rsidRDefault="0048781D">
      <w:pPr>
        <w:rPr>
          <w:b/>
        </w:rPr>
      </w:pPr>
      <w:r>
        <w:br w:type="page"/>
      </w:r>
    </w:p>
    <w:p w:rsidR="0061716F" w:rsidRDefault="0048781D">
      <w:r>
        <w:rPr>
          <w:b/>
        </w:rPr>
        <w:lastRenderedPageBreak/>
        <w:t>Table S4.</w:t>
      </w:r>
      <w:r>
        <w:t xml:space="preserve"> Key assumptions made throughout analysis.</w:t>
      </w:r>
    </w:p>
    <w:p w:rsidR="0061716F" w:rsidRDefault="0061716F"/>
    <w:tbl>
      <w:tblPr>
        <w:tblStyle w:val="a2"/>
        <w:tblW w:w="7995" w:type="dxa"/>
        <w:tblBorders>
          <w:top w:val="nil"/>
          <w:left w:val="nil"/>
          <w:bottom w:val="nil"/>
          <w:right w:val="nil"/>
          <w:insideH w:val="nil"/>
          <w:insideV w:val="nil"/>
        </w:tblBorders>
        <w:tblLayout w:type="fixed"/>
        <w:tblLook w:val="0600" w:firstRow="0" w:lastRow="0" w:firstColumn="0" w:lastColumn="0" w:noHBand="1" w:noVBand="1"/>
      </w:tblPr>
      <w:tblGrid>
        <w:gridCol w:w="285"/>
        <w:gridCol w:w="7710"/>
      </w:tblGrid>
      <w:tr w:rsidR="0061716F">
        <w:trPr>
          <w:trHeight w:val="144"/>
        </w:trPr>
        <w:tc>
          <w:tcPr>
            <w:tcW w:w="285" w:type="dxa"/>
            <w:tcBorders>
              <w:top w:val="single" w:sz="4" w:space="0" w:color="000000"/>
              <w:left w:val="nil"/>
              <w:bottom w:val="single" w:sz="16" w:space="0" w:color="000000"/>
              <w:right w:val="nil"/>
            </w:tcBorders>
            <w:tcMar>
              <w:top w:w="20" w:type="dxa"/>
              <w:left w:w="20" w:type="dxa"/>
              <w:bottom w:w="100" w:type="dxa"/>
              <w:right w:w="20" w:type="dxa"/>
            </w:tcMar>
            <w:vAlign w:val="bottom"/>
          </w:tcPr>
          <w:p w:rsidR="0061716F" w:rsidRDefault="0048781D">
            <w:pPr>
              <w:widowControl w:val="0"/>
              <w:rPr>
                <w:sz w:val="20"/>
                <w:szCs w:val="20"/>
              </w:rPr>
            </w:pPr>
            <w:r>
              <w:rPr>
                <w:b/>
                <w:sz w:val="20"/>
                <w:szCs w:val="20"/>
              </w:rPr>
              <w:t>#</w:t>
            </w:r>
          </w:p>
        </w:tc>
        <w:tc>
          <w:tcPr>
            <w:tcW w:w="7710" w:type="dxa"/>
            <w:tcBorders>
              <w:top w:val="single" w:sz="4" w:space="0" w:color="000000"/>
              <w:left w:val="nil"/>
              <w:bottom w:val="single" w:sz="16" w:space="0" w:color="000000"/>
              <w:right w:val="nil"/>
            </w:tcBorders>
            <w:tcMar>
              <w:top w:w="20" w:type="dxa"/>
              <w:left w:w="20" w:type="dxa"/>
              <w:bottom w:w="100" w:type="dxa"/>
              <w:right w:w="20" w:type="dxa"/>
            </w:tcMar>
            <w:vAlign w:val="bottom"/>
          </w:tcPr>
          <w:p w:rsidR="0061716F" w:rsidRDefault="0048781D">
            <w:pPr>
              <w:widowControl w:val="0"/>
              <w:rPr>
                <w:sz w:val="20"/>
                <w:szCs w:val="20"/>
              </w:rPr>
            </w:pPr>
            <w:r>
              <w:rPr>
                <w:b/>
                <w:sz w:val="20"/>
                <w:szCs w:val="20"/>
              </w:rPr>
              <w:t>Assumption</w:t>
            </w:r>
          </w:p>
        </w:tc>
      </w:tr>
      <w:tr w:rsidR="0061716F">
        <w:trPr>
          <w:trHeight w:val="144"/>
        </w:trPr>
        <w:tc>
          <w:tcPr>
            <w:tcW w:w="285" w:type="dxa"/>
            <w:tcBorders>
              <w:top w:val="nil"/>
              <w:left w:val="nil"/>
              <w:bottom w:val="nil"/>
              <w:right w:val="nil"/>
            </w:tcBorders>
            <w:tcMar>
              <w:top w:w="20" w:type="dxa"/>
              <w:left w:w="20" w:type="dxa"/>
              <w:bottom w:w="100" w:type="dxa"/>
              <w:right w:w="20" w:type="dxa"/>
            </w:tcMar>
          </w:tcPr>
          <w:p w:rsidR="0061716F" w:rsidRDefault="0048781D">
            <w:pPr>
              <w:widowControl w:val="0"/>
              <w:rPr>
                <w:sz w:val="20"/>
                <w:szCs w:val="20"/>
              </w:rPr>
            </w:pPr>
            <w:r>
              <w:rPr>
                <w:sz w:val="20"/>
                <w:szCs w:val="20"/>
              </w:rPr>
              <w:t>1</w:t>
            </w:r>
          </w:p>
        </w:tc>
        <w:tc>
          <w:tcPr>
            <w:tcW w:w="7710" w:type="dxa"/>
            <w:tcBorders>
              <w:top w:val="nil"/>
              <w:left w:val="nil"/>
              <w:bottom w:val="nil"/>
              <w:right w:val="nil"/>
            </w:tcBorders>
            <w:tcMar>
              <w:top w:w="20" w:type="dxa"/>
              <w:left w:w="20" w:type="dxa"/>
              <w:bottom w:w="100" w:type="dxa"/>
              <w:right w:w="20" w:type="dxa"/>
            </w:tcMar>
          </w:tcPr>
          <w:p w:rsidR="0061716F" w:rsidRDefault="0048781D">
            <w:pPr>
              <w:widowControl w:val="0"/>
              <w:rPr>
                <w:sz w:val="20"/>
                <w:szCs w:val="20"/>
              </w:rPr>
            </w:pPr>
            <w:r>
              <w:rPr>
                <w:sz w:val="20"/>
                <w:szCs w:val="20"/>
              </w:rPr>
              <w:t xml:space="preserve">Intake distribution shapes for subnational groups without </w:t>
            </w:r>
            <w:proofErr w:type="spellStart"/>
            <w:r>
              <w:rPr>
                <w:sz w:val="20"/>
                <w:szCs w:val="20"/>
              </w:rPr>
              <w:t>nutriR</w:t>
            </w:r>
            <w:proofErr w:type="spellEnd"/>
            <w:r>
              <w:rPr>
                <w:sz w:val="20"/>
                <w:szCs w:val="20"/>
              </w:rPr>
              <w:t xml:space="preserve"> data can be borrowed, in order of preference, from the nearest age-sex group, the opposite sex, or the country with the most similar diet.</w:t>
            </w:r>
          </w:p>
        </w:tc>
      </w:tr>
      <w:tr w:rsidR="0061716F">
        <w:trPr>
          <w:trHeight w:val="144"/>
        </w:trPr>
        <w:tc>
          <w:tcPr>
            <w:tcW w:w="285" w:type="dxa"/>
            <w:tcBorders>
              <w:top w:val="nil"/>
              <w:left w:val="nil"/>
              <w:bottom w:val="nil"/>
              <w:right w:val="nil"/>
            </w:tcBorders>
            <w:tcMar>
              <w:top w:w="20" w:type="dxa"/>
              <w:left w:w="20" w:type="dxa"/>
              <w:bottom w:w="100" w:type="dxa"/>
              <w:right w:w="20" w:type="dxa"/>
            </w:tcMar>
          </w:tcPr>
          <w:p w:rsidR="0061716F" w:rsidRDefault="0048781D">
            <w:pPr>
              <w:widowControl w:val="0"/>
              <w:rPr>
                <w:sz w:val="20"/>
                <w:szCs w:val="20"/>
              </w:rPr>
            </w:pPr>
            <w:r>
              <w:rPr>
                <w:sz w:val="20"/>
                <w:szCs w:val="20"/>
              </w:rPr>
              <w:t>2</w:t>
            </w:r>
          </w:p>
        </w:tc>
        <w:tc>
          <w:tcPr>
            <w:tcW w:w="7710" w:type="dxa"/>
            <w:tcBorders>
              <w:top w:val="nil"/>
              <w:left w:val="nil"/>
              <w:bottom w:val="nil"/>
              <w:right w:val="nil"/>
            </w:tcBorders>
            <w:tcMar>
              <w:top w:w="20" w:type="dxa"/>
              <w:left w:w="20" w:type="dxa"/>
              <w:bottom w:w="100" w:type="dxa"/>
              <w:right w:w="20" w:type="dxa"/>
            </w:tcMar>
          </w:tcPr>
          <w:p w:rsidR="0061716F" w:rsidRDefault="0048781D">
            <w:pPr>
              <w:widowControl w:val="0"/>
              <w:rPr>
                <w:sz w:val="20"/>
                <w:szCs w:val="20"/>
              </w:rPr>
            </w:pPr>
            <w:r>
              <w:rPr>
                <w:sz w:val="20"/>
                <w:szCs w:val="20"/>
              </w:rPr>
              <w:t>When intake distributions shift higher or lower, the median changes but the shape remains the same.</w:t>
            </w:r>
          </w:p>
        </w:tc>
      </w:tr>
      <w:tr w:rsidR="0061716F">
        <w:trPr>
          <w:trHeight w:val="144"/>
        </w:trPr>
        <w:tc>
          <w:tcPr>
            <w:tcW w:w="285" w:type="dxa"/>
            <w:tcBorders>
              <w:top w:val="nil"/>
              <w:left w:val="nil"/>
              <w:bottom w:val="nil"/>
              <w:right w:val="nil"/>
            </w:tcBorders>
            <w:tcMar>
              <w:top w:w="20" w:type="dxa"/>
              <w:left w:w="20" w:type="dxa"/>
              <w:bottom w:w="100" w:type="dxa"/>
              <w:right w:w="20" w:type="dxa"/>
            </w:tcMar>
          </w:tcPr>
          <w:p w:rsidR="0061716F" w:rsidRDefault="0048781D">
            <w:pPr>
              <w:widowControl w:val="0"/>
              <w:rPr>
                <w:sz w:val="20"/>
                <w:szCs w:val="20"/>
              </w:rPr>
            </w:pPr>
            <w:r>
              <w:rPr>
                <w:sz w:val="20"/>
                <w:szCs w:val="20"/>
              </w:rPr>
              <w:t>3</w:t>
            </w:r>
          </w:p>
        </w:tc>
        <w:tc>
          <w:tcPr>
            <w:tcW w:w="7710" w:type="dxa"/>
            <w:tcBorders>
              <w:top w:val="nil"/>
              <w:left w:val="nil"/>
              <w:bottom w:val="nil"/>
              <w:right w:val="nil"/>
            </w:tcBorders>
            <w:tcMar>
              <w:top w:w="20" w:type="dxa"/>
              <w:left w:w="20" w:type="dxa"/>
              <w:bottom w:w="100" w:type="dxa"/>
              <w:right w:w="20" w:type="dxa"/>
            </w:tcMar>
          </w:tcPr>
          <w:p w:rsidR="0061716F" w:rsidRDefault="0048781D">
            <w:pPr>
              <w:widowControl w:val="0"/>
              <w:rPr>
                <w:sz w:val="20"/>
                <w:szCs w:val="20"/>
              </w:rPr>
            </w:pPr>
            <w:r>
              <w:rPr>
                <w:sz w:val="20"/>
                <w:szCs w:val="20"/>
              </w:rPr>
              <w:t>The requirement distribution for Vitamin B</w:t>
            </w:r>
            <w:r>
              <w:rPr>
                <w:sz w:val="20"/>
                <w:szCs w:val="20"/>
                <w:vertAlign w:val="subscript"/>
              </w:rPr>
              <w:t>12</w:t>
            </w:r>
            <w:r>
              <w:rPr>
                <w:sz w:val="20"/>
                <w:szCs w:val="20"/>
              </w:rPr>
              <w:t xml:space="preserve"> has a coefficient of variation (CV) of 0.25 and the requirement distributions of all other nutrients have CVs of 0.10.</w:t>
            </w:r>
          </w:p>
        </w:tc>
      </w:tr>
      <w:tr w:rsidR="0061716F">
        <w:trPr>
          <w:trHeight w:val="144"/>
        </w:trPr>
        <w:tc>
          <w:tcPr>
            <w:tcW w:w="285" w:type="dxa"/>
            <w:tcBorders>
              <w:top w:val="nil"/>
              <w:left w:val="nil"/>
              <w:bottom w:val="nil"/>
              <w:right w:val="nil"/>
            </w:tcBorders>
            <w:tcMar>
              <w:top w:w="20" w:type="dxa"/>
              <w:left w:w="20" w:type="dxa"/>
              <w:bottom w:w="100" w:type="dxa"/>
              <w:right w:w="20" w:type="dxa"/>
            </w:tcMar>
          </w:tcPr>
          <w:p w:rsidR="0061716F" w:rsidRDefault="0048781D">
            <w:pPr>
              <w:widowControl w:val="0"/>
              <w:rPr>
                <w:sz w:val="20"/>
                <w:szCs w:val="20"/>
              </w:rPr>
            </w:pPr>
            <w:r>
              <w:rPr>
                <w:sz w:val="20"/>
                <w:szCs w:val="20"/>
              </w:rPr>
              <w:t>4</w:t>
            </w:r>
          </w:p>
        </w:tc>
        <w:tc>
          <w:tcPr>
            <w:tcW w:w="7710" w:type="dxa"/>
            <w:tcBorders>
              <w:top w:val="nil"/>
              <w:left w:val="nil"/>
              <w:bottom w:val="nil"/>
              <w:right w:val="nil"/>
            </w:tcBorders>
            <w:tcMar>
              <w:top w:w="20" w:type="dxa"/>
              <w:left w:w="20" w:type="dxa"/>
              <w:bottom w:w="100" w:type="dxa"/>
              <w:right w:w="20" w:type="dxa"/>
            </w:tcMar>
          </w:tcPr>
          <w:p w:rsidR="0061716F" w:rsidRDefault="0048781D">
            <w:pPr>
              <w:widowControl w:val="0"/>
              <w:rPr>
                <w:sz w:val="20"/>
                <w:szCs w:val="20"/>
              </w:rPr>
            </w:pPr>
            <w:r>
              <w:rPr>
                <w:sz w:val="20"/>
                <w:szCs w:val="20"/>
              </w:rPr>
              <w:t>We do not quantitatively evaluate the impact of fortified foods.</w:t>
            </w:r>
          </w:p>
        </w:tc>
      </w:tr>
    </w:tbl>
    <w:p w:rsidR="0061716F" w:rsidRDefault="0048781D">
      <w:r>
        <w:br w:type="page"/>
      </w:r>
    </w:p>
    <w:p w:rsidR="0061716F" w:rsidRDefault="0048781D">
      <w:r>
        <w:rPr>
          <w:b/>
          <w:noProof/>
        </w:rPr>
        <w:lastRenderedPageBreak/>
        <w:drawing>
          <wp:inline distT="114300" distB="114300" distL="114300" distR="114300">
            <wp:extent cx="5943600" cy="22860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2286000"/>
                    </a:xfrm>
                    <a:prstGeom prst="rect">
                      <a:avLst/>
                    </a:prstGeom>
                    <a:ln/>
                  </pic:spPr>
                </pic:pic>
              </a:graphicData>
            </a:graphic>
          </wp:inline>
        </w:drawing>
      </w:r>
      <w:r>
        <w:rPr>
          <w:b/>
        </w:rPr>
        <w:t>Figure S1.</w:t>
      </w:r>
      <w:r>
        <w:t xml:space="preserve"> Human population size in 2018 from the World Bank.</w:t>
      </w:r>
      <w:hyperlink r:id="rId9">
        <w:r>
          <w:rPr>
            <w:vertAlign w:val="superscript"/>
          </w:rPr>
          <w:t>26</w:t>
        </w:r>
      </w:hyperlink>
      <w:r>
        <w:t xml:space="preserve"> Countries with land areas less than 25,000 km</w:t>
      </w:r>
      <w:r>
        <w:rPr>
          <w:vertAlign w:val="superscript"/>
        </w:rPr>
        <w:t>2</w:t>
      </w:r>
      <w:r>
        <w:t xml:space="preserve"> are shown as points to increase visibility.</w:t>
      </w:r>
    </w:p>
    <w:p w:rsidR="0061716F" w:rsidRDefault="0048781D">
      <w:r>
        <w:br w:type="page"/>
      </w:r>
    </w:p>
    <w:p w:rsidR="0061716F" w:rsidRDefault="0048781D">
      <w:r>
        <w:rPr>
          <w:b/>
          <w:noProof/>
        </w:rPr>
        <w:lastRenderedPageBreak/>
        <w:drawing>
          <wp:inline distT="114300" distB="114300" distL="114300" distR="114300">
            <wp:extent cx="5943600" cy="59436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r>
        <w:rPr>
          <w:b/>
        </w:rPr>
        <w:t>Figure S2.</w:t>
      </w:r>
      <w:r>
        <w:t xml:space="preserve"> The Euclidean distance between the nutrient intakes of the 185 countries with GDD intake estimates. Euclidean distances were calculated using national averages of vitamin and mineral intakes. Small Euclidean distances indicate countries with very similar national-scale nutrient intakes and large Euclidean distances indicate countries with very different national scale nutrient intakes. See </w:t>
      </w:r>
      <w:r>
        <w:rPr>
          <w:b/>
        </w:rPr>
        <w:t>Table S2</w:t>
      </w:r>
      <w:r>
        <w:t xml:space="preserve"> for a list of the vitamins and minerals included in this calculation. Countries are grouped by continent. Palestinian territories (PSE) and Lebanon (LBN) have dramatically different nutrient intakes than every other country (the horizontal and vertical red bands represent extremely far Euclidean distance).</w:t>
      </w:r>
    </w:p>
    <w:p w:rsidR="0061716F" w:rsidRDefault="0048781D">
      <w:r>
        <w:br w:type="page"/>
      </w:r>
    </w:p>
    <w:p w:rsidR="0061716F" w:rsidRDefault="0061716F"/>
    <w:p w:rsidR="0061716F" w:rsidRDefault="0048781D">
      <w:pPr>
        <w:rPr>
          <w:color w:val="FF0000"/>
        </w:rPr>
      </w:pPr>
      <w:r>
        <w:rPr>
          <w:b/>
          <w:noProof/>
        </w:rPr>
        <w:drawing>
          <wp:inline distT="114300" distB="114300" distL="114300" distR="114300">
            <wp:extent cx="5943600" cy="32004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3200400"/>
                    </a:xfrm>
                    <a:prstGeom prst="rect">
                      <a:avLst/>
                    </a:prstGeom>
                    <a:ln/>
                  </pic:spPr>
                </pic:pic>
              </a:graphicData>
            </a:graphic>
          </wp:inline>
        </w:drawing>
      </w:r>
      <w:r>
        <w:rPr>
          <w:b/>
        </w:rPr>
        <w:t xml:space="preserve">Figure S3. </w:t>
      </w:r>
      <w:r>
        <w:t>The availability of distribution shape information for building usual intake distributions for all of the evaluated subnational age-sex groups. Panel A shows the number of countries contributing shape information and Panel B shows the percentage of age-sex groups with known shape information or with shape information borrowed from the closest age group or the opposite group. Shape information for the remaining percentage is borrowed from the corresponding age-sex group from the most similar country (see methods).</w:t>
      </w:r>
      <w:r>
        <w:br w:type="page"/>
      </w:r>
    </w:p>
    <w:p w:rsidR="0061716F" w:rsidRDefault="0048781D">
      <w:pPr>
        <w:rPr>
          <w:color w:val="FF0000"/>
        </w:rPr>
      </w:pPr>
      <w:r>
        <w:rPr>
          <w:b/>
          <w:noProof/>
        </w:rPr>
        <w:lastRenderedPageBreak/>
        <w:drawing>
          <wp:inline distT="114300" distB="114300" distL="114300" distR="114300">
            <wp:extent cx="5943600" cy="3200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200400"/>
                    </a:xfrm>
                    <a:prstGeom prst="rect">
                      <a:avLst/>
                    </a:prstGeom>
                    <a:ln/>
                  </pic:spPr>
                </pic:pic>
              </a:graphicData>
            </a:graphic>
          </wp:inline>
        </w:drawing>
      </w:r>
      <w:r>
        <w:rPr>
          <w:b/>
        </w:rPr>
        <w:t xml:space="preserve">Figure S4. </w:t>
      </w:r>
      <w:r>
        <w:t>Conceptual illustration of the methods used to shift the distributions defined by the matched shape parameters to match the Global Dietary Database median for each subnational group. Distributions were shifted by maintaining the variability parameter (</w:t>
      </w:r>
      <w:r>
        <w:rPr>
          <w:i/>
        </w:rPr>
        <w:t xml:space="preserve">α </w:t>
      </w:r>
      <w:r>
        <w:t xml:space="preserve">and </w:t>
      </w:r>
      <w:r>
        <w:rPr>
          <w:i/>
        </w:rPr>
        <w:t xml:space="preserve">σ </w:t>
      </w:r>
      <w:r>
        <w:t>for the gamma and log-normal distributions, respectively) and shifting the centrality parameter (</w:t>
      </w:r>
      <w:r>
        <w:rPr>
          <w:i/>
        </w:rPr>
        <w:t xml:space="preserve">β </w:t>
      </w:r>
      <w:r>
        <w:t xml:space="preserve">and </w:t>
      </w:r>
      <w:r>
        <w:rPr>
          <w:i/>
        </w:rPr>
        <w:t xml:space="preserve">µ </w:t>
      </w:r>
      <w:r>
        <w:t xml:space="preserve">for the gamma and log-normal distributions, respectively). </w:t>
      </w:r>
    </w:p>
    <w:p w:rsidR="0061716F" w:rsidRDefault="0048781D">
      <w:r>
        <w:br w:type="page"/>
      </w:r>
    </w:p>
    <w:p w:rsidR="0061716F" w:rsidRDefault="0048781D">
      <w:r>
        <w:rPr>
          <w:b/>
          <w:noProof/>
        </w:rPr>
        <w:lastRenderedPageBreak/>
        <w:drawing>
          <wp:inline distT="114300" distB="114300" distL="114300" distR="114300">
            <wp:extent cx="5943600" cy="59436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5943600"/>
                    </a:xfrm>
                    <a:prstGeom prst="rect">
                      <a:avLst/>
                    </a:prstGeom>
                    <a:ln/>
                  </pic:spPr>
                </pic:pic>
              </a:graphicData>
            </a:graphic>
          </wp:inline>
        </w:drawing>
      </w:r>
      <w:r>
        <w:rPr>
          <w:b/>
        </w:rPr>
        <w:t>Figure S5.</w:t>
      </w:r>
      <w:r>
        <w:t xml:space="preserve"> Harmonized average requirements (H-ARs) from Allen et al.</w:t>
      </w:r>
      <w:hyperlink r:id="rId14">
        <w:r>
          <w:rPr>
            <w:vertAlign w:val="superscript"/>
          </w:rPr>
          <w:t>24</w:t>
        </w:r>
      </w:hyperlink>
      <w:r>
        <w:t xml:space="preserve"> for 13 of 15  nutrients evaluated in this paper. Males and females have identical average requirements for calcium, folate, iodine, riboflavin, selenium, vitamin B</w:t>
      </w:r>
      <w:r>
        <w:rPr>
          <w:vertAlign w:val="subscript"/>
        </w:rPr>
        <w:t>12</w:t>
      </w:r>
      <w:r>
        <w:t xml:space="preserve">, and vitamin E. Average requirements for iron and zinc are shown in </w:t>
      </w:r>
      <w:r>
        <w:rPr>
          <w:b/>
        </w:rPr>
        <w:t>Figures S6 and S7</w:t>
      </w:r>
      <w:r>
        <w:t>, respectively. Harmonized average requirements are drawn from the U.S. Institute of Medicine (IOM) and European Food Safety Authority (EFSA).</w:t>
      </w:r>
      <w:r>
        <w:br w:type="page"/>
      </w:r>
    </w:p>
    <w:p w:rsidR="0061716F" w:rsidRDefault="0048781D">
      <w:r>
        <w:rPr>
          <w:b/>
          <w:noProof/>
        </w:rPr>
        <w:lastRenderedPageBreak/>
        <w:drawing>
          <wp:inline distT="114300" distB="114300" distL="114300" distR="114300">
            <wp:extent cx="5943600" cy="27432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2743200"/>
                    </a:xfrm>
                    <a:prstGeom prst="rect">
                      <a:avLst/>
                    </a:prstGeom>
                    <a:ln/>
                  </pic:spPr>
                </pic:pic>
              </a:graphicData>
            </a:graphic>
          </wp:inline>
        </w:drawing>
      </w:r>
      <w:r>
        <w:rPr>
          <w:b/>
        </w:rPr>
        <w:t>Figure S6.</w:t>
      </w:r>
      <w:r>
        <w:t xml:space="preserve"> Average requirements for zinc by age-sex group based on diet type, as specified by Allen et al.</w:t>
      </w:r>
      <w:hyperlink r:id="rId16">
        <w:r>
          <w:rPr>
            <w:vertAlign w:val="superscript"/>
          </w:rPr>
          <w:t>24</w:t>
        </w:r>
      </w:hyperlink>
      <w:r>
        <w:t xml:space="preserve">, and 2005 phytate intake, as estimated by </w:t>
      </w:r>
      <w:proofErr w:type="spellStart"/>
      <w:r>
        <w:t>Wessells</w:t>
      </w:r>
      <w:proofErr w:type="spellEnd"/>
      <w:r>
        <w:t xml:space="preserve"> and Brown</w:t>
      </w:r>
      <w:hyperlink r:id="rId17">
        <w:r>
          <w:rPr>
            <w:vertAlign w:val="superscript"/>
          </w:rPr>
          <w:t>36</w:t>
        </w:r>
      </w:hyperlink>
      <w:r>
        <w:t>. The colored lines represent the requirements estimated for each country.</w:t>
      </w:r>
      <w:r>
        <w:br w:type="page"/>
      </w:r>
      <w:r>
        <w:rPr>
          <w:b/>
          <w:noProof/>
        </w:rPr>
        <w:lastRenderedPageBreak/>
        <w:drawing>
          <wp:inline distT="114300" distB="114300" distL="114300" distR="114300">
            <wp:extent cx="5943600" cy="2743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2743200"/>
                    </a:xfrm>
                    <a:prstGeom prst="rect">
                      <a:avLst/>
                    </a:prstGeom>
                    <a:ln/>
                  </pic:spPr>
                </pic:pic>
              </a:graphicData>
            </a:graphic>
          </wp:inline>
        </w:drawing>
      </w:r>
      <w:r>
        <w:rPr>
          <w:b/>
        </w:rPr>
        <w:t>Figure S7.</w:t>
      </w:r>
      <w:r>
        <w:t xml:space="preserve"> Average requirements for iron by age-sex group based on country-specific absorption levels. Countries were assigned an absorption level based on their phytate (</w:t>
      </w:r>
      <w:r>
        <w:rPr>
          <w:b/>
        </w:rPr>
        <w:t>Figure S8</w:t>
      </w:r>
      <w:r>
        <w:t>) and animal-source food (ASF) intakes (i.e., sum of unprocessed red meat, processed meat, seafood, and egg intakes) (</w:t>
      </w:r>
      <w:r>
        <w:rPr>
          <w:b/>
        </w:rPr>
        <w:t>Figure S9</w:t>
      </w:r>
      <w:r>
        <w:t xml:space="preserve">). See </w:t>
      </w:r>
      <w:r>
        <w:rPr>
          <w:b/>
        </w:rPr>
        <w:t>Figure S10</w:t>
      </w:r>
      <w:r>
        <w:t xml:space="preserve"> for a map of absorption levels.</w:t>
      </w:r>
      <w:r>
        <w:br w:type="page"/>
      </w:r>
    </w:p>
    <w:p w:rsidR="0061716F" w:rsidRDefault="0048781D">
      <w:r>
        <w:rPr>
          <w:b/>
          <w:noProof/>
        </w:rPr>
        <w:lastRenderedPageBreak/>
        <w:drawing>
          <wp:inline distT="114300" distB="114300" distL="114300" distR="114300">
            <wp:extent cx="5943600" cy="18288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1828800"/>
                    </a:xfrm>
                    <a:prstGeom prst="rect">
                      <a:avLst/>
                    </a:prstGeom>
                    <a:ln/>
                  </pic:spPr>
                </pic:pic>
              </a:graphicData>
            </a:graphic>
          </wp:inline>
        </w:drawing>
      </w:r>
      <w:r>
        <w:rPr>
          <w:b/>
        </w:rPr>
        <w:t>Figure S8.</w:t>
      </w:r>
      <w:r>
        <w:t xml:space="preserve"> Phytate intake in 2005 as estimated in </w:t>
      </w:r>
      <w:proofErr w:type="spellStart"/>
      <w:r>
        <w:t>Wessells</w:t>
      </w:r>
      <w:proofErr w:type="spellEnd"/>
      <w:r>
        <w:t xml:space="preserve"> and Brown</w:t>
      </w:r>
      <w:hyperlink r:id="rId20">
        <w:r>
          <w:rPr>
            <w:vertAlign w:val="superscript"/>
          </w:rPr>
          <w:t>36</w:t>
        </w:r>
      </w:hyperlink>
      <w:r>
        <w:t>. In (A), vertical lines mark the phytate intake reference points used to specify average requirements in Allen et al.</w:t>
      </w:r>
      <w:hyperlink r:id="rId21">
        <w:r>
          <w:rPr>
            <w:vertAlign w:val="superscript"/>
          </w:rPr>
          <w:t>24</w:t>
        </w:r>
      </w:hyperlink>
      <w:r>
        <w:t xml:space="preserve">. In </w:t>
      </w:r>
      <w:r>
        <w:rPr>
          <w:b/>
        </w:rPr>
        <w:t>(B)</w:t>
      </w:r>
      <w:r>
        <w:t>, countries with land areas less than 25,000 km</w:t>
      </w:r>
      <w:r>
        <w:rPr>
          <w:vertAlign w:val="superscript"/>
        </w:rPr>
        <w:t>2</w:t>
      </w:r>
      <w:r>
        <w:t xml:space="preserve"> are shown as points to increase visibility.</w:t>
      </w:r>
      <w:r>
        <w:br w:type="page"/>
      </w:r>
    </w:p>
    <w:p w:rsidR="0061716F" w:rsidRDefault="0048781D">
      <w:r>
        <w:rPr>
          <w:noProof/>
        </w:rPr>
        <w:lastRenderedPageBreak/>
        <w:drawing>
          <wp:inline distT="114300" distB="114300" distL="114300" distR="114300">
            <wp:extent cx="5943600" cy="20574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2057400"/>
                    </a:xfrm>
                    <a:prstGeom prst="rect">
                      <a:avLst/>
                    </a:prstGeom>
                    <a:ln/>
                  </pic:spPr>
                </pic:pic>
              </a:graphicData>
            </a:graphic>
          </wp:inline>
        </w:drawing>
      </w:r>
      <w:r>
        <w:rPr>
          <w:b/>
        </w:rPr>
        <w:t xml:space="preserve">Figure S9. </w:t>
      </w:r>
      <w:r>
        <w:t>Average country-level animal-source food (ASF) intake (i.e., sum of unprocessed red meat, processed meat, seafood, and egg intakes) in the Global Dietary Database.</w:t>
      </w:r>
      <w:hyperlink r:id="rId23">
        <w:r>
          <w:rPr>
            <w:vertAlign w:val="superscript"/>
          </w:rPr>
          <w:t>20</w:t>
        </w:r>
      </w:hyperlink>
      <w:r>
        <w:t xml:space="preserve"> In </w:t>
      </w:r>
      <w:r>
        <w:rPr>
          <w:b/>
        </w:rPr>
        <w:t>(B)</w:t>
      </w:r>
      <w:r>
        <w:t xml:space="preserve"> ASF supply is capped at 250 g/day to ease visualization (vertical line in </w:t>
      </w:r>
      <w:r>
        <w:rPr>
          <w:b/>
        </w:rPr>
        <w:t>A</w:t>
      </w:r>
      <w:r>
        <w:t>).</w:t>
      </w:r>
      <w:r>
        <w:br w:type="page"/>
      </w:r>
      <w:r>
        <w:rPr>
          <w:noProof/>
        </w:rPr>
        <w:lastRenderedPageBreak/>
        <w:drawing>
          <wp:inline distT="114300" distB="114300" distL="114300" distR="114300">
            <wp:extent cx="5943600" cy="20574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2057400"/>
                    </a:xfrm>
                    <a:prstGeom prst="rect">
                      <a:avLst/>
                    </a:prstGeom>
                    <a:ln/>
                  </pic:spPr>
                </pic:pic>
              </a:graphicData>
            </a:graphic>
          </wp:inline>
        </w:drawing>
      </w:r>
    </w:p>
    <w:p w:rsidR="0061716F" w:rsidRDefault="0061716F"/>
    <w:p w:rsidR="0061716F" w:rsidRDefault="0048781D">
      <w:r>
        <w:rPr>
          <w:b/>
        </w:rPr>
        <w:t xml:space="preserve">Figure S10. </w:t>
      </w:r>
      <w:r>
        <w:t>Estimated iron absorption levels for each country. Iron absorption levels were estimated based on country-specific phytate (</w:t>
      </w:r>
      <w:r>
        <w:rPr>
          <w:b/>
        </w:rPr>
        <w:t>Figure S8</w:t>
      </w:r>
      <w:r>
        <w:t>) and animal-source food (ASF) intakes (i.e., sum of unprocessed red meat, processed meat, seafood, and egg intakes) (</w:t>
      </w:r>
      <w:r>
        <w:rPr>
          <w:b/>
        </w:rPr>
        <w:t>Figure S9</w:t>
      </w:r>
      <w:r>
        <w:t>).</w:t>
      </w:r>
    </w:p>
    <w:p w:rsidR="0061716F" w:rsidRDefault="0048781D">
      <w:pPr>
        <w:rPr>
          <w:b/>
        </w:rPr>
      </w:pPr>
      <w:r>
        <w:br w:type="page"/>
      </w:r>
    </w:p>
    <w:p w:rsidR="0061716F" w:rsidRDefault="0048781D">
      <w:pPr>
        <w:rPr>
          <w:b/>
        </w:rPr>
      </w:pPr>
      <w:r>
        <w:rPr>
          <w:b/>
          <w:noProof/>
        </w:rPr>
        <w:lastRenderedPageBreak/>
        <w:drawing>
          <wp:inline distT="114300" distB="114300" distL="114300" distR="114300">
            <wp:extent cx="5943600" cy="2971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2971800"/>
                    </a:xfrm>
                    <a:prstGeom prst="rect">
                      <a:avLst/>
                    </a:prstGeom>
                    <a:ln/>
                  </pic:spPr>
                </pic:pic>
              </a:graphicData>
            </a:graphic>
          </wp:inline>
        </w:drawing>
      </w:r>
    </w:p>
    <w:p w:rsidR="0061716F" w:rsidRDefault="0061716F">
      <w:pPr>
        <w:rPr>
          <w:b/>
        </w:rPr>
      </w:pPr>
    </w:p>
    <w:p w:rsidR="0061716F" w:rsidRDefault="0048781D">
      <w:r>
        <w:rPr>
          <w:b/>
        </w:rPr>
        <w:t>Figure S11.</w:t>
      </w:r>
      <w:r>
        <w:t xml:space="preserve"> World Bank regions used to group results in the main text analysis.</w:t>
      </w:r>
    </w:p>
    <w:sectPr w:rsidR="0061716F">
      <w:headerReference w:type="even" r:id="rId26"/>
      <w:head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0E78" w:rsidRDefault="00BC0E78" w:rsidP="00B3757E">
      <w:pPr>
        <w:spacing w:line="240" w:lineRule="auto"/>
      </w:pPr>
      <w:r>
        <w:separator/>
      </w:r>
    </w:p>
  </w:endnote>
  <w:endnote w:type="continuationSeparator" w:id="0">
    <w:p w:rsidR="00BC0E78" w:rsidRDefault="00BC0E78" w:rsidP="00B375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0E78" w:rsidRDefault="00BC0E78" w:rsidP="00B3757E">
      <w:pPr>
        <w:spacing w:line="240" w:lineRule="auto"/>
      </w:pPr>
      <w:r>
        <w:separator/>
      </w:r>
    </w:p>
  </w:footnote>
  <w:footnote w:type="continuationSeparator" w:id="0">
    <w:p w:rsidR="00BC0E78" w:rsidRDefault="00BC0E78" w:rsidP="00B375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56279875"/>
      <w:docPartObj>
        <w:docPartGallery w:val="Page Numbers (Top of Page)"/>
        <w:docPartUnique/>
      </w:docPartObj>
    </w:sdtPr>
    <w:sdtContent>
      <w:p w:rsidR="00B3757E" w:rsidRDefault="00B3757E" w:rsidP="007753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3757E" w:rsidRDefault="00B3757E" w:rsidP="00B3757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83932867"/>
      <w:docPartObj>
        <w:docPartGallery w:val="Page Numbers (Top of Page)"/>
        <w:docPartUnique/>
      </w:docPartObj>
    </w:sdtPr>
    <w:sdtContent>
      <w:p w:rsidR="00B3757E" w:rsidRDefault="00B3757E" w:rsidP="0077533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3757E" w:rsidRDefault="00B3757E" w:rsidP="00B3757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93F14"/>
    <w:multiLevelType w:val="multilevel"/>
    <w:tmpl w:val="551C80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16F"/>
    <w:rsid w:val="0048781D"/>
    <w:rsid w:val="0057644A"/>
    <w:rsid w:val="0061716F"/>
    <w:rsid w:val="00B3757E"/>
    <w:rsid w:val="00BC0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F32FAA"/>
  <w15:docId w15:val="{8259EC5A-B54F-0940-99BA-A91C09AD9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8781D"/>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781D"/>
    <w:rPr>
      <w:rFonts w:ascii="Times New Roman" w:hAnsi="Times New Roman" w:cs="Times New Roman"/>
      <w:sz w:val="18"/>
      <w:szCs w:val="18"/>
    </w:rPr>
  </w:style>
  <w:style w:type="paragraph" w:styleId="Header">
    <w:name w:val="header"/>
    <w:basedOn w:val="Normal"/>
    <w:link w:val="HeaderChar"/>
    <w:uiPriority w:val="99"/>
    <w:unhideWhenUsed/>
    <w:rsid w:val="00B3757E"/>
    <w:pPr>
      <w:tabs>
        <w:tab w:val="center" w:pos="4680"/>
        <w:tab w:val="right" w:pos="9360"/>
      </w:tabs>
      <w:spacing w:line="240" w:lineRule="auto"/>
    </w:pPr>
  </w:style>
  <w:style w:type="character" w:customStyle="1" w:styleId="HeaderChar">
    <w:name w:val="Header Char"/>
    <w:basedOn w:val="DefaultParagraphFont"/>
    <w:link w:val="Header"/>
    <w:uiPriority w:val="99"/>
    <w:rsid w:val="00B3757E"/>
  </w:style>
  <w:style w:type="character" w:styleId="PageNumber">
    <w:name w:val="page number"/>
    <w:basedOn w:val="DefaultParagraphFont"/>
    <w:uiPriority w:val="99"/>
    <w:semiHidden/>
    <w:unhideWhenUsed/>
    <w:rsid w:val="00B37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zotero.org/google-docs/?HxTVxg" TargetMode="External"/><Relationship Id="rId7" Type="http://schemas.openxmlformats.org/officeDocument/2006/relationships/hyperlink" Target="https://www.zotero.org/google-docs/?mUQfjW" TargetMode="External"/><Relationship Id="rId12" Type="http://schemas.openxmlformats.org/officeDocument/2006/relationships/image" Target="media/image4.png"/><Relationship Id="rId17" Type="http://schemas.openxmlformats.org/officeDocument/2006/relationships/hyperlink" Target="https://www.zotero.org/google-docs/?TzuX3R"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zotero.org/google-docs/?t9v3wA" TargetMode="External"/><Relationship Id="rId20" Type="http://schemas.openxmlformats.org/officeDocument/2006/relationships/hyperlink" Target="https://www.zotero.org/google-docs/?ghLy8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zotero.org/google-docs/?Jxev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zotero.org/google-docs/?b9Sl9Z" TargetMode="External"/><Relationship Id="rId14" Type="http://schemas.openxmlformats.org/officeDocument/2006/relationships/hyperlink" Target="https://www.zotero.org/google-docs/?Vqb6bE" TargetMode="External"/><Relationship Id="rId22" Type="http://schemas.openxmlformats.org/officeDocument/2006/relationships/image" Target="media/image9.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1184</Words>
  <Characters>6751</Characters>
  <Application>Microsoft Office Word</Application>
  <DocSecurity>0</DocSecurity>
  <Lines>56</Lines>
  <Paragraphs>15</Paragraphs>
  <ScaleCrop>false</ScaleCrop>
  <Company/>
  <LinksUpToDate>false</LinksUpToDate>
  <CharactersWithSpaces>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Free</cp:lastModifiedBy>
  <cp:revision>5</cp:revision>
  <dcterms:created xsi:type="dcterms:W3CDTF">2024-06-12T17:26:00Z</dcterms:created>
  <dcterms:modified xsi:type="dcterms:W3CDTF">2024-06-12T17:29:00Z</dcterms:modified>
</cp:coreProperties>
</file>