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2528A" w14:textId="581AD2B3" w:rsidR="00BB175D" w:rsidRPr="007C7311" w:rsidRDefault="00652478">
      <w:pPr>
        <w:rPr>
          <w:rFonts w:ascii="Times New Roman" w:hAnsi="Times New Roman" w:cs="Times New Roman"/>
          <w:b/>
          <w:bCs/>
          <w:lang w:val="en-GB"/>
        </w:rPr>
      </w:pPr>
      <w:r>
        <w:rPr>
          <w:rFonts w:ascii="Times New Roman" w:hAnsi="Times New Roman" w:cs="Times New Roman"/>
          <w:b/>
          <w:bCs/>
          <w:lang w:val="en-GB"/>
        </w:rPr>
        <w:t xml:space="preserve">Revealing the </w:t>
      </w:r>
      <w:r w:rsidR="006050A1">
        <w:rPr>
          <w:rFonts w:ascii="Times New Roman" w:hAnsi="Times New Roman" w:cs="Times New Roman"/>
          <w:b/>
          <w:bCs/>
          <w:lang w:val="en-GB"/>
        </w:rPr>
        <w:t>prevalence</w:t>
      </w:r>
      <w:r>
        <w:rPr>
          <w:rFonts w:ascii="Times New Roman" w:hAnsi="Times New Roman" w:cs="Times New Roman"/>
          <w:b/>
          <w:bCs/>
          <w:lang w:val="en-GB"/>
        </w:rPr>
        <w:t xml:space="preserve"> of “hidden hunger”: </w:t>
      </w:r>
      <w:r w:rsidR="00257720" w:rsidRPr="007C7311">
        <w:rPr>
          <w:rFonts w:ascii="Times New Roman" w:hAnsi="Times New Roman" w:cs="Times New Roman"/>
          <w:b/>
          <w:bCs/>
          <w:lang w:val="en-GB"/>
        </w:rPr>
        <w:t>g</w:t>
      </w:r>
      <w:r w:rsidR="003F6BBC" w:rsidRPr="007C7311">
        <w:rPr>
          <w:rFonts w:ascii="Times New Roman" w:hAnsi="Times New Roman" w:cs="Times New Roman"/>
          <w:b/>
          <w:bCs/>
          <w:lang w:val="en-GB"/>
        </w:rPr>
        <w:t xml:space="preserve">lobal and regional </w:t>
      </w:r>
      <w:r w:rsidR="006050A1">
        <w:rPr>
          <w:rFonts w:ascii="Times New Roman" w:hAnsi="Times New Roman" w:cs="Times New Roman"/>
          <w:b/>
          <w:bCs/>
          <w:lang w:val="en-GB"/>
        </w:rPr>
        <w:t>estimates</w:t>
      </w:r>
      <w:r w:rsidR="006050A1" w:rsidRPr="007C7311">
        <w:rPr>
          <w:rFonts w:ascii="Times New Roman" w:hAnsi="Times New Roman" w:cs="Times New Roman"/>
          <w:b/>
          <w:bCs/>
          <w:lang w:val="en-GB"/>
        </w:rPr>
        <w:t xml:space="preserve"> </w:t>
      </w:r>
      <w:r w:rsidR="003F6BBC" w:rsidRPr="007C7311">
        <w:rPr>
          <w:rFonts w:ascii="Times New Roman" w:hAnsi="Times New Roman" w:cs="Times New Roman"/>
          <w:b/>
          <w:bCs/>
          <w:lang w:val="en-GB"/>
        </w:rPr>
        <w:t>of micronutrient deficienc</w:t>
      </w:r>
      <w:r w:rsidR="00CE305B" w:rsidRPr="007C7311">
        <w:rPr>
          <w:rFonts w:ascii="Times New Roman" w:hAnsi="Times New Roman" w:cs="Times New Roman"/>
          <w:b/>
          <w:bCs/>
          <w:lang w:val="en-GB"/>
        </w:rPr>
        <w:t>ies</w:t>
      </w:r>
      <w:r w:rsidR="003F6BBC" w:rsidRPr="007C7311">
        <w:rPr>
          <w:rFonts w:ascii="Times New Roman" w:hAnsi="Times New Roman" w:cs="Times New Roman"/>
          <w:b/>
          <w:bCs/>
          <w:lang w:val="en-GB"/>
        </w:rPr>
        <w:t xml:space="preserve"> </w:t>
      </w:r>
      <w:r w:rsidR="00BE1335" w:rsidRPr="007C7311">
        <w:rPr>
          <w:rFonts w:ascii="Times New Roman" w:hAnsi="Times New Roman" w:cs="Times New Roman"/>
          <w:b/>
          <w:bCs/>
          <w:lang w:val="en-GB"/>
        </w:rPr>
        <w:t>among</w:t>
      </w:r>
      <w:r w:rsidR="003F6BBC" w:rsidRPr="007C7311">
        <w:rPr>
          <w:rFonts w:ascii="Times New Roman" w:hAnsi="Times New Roman" w:cs="Times New Roman"/>
          <w:b/>
          <w:bCs/>
          <w:lang w:val="en-GB"/>
        </w:rPr>
        <w:t xml:space="preserve"> </w:t>
      </w:r>
      <w:r w:rsidR="001F0AC0">
        <w:rPr>
          <w:rFonts w:ascii="Times New Roman" w:hAnsi="Times New Roman" w:cs="Times New Roman"/>
          <w:b/>
          <w:bCs/>
          <w:lang w:val="en-GB"/>
        </w:rPr>
        <w:t xml:space="preserve">preschool-age children and </w:t>
      </w:r>
      <w:r w:rsidR="003F6BBC" w:rsidRPr="007C7311">
        <w:rPr>
          <w:rFonts w:ascii="Times New Roman" w:hAnsi="Times New Roman" w:cs="Times New Roman"/>
          <w:b/>
          <w:bCs/>
          <w:lang w:val="en-GB"/>
        </w:rPr>
        <w:t>non-pregnant women of reproductive age</w:t>
      </w:r>
    </w:p>
    <w:p w14:paraId="72AC9388" w14:textId="77777777" w:rsidR="00031AA3" w:rsidRDefault="00031AA3">
      <w:pPr>
        <w:rPr>
          <w:rFonts w:ascii="Times New Roman" w:hAnsi="Times New Roman" w:cs="Times New Roman"/>
          <w:sz w:val="24"/>
          <w:szCs w:val="24"/>
        </w:rPr>
      </w:pPr>
    </w:p>
    <w:p w14:paraId="5D74CDF7" w14:textId="0064284C" w:rsidR="00FD731D" w:rsidRDefault="00FD731D">
      <w:pPr>
        <w:rPr>
          <w:rFonts w:ascii="Times New Roman" w:hAnsi="Times New Roman" w:cs="Times New Roman"/>
          <w:sz w:val="24"/>
          <w:szCs w:val="24"/>
        </w:rPr>
      </w:pPr>
      <w:r>
        <w:rPr>
          <w:rFonts w:ascii="Times New Roman" w:hAnsi="Times New Roman" w:cs="Times New Roman"/>
          <w:sz w:val="24"/>
          <w:szCs w:val="24"/>
        </w:rPr>
        <w:t xml:space="preserve">Gretchen A Stevens, </w:t>
      </w:r>
      <w:r w:rsidR="00331B9E">
        <w:rPr>
          <w:rFonts w:ascii="Times New Roman" w:hAnsi="Times New Roman" w:cs="Times New Roman"/>
          <w:sz w:val="24"/>
          <w:szCs w:val="24"/>
        </w:rPr>
        <w:t>Sc</w:t>
      </w:r>
      <w:r w:rsidR="00103A0F">
        <w:rPr>
          <w:rFonts w:ascii="Times New Roman" w:hAnsi="Times New Roman" w:cs="Times New Roman"/>
          <w:sz w:val="24"/>
          <w:szCs w:val="24"/>
        </w:rPr>
        <w:t>D</w:t>
      </w:r>
      <w:r w:rsidR="00380683">
        <w:rPr>
          <w:rFonts w:ascii="Times New Roman" w:hAnsi="Times New Roman" w:cs="Times New Roman"/>
          <w:sz w:val="24"/>
          <w:szCs w:val="24"/>
        </w:rPr>
        <w:t>, Independent Research, Los Angeles, CA, USA</w:t>
      </w:r>
      <w:r w:rsidR="002224F6">
        <w:rPr>
          <w:rFonts w:ascii="Times New Roman" w:hAnsi="Times New Roman" w:cs="Times New Roman"/>
          <w:sz w:val="24"/>
          <w:szCs w:val="24"/>
        </w:rPr>
        <w:t>*</w:t>
      </w:r>
      <w:r w:rsidR="00E46F32" w:rsidRPr="00E46F32">
        <w:rPr>
          <w:rFonts w:ascii="Times New Roman" w:hAnsi="Times New Roman" w:cs="Times New Roman"/>
          <w:sz w:val="24"/>
          <w:szCs w:val="24"/>
        </w:rPr>
        <w:t>‡</w:t>
      </w:r>
    </w:p>
    <w:p w14:paraId="349F7E9D" w14:textId="7731AC6F" w:rsidR="006F3B9B" w:rsidRDefault="006F3B9B">
      <w:pPr>
        <w:rPr>
          <w:rFonts w:ascii="Times New Roman" w:hAnsi="Times New Roman" w:cs="Times New Roman"/>
          <w:sz w:val="24"/>
          <w:szCs w:val="24"/>
        </w:rPr>
      </w:pPr>
      <w:r>
        <w:rPr>
          <w:rFonts w:ascii="Times New Roman" w:hAnsi="Times New Roman" w:cs="Times New Roman"/>
          <w:sz w:val="24"/>
          <w:szCs w:val="24"/>
        </w:rPr>
        <w:t xml:space="preserve">Ty Beal, PhD, </w:t>
      </w:r>
      <w:r w:rsidR="00360452">
        <w:rPr>
          <w:rFonts w:ascii="Times New Roman" w:hAnsi="Times New Roman" w:cs="Times New Roman"/>
          <w:sz w:val="24"/>
          <w:szCs w:val="24"/>
        </w:rPr>
        <w:t xml:space="preserve">Global Alliance for Improved Nutrition, </w:t>
      </w:r>
      <w:r w:rsidR="003F67DE">
        <w:rPr>
          <w:rFonts w:ascii="Times New Roman" w:hAnsi="Times New Roman" w:cs="Times New Roman"/>
          <w:sz w:val="24"/>
          <w:szCs w:val="24"/>
        </w:rPr>
        <w:t>DC, USA</w:t>
      </w:r>
      <w:r w:rsidR="002224F6">
        <w:rPr>
          <w:rFonts w:ascii="Times New Roman" w:hAnsi="Times New Roman" w:cs="Times New Roman"/>
          <w:sz w:val="24"/>
          <w:szCs w:val="24"/>
        </w:rPr>
        <w:t>*</w:t>
      </w:r>
      <w:r w:rsidR="00E46F32" w:rsidRPr="00E46F32">
        <w:rPr>
          <w:rFonts w:ascii="Times New Roman" w:hAnsi="Times New Roman" w:cs="Times New Roman"/>
          <w:sz w:val="24"/>
          <w:szCs w:val="24"/>
        </w:rPr>
        <w:t>‡</w:t>
      </w:r>
    </w:p>
    <w:p w14:paraId="26A9B45A" w14:textId="5C16A4E9" w:rsidR="003011F4" w:rsidRDefault="003F67DE">
      <w:pPr>
        <w:rPr>
          <w:rFonts w:ascii="Times New Roman" w:hAnsi="Times New Roman" w:cs="Times New Roman"/>
          <w:sz w:val="24"/>
          <w:szCs w:val="24"/>
        </w:rPr>
      </w:pPr>
      <w:r>
        <w:rPr>
          <w:rFonts w:ascii="Times New Roman" w:hAnsi="Times New Roman" w:cs="Times New Roman"/>
          <w:sz w:val="24"/>
          <w:szCs w:val="24"/>
        </w:rPr>
        <w:t xml:space="preserve">Mduduzi </w:t>
      </w:r>
      <w:r w:rsidR="00AB3C16">
        <w:rPr>
          <w:rFonts w:ascii="Times New Roman" w:hAnsi="Times New Roman" w:cs="Times New Roman"/>
          <w:sz w:val="24"/>
          <w:szCs w:val="24"/>
        </w:rPr>
        <w:t>NN</w:t>
      </w:r>
      <w:r>
        <w:rPr>
          <w:rFonts w:ascii="Times New Roman" w:hAnsi="Times New Roman" w:cs="Times New Roman"/>
          <w:sz w:val="24"/>
          <w:szCs w:val="24"/>
        </w:rPr>
        <w:t xml:space="preserve"> Mbuya, </w:t>
      </w:r>
      <w:r w:rsidR="00AB3C16">
        <w:rPr>
          <w:rFonts w:ascii="Times New Roman" w:hAnsi="Times New Roman" w:cs="Times New Roman"/>
          <w:sz w:val="24"/>
          <w:szCs w:val="24"/>
        </w:rPr>
        <w:t xml:space="preserve">PhD, </w:t>
      </w:r>
      <w:r w:rsidR="00905933">
        <w:rPr>
          <w:rFonts w:ascii="Times New Roman" w:hAnsi="Times New Roman" w:cs="Times New Roman"/>
          <w:sz w:val="24"/>
          <w:szCs w:val="24"/>
        </w:rPr>
        <w:t>Global Alliance for Improved Nutrition, DC, USA</w:t>
      </w:r>
      <w:r w:rsidR="00E46F32" w:rsidRPr="00E46F32">
        <w:rPr>
          <w:rFonts w:ascii="Times New Roman" w:hAnsi="Times New Roman" w:cs="Times New Roman"/>
          <w:sz w:val="24"/>
          <w:szCs w:val="24"/>
        </w:rPr>
        <w:t>‡</w:t>
      </w:r>
    </w:p>
    <w:p w14:paraId="2FC5FE4B" w14:textId="55147693" w:rsidR="00300912" w:rsidRPr="00031AA3" w:rsidRDefault="00300912">
      <w:pPr>
        <w:rPr>
          <w:rFonts w:ascii="Times New Roman" w:hAnsi="Times New Roman" w:cs="Times New Roman"/>
          <w:sz w:val="24"/>
          <w:szCs w:val="24"/>
        </w:rPr>
      </w:pPr>
      <w:r>
        <w:rPr>
          <w:rFonts w:ascii="Times New Roman" w:hAnsi="Times New Roman" w:cs="Times New Roman"/>
          <w:sz w:val="24"/>
          <w:szCs w:val="24"/>
        </w:rPr>
        <w:t>Lynnette M Neufeld, PhD, Global Alliance for Improved Nutrition, Geneva, Switzerland</w:t>
      </w:r>
      <w:r w:rsidRPr="00E46F32">
        <w:rPr>
          <w:rFonts w:ascii="Times New Roman" w:hAnsi="Times New Roman" w:cs="Times New Roman"/>
          <w:sz w:val="24"/>
          <w:szCs w:val="24"/>
        </w:rPr>
        <w:t>‡</w:t>
      </w:r>
    </w:p>
    <w:p w14:paraId="1AA28633" w14:textId="77777777" w:rsidR="00101C88" w:rsidRDefault="00101C88" w:rsidP="00101C88">
      <w:pPr>
        <w:rPr>
          <w:rFonts w:ascii="Times New Roman" w:hAnsi="Times New Roman" w:cs="Times New Roman"/>
          <w:sz w:val="24"/>
          <w:szCs w:val="24"/>
        </w:rPr>
      </w:pPr>
      <w:r>
        <w:rPr>
          <w:rFonts w:ascii="Times New Roman" w:hAnsi="Times New Roman" w:cs="Times New Roman"/>
          <w:sz w:val="24"/>
          <w:szCs w:val="24"/>
        </w:rPr>
        <w:t>Global Micronutrient Deficiencies research group</w:t>
      </w:r>
    </w:p>
    <w:p w14:paraId="680311C4" w14:textId="77777777" w:rsidR="00101C88" w:rsidRDefault="00101C88" w:rsidP="00101C88">
      <w:pPr>
        <w:rPr>
          <w:rFonts w:ascii="Times New Roman" w:hAnsi="Times New Roman" w:cs="Times New Roman"/>
          <w:sz w:val="24"/>
          <w:szCs w:val="24"/>
        </w:rPr>
      </w:pPr>
    </w:p>
    <w:p w14:paraId="58CD71BB" w14:textId="77777777" w:rsidR="00101C88" w:rsidRPr="00300912" w:rsidRDefault="00101C88" w:rsidP="00101C88">
      <w:pPr>
        <w:rPr>
          <w:rFonts w:ascii="Times New Roman" w:hAnsi="Times New Roman" w:cs="Times New Roman"/>
          <w:i/>
          <w:iCs/>
          <w:sz w:val="24"/>
          <w:szCs w:val="24"/>
        </w:rPr>
      </w:pPr>
      <w:r>
        <w:rPr>
          <w:rFonts w:ascii="Times New Roman" w:hAnsi="Times New Roman" w:cs="Times New Roman"/>
          <w:i/>
          <w:iCs/>
          <w:sz w:val="24"/>
          <w:szCs w:val="24"/>
        </w:rPr>
        <w:t>Research group authors are listed alphabetically</w:t>
      </w:r>
    </w:p>
    <w:p w14:paraId="5C90F17E" w14:textId="77777777" w:rsidR="00101C88" w:rsidRDefault="00101C88" w:rsidP="00101C88">
      <w:pPr>
        <w:rPr>
          <w:rFonts w:ascii="Times New Roman" w:hAnsi="Times New Roman" w:cs="Times New Roman"/>
          <w:sz w:val="24"/>
          <w:szCs w:val="24"/>
        </w:rPr>
      </w:pPr>
    </w:p>
    <w:p w14:paraId="3F8D5174"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Yaw Addo</w:t>
      </w:r>
    </w:p>
    <w:p w14:paraId="2B7AB173"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Seth </w:t>
      </w:r>
      <w:proofErr w:type="spellStart"/>
      <w:r w:rsidRPr="00103A0F">
        <w:rPr>
          <w:rFonts w:ascii="Times New Roman" w:hAnsi="Times New Roman" w:cs="Times New Roman"/>
          <w:sz w:val="24"/>
          <w:szCs w:val="24"/>
        </w:rPr>
        <w:t>Adu-Afarwuah</w:t>
      </w:r>
      <w:proofErr w:type="spellEnd"/>
    </w:p>
    <w:p w14:paraId="1CF6483E" w14:textId="77777777" w:rsidR="00101C88" w:rsidRDefault="00101C88" w:rsidP="00101C88">
      <w:pPr>
        <w:rPr>
          <w:rFonts w:ascii="Times New Roman" w:hAnsi="Times New Roman" w:cs="Times New Roman"/>
          <w:sz w:val="24"/>
          <w:szCs w:val="24"/>
        </w:rPr>
      </w:pPr>
      <w:r>
        <w:rPr>
          <w:rFonts w:ascii="Times New Roman" w:hAnsi="Times New Roman" w:cs="Times New Roman"/>
          <w:sz w:val="24"/>
          <w:szCs w:val="24"/>
        </w:rPr>
        <w:t xml:space="preserve">Silvia </w:t>
      </w:r>
      <w:proofErr w:type="spellStart"/>
      <w:r>
        <w:rPr>
          <w:rFonts w:ascii="Times New Roman" w:hAnsi="Times New Roman" w:cs="Times New Roman"/>
          <w:sz w:val="24"/>
          <w:szCs w:val="24"/>
        </w:rPr>
        <w:t>Alayon</w:t>
      </w:r>
      <w:proofErr w:type="spellEnd"/>
    </w:p>
    <w:p w14:paraId="2F3E4698" w14:textId="77777777" w:rsidR="00101C88"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Zulfi </w:t>
      </w:r>
      <w:proofErr w:type="spellStart"/>
      <w:r w:rsidRPr="00103A0F">
        <w:rPr>
          <w:rFonts w:ascii="Times New Roman" w:hAnsi="Times New Roman" w:cs="Times New Roman"/>
          <w:sz w:val="24"/>
          <w:szCs w:val="24"/>
        </w:rPr>
        <w:t>Bhutta</w:t>
      </w:r>
      <w:proofErr w:type="spellEnd"/>
    </w:p>
    <w:p w14:paraId="0327076B"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Kenneth Brown</w:t>
      </w:r>
    </w:p>
    <w:p w14:paraId="0B545151" w14:textId="77777777" w:rsidR="00101C88" w:rsidRPr="00B13A44" w:rsidRDefault="00101C88" w:rsidP="00101C88">
      <w:pPr>
        <w:rPr>
          <w:rFonts w:ascii="Times New Roman" w:hAnsi="Times New Roman" w:cs="Times New Roman"/>
          <w:sz w:val="24"/>
          <w:szCs w:val="24"/>
          <w:lang w:val="es-MX"/>
        </w:rPr>
      </w:pPr>
      <w:r w:rsidRPr="00B13A44">
        <w:rPr>
          <w:rFonts w:ascii="Times New Roman" w:hAnsi="Times New Roman" w:cs="Times New Roman"/>
          <w:sz w:val="24"/>
          <w:szCs w:val="24"/>
          <w:lang w:val="es-MX"/>
        </w:rPr>
        <w:t>Maria Elena Jefferds</w:t>
      </w:r>
    </w:p>
    <w:p w14:paraId="3CC041CE"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Reina Engle-Stone</w:t>
      </w:r>
    </w:p>
    <w:p w14:paraId="36A96135" w14:textId="77777777" w:rsidR="00101C88" w:rsidRDefault="00101C88" w:rsidP="00101C88">
      <w:pPr>
        <w:rPr>
          <w:rFonts w:ascii="Times New Roman" w:hAnsi="Times New Roman" w:cs="Times New Roman"/>
          <w:sz w:val="24"/>
          <w:szCs w:val="24"/>
        </w:rPr>
      </w:pPr>
      <w:proofErr w:type="spellStart"/>
      <w:r w:rsidRPr="00103A0F">
        <w:rPr>
          <w:rFonts w:ascii="Times New Roman" w:hAnsi="Times New Roman" w:cs="Times New Roman"/>
          <w:sz w:val="24"/>
          <w:szCs w:val="24"/>
        </w:rPr>
        <w:t>Wafaie</w:t>
      </w:r>
      <w:proofErr w:type="spellEnd"/>
      <w:r w:rsidRPr="00103A0F">
        <w:rPr>
          <w:rFonts w:ascii="Times New Roman" w:hAnsi="Times New Roman" w:cs="Times New Roman"/>
          <w:sz w:val="24"/>
          <w:szCs w:val="24"/>
        </w:rPr>
        <w:t xml:space="preserve"> Fawzi</w:t>
      </w:r>
    </w:p>
    <w:p w14:paraId="1B02EF98"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Sonja Y Hess</w:t>
      </w:r>
    </w:p>
    <w:p w14:paraId="5AAE5CAE"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Robert Johnston</w:t>
      </w:r>
    </w:p>
    <w:p w14:paraId="6E265D78"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Joanne Katz</w:t>
      </w:r>
    </w:p>
    <w:p w14:paraId="50DCB1C3"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Julia </w:t>
      </w:r>
      <w:proofErr w:type="spellStart"/>
      <w:r w:rsidRPr="00103A0F">
        <w:rPr>
          <w:rFonts w:ascii="Times New Roman" w:hAnsi="Times New Roman" w:cs="Times New Roman"/>
          <w:sz w:val="24"/>
          <w:szCs w:val="24"/>
        </w:rPr>
        <w:t>Krasevec</w:t>
      </w:r>
      <w:proofErr w:type="spellEnd"/>
    </w:p>
    <w:p w14:paraId="3D9C78B5" w14:textId="77777777" w:rsidR="00101C88" w:rsidRDefault="00101C88" w:rsidP="00101C88">
      <w:pPr>
        <w:rPr>
          <w:rFonts w:ascii="Times New Roman" w:hAnsi="Times New Roman" w:cs="Times New Roman"/>
          <w:sz w:val="24"/>
          <w:szCs w:val="24"/>
        </w:rPr>
      </w:pPr>
      <w:proofErr w:type="spellStart"/>
      <w:r w:rsidRPr="00103A0F">
        <w:rPr>
          <w:rFonts w:ascii="Times New Roman" w:hAnsi="Times New Roman" w:cs="Times New Roman"/>
          <w:sz w:val="24"/>
          <w:szCs w:val="24"/>
        </w:rPr>
        <w:t>Hanqi</w:t>
      </w:r>
      <w:proofErr w:type="spellEnd"/>
      <w:r w:rsidRPr="00103A0F">
        <w:rPr>
          <w:rFonts w:ascii="Times New Roman" w:hAnsi="Times New Roman" w:cs="Times New Roman"/>
          <w:sz w:val="24"/>
          <w:szCs w:val="24"/>
        </w:rPr>
        <w:t xml:space="preserve"> Luo</w:t>
      </w:r>
    </w:p>
    <w:p w14:paraId="36CF7CB0" w14:textId="77777777" w:rsidR="00101C88" w:rsidRPr="00CC2C3F" w:rsidRDefault="00101C88" w:rsidP="00101C88">
      <w:pPr>
        <w:rPr>
          <w:rFonts w:ascii="Times New Roman" w:hAnsi="Times New Roman" w:cs="Times New Roman"/>
          <w:sz w:val="24"/>
          <w:szCs w:val="24"/>
          <w:lang w:val="es-MX"/>
        </w:rPr>
      </w:pPr>
      <w:r w:rsidRPr="00B13A44">
        <w:rPr>
          <w:rFonts w:ascii="Times New Roman" w:hAnsi="Times New Roman" w:cs="Times New Roman"/>
          <w:sz w:val="24"/>
          <w:szCs w:val="24"/>
          <w:lang w:val="es-MX"/>
        </w:rPr>
        <w:t>Maria Jose Ramirez Luzuriaga</w:t>
      </w:r>
    </w:p>
    <w:p w14:paraId="50EF49F9"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Christine McDonald</w:t>
      </w:r>
    </w:p>
    <w:p w14:paraId="06F5ADBA" w14:textId="77777777" w:rsidR="00101C88" w:rsidRPr="00103A0F" w:rsidRDefault="00101C88" w:rsidP="00101C88">
      <w:pPr>
        <w:rPr>
          <w:rFonts w:ascii="Times New Roman" w:hAnsi="Times New Roman" w:cs="Times New Roman"/>
          <w:sz w:val="24"/>
          <w:szCs w:val="24"/>
        </w:rPr>
      </w:pPr>
      <w:proofErr w:type="spellStart"/>
      <w:r w:rsidRPr="00103A0F">
        <w:rPr>
          <w:rFonts w:ascii="Times New Roman" w:hAnsi="Times New Roman" w:cs="Times New Roman"/>
          <w:sz w:val="24"/>
          <w:szCs w:val="24"/>
        </w:rPr>
        <w:t>Zuguo</w:t>
      </w:r>
      <w:proofErr w:type="spellEnd"/>
      <w:r w:rsidRPr="00103A0F">
        <w:rPr>
          <w:rFonts w:ascii="Times New Roman" w:hAnsi="Times New Roman" w:cs="Times New Roman"/>
          <w:sz w:val="24"/>
          <w:szCs w:val="24"/>
        </w:rPr>
        <w:t xml:space="preserve"> Mei</w:t>
      </w:r>
    </w:p>
    <w:p w14:paraId="1A166B00"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Saskia </w:t>
      </w:r>
      <w:proofErr w:type="spellStart"/>
      <w:r w:rsidRPr="00103A0F">
        <w:rPr>
          <w:rFonts w:ascii="Times New Roman" w:hAnsi="Times New Roman" w:cs="Times New Roman"/>
          <w:sz w:val="24"/>
          <w:szCs w:val="24"/>
        </w:rPr>
        <w:t>Osendarp</w:t>
      </w:r>
      <w:proofErr w:type="spellEnd"/>
    </w:p>
    <w:p w14:paraId="69139BD7"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Christopher </w:t>
      </w:r>
      <w:proofErr w:type="spellStart"/>
      <w:r w:rsidRPr="00103A0F">
        <w:rPr>
          <w:rFonts w:ascii="Times New Roman" w:hAnsi="Times New Roman" w:cs="Times New Roman"/>
          <w:sz w:val="24"/>
          <w:szCs w:val="24"/>
        </w:rPr>
        <w:t>Paciorek</w:t>
      </w:r>
      <w:proofErr w:type="spellEnd"/>
    </w:p>
    <w:p w14:paraId="304E73D4" w14:textId="77777777" w:rsidR="00101C88" w:rsidRPr="0006269B" w:rsidRDefault="00101C88" w:rsidP="00101C88">
      <w:pPr>
        <w:rPr>
          <w:rFonts w:ascii="Times New Roman" w:hAnsi="Times New Roman" w:cs="Times New Roman"/>
          <w:sz w:val="24"/>
          <w:szCs w:val="24"/>
          <w:lang w:val="es-MX"/>
        </w:rPr>
      </w:pPr>
      <w:r w:rsidRPr="0006269B">
        <w:rPr>
          <w:rFonts w:ascii="Times New Roman" w:hAnsi="Times New Roman" w:cs="Times New Roman"/>
          <w:sz w:val="24"/>
          <w:szCs w:val="24"/>
          <w:lang w:val="es-MX"/>
        </w:rPr>
        <w:t>Nico Petry</w:t>
      </w:r>
    </w:p>
    <w:p w14:paraId="4CBE54FF" w14:textId="14F68BC0"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Christine </w:t>
      </w:r>
      <w:r>
        <w:rPr>
          <w:rFonts w:ascii="Times New Roman" w:hAnsi="Times New Roman" w:cs="Times New Roman"/>
          <w:sz w:val="24"/>
          <w:szCs w:val="24"/>
        </w:rPr>
        <w:t xml:space="preserve">M </w:t>
      </w:r>
      <w:r w:rsidRPr="00103A0F">
        <w:rPr>
          <w:rFonts w:ascii="Times New Roman" w:hAnsi="Times New Roman" w:cs="Times New Roman"/>
          <w:sz w:val="24"/>
          <w:szCs w:val="24"/>
        </w:rPr>
        <w:t>Pfeiffer</w:t>
      </w:r>
    </w:p>
    <w:p w14:paraId="3CCF9154" w14:textId="77777777" w:rsidR="00101C88" w:rsidRPr="00B13A44" w:rsidRDefault="00101C88" w:rsidP="00101C88">
      <w:pPr>
        <w:rPr>
          <w:rFonts w:ascii="Times New Roman" w:hAnsi="Times New Roman" w:cs="Times New Roman"/>
          <w:sz w:val="24"/>
          <w:szCs w:val="24"/>
          <w:lang w:val="es-MX"/>
        </w:rPr>
      </w:pPr>
      <w:r w:rsidRPr="00B13A44">
        <w:rPr>
          <w:rFonts w:ascii="Times New Roman" w:hAnsi="Times New Roman" w:cs="Times New Roman"/>
          <w:sz w:val="24"/>
          <w:szCs w:val="24"/>
          <w:lang w:val="es-MX"/>
        </w:rPr>
        <w:t>Lisa Rogers</w:t>
      </w:r>
    </w:p>
    <w:p w14:paraId="0207236E"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Fabian </w:t>
      </w:r>
      <w:proofErr w:type="spellStart"/>
      <w:r w:rsidRPr="00103A0F">
        <w:rPr>
          <w:rFonts w:ascii="Times New Roman" w:hAnsi="Times New Roman" w:cs="Times New Roman"/>
          <w:sz w:val="24"/>
          <w:szCs w:val="24"/>
        </w:rPr>
        <w:t>Rohner</w:t>
      </w:r>
      <w:proofErr w:type="spellEnd"/>
    </w:p>
    <w:p w14:paraId="66E6D341"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Vani </w:t>
      </w:r>
      <w:proofErr w:type="spellStart"/>
      <w:r w:rsidRPr="00103A0F">
        <w:rPr>
          <w:rFonts w:ascii="Times New Roman" w:hAnsi="Times New Roman" w:cs="Times New Roman"/>
          <w:sz w:val="24"/>
          <w:szCs w:val="24"/>
        </w:rPr>
        <w:t>Sethi</w:t>
      </w:r>
      <w:proofErr w:type="spellEnd"/>
    </w:p>
    <w:p w14:paraId="40434978" w14:textId="77777777" w:rsidR="00101C88" w:rsidRPr="0006269B" w:rsidRDefault="00101C88" w:rsidP="00101C88">
      <w:pPr>
        <w:rPr>
          <w:rFonts w:ascii="Times New Roman" w:hAnsi="Times New Roman" w:cs="Times New Roman"/>
          <w:sz w:val="24"/>
          <w:szCs w:val="24"/>
          <w:lang w:val="es-MX"/>
        </w:rPr>
      </w:pPr>
      <w:r w:rsidRPr="0006269B">
        <w:rPr>
          <w:rFonts w:ascii="Times New Roman" w:hAnsi="Times New Roman" w:cs="Times New Roman"/>
          <w:sz w:val="24"/>
          <w:szCs w:val="24"/>
          <w:lang w:val="es-MX"/>
        </w:rPr>
        <w:t>Parmi Suchdev</w:t>
      </w:r>
    </w:p>
    <w:p w14:paraId="70665DCD" w14:textId="77777777" w:rsidR="00101C88" w:rsidRPr="00103A0F" w:rsidRDefault="00101C88" w:rsidP="00101C88">
      <w:pPr>
        <w:rPr>
          <w:rFonts w:ascii="Times New Roman" w:hAnsi="Times New Roman" w:cs="Times New Roman"/>
          <w:sz w:val="24"/>
          <w:szCs w:val="24"/>
        </w:rPr>
      </w:pPr>
      <w:proofErr w:type="spellStart"/>
      <w:r w:rsidRPr="00103A0F">
        <w:rPr>
          <w:rFonts w:ascii="Times New Roman" w:hAnsi="Times New Roman" w:cs="Times New Roman"/>
          <w:sz w:val="24"/>
          <w:szCs w:val="24"/>
        </w:rPr>
        <w:t>Masresha</w:t>
      </w:r>
      <w:proofErr w:type="spellEnd"/>
      <w:r w:rsidRPr="00103A0F">
        <w:rPr>
          <w:rFonts w:ascii="Times New Roman" w:hAnsi="Times New Roman" w:cs="Times New Roman"/>
          <w:sz w:val="24"/>
          <w:szCs w:val="24"/>
        </w:rPr>
        <w:t xml:space="preserve"> </w:t>
      </w:r>
      <w:proofErr w:type="spellStart"/>
      <w:r w:rsidRPr="00103A0F">
        <w:rPr>
          <w:rFonts w:ascii="Times New Roman" w:hAnsi="Times New Roman" w:cs="Times New Roman"/>
          <w:sz w:val="24"/>
          <w:szCs w:val="24"/>
        </w:rPr>
        <w:t>Tessema</w:t>
      </w:r>
      <w:proofErr w:type="spellEnd"/>
    </w:p>
    <w:p w14:paraId="2229802E"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Salvador </w:t>
      </w:r>
      <w:proofErr w:type="spellStart"/>
      <w:r w:rsidRPr="00103A0F">
        <w:rPr>
          <w:rFonts w:ascii="Times New Roman" w:hAnsi="Times New Roman" w:cs="Times New Roman"/>
          <w:sz w:val="24"/>
          <w:szCs w:val="24"/>
        </w:rPr>
        <w:t>Villapando</w:t>
      </w:r>
      <w:proofErr w:type="spellEnd"/>
    </w:p>
    <w:p w14:paraId="2D271E2F"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 xml:space="preserve">Frank </w:t>
      </w:r>
      <w:proofErr w:type="spellStart"/>
      <w:r w:rsidRPr="00103A0F">
        <w:rPr>
          <w:rFonts w:ascii="Times New Roman" w:hAnsi="Times New Roman" w:cs="Times New Roman"/>
          <w:sz w:val="24"/>
          <w:szCs w:val="24"/>
        </w:rPr>
        <w:t>Wieringa</w:t>
      </w:r>
      <w:proofErr w:type="spellEnd"/>
      <w:r w:rsidRPr="00103A0F">
        <w:rPr>
          <w:rFonts w:ascii="Times New Roman" w:hAnsi="Times New Roman" w:cs="Times New Roman"/>
          <w:sz w:val="24"/>
          <w:szCs w:val="24"/>
        </w:rPr>
        <w:t xml:space="preserve"> </w:t>
      </w:r>
    </w:p>
    <w:p w14:paraId="50BDB0C3"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Anne Williams</w:t>
      </w:r>
    </w:p>
    <w:p w14:paraId="183311D1" w14:textId="77777777" w:rsidR="00101C88" w:rsidRDefault="00101C88" w:rsidP="00101C88">
      <w:pPr>
        <w:rPr>
          <w:rFonts w:ascii="Times New Roman" w:hAnsi="Times New Roman" w:cs="Times New Roman"/>
          <w:sz w:val="24"/>
          <w:szCs w:val="24"/>
        </w:rPr>
      </w:pPr>
      <w:proofErr w:type="spellStart"/>
      <w:r w:rsidRPr="00103A0F">
        <w:rPr>
          <w:rFonts w:ascii="Times New Roman" w:hAnsi="Times New Roman" w:cs="Times New Roman"/>
          <w:sz w:val="24"/>
          <w:szCs w:val="24"/>
        </w:rPr>
        <w:t>Meseret</w:t>
      </w:r>
      <w:proofErr w:type="spellEnd"/>
      <w:r w:rsidRPr="00103A0F">
        <w:rPr>
          <w:rFonts w:ascii="Times New Roman" w:hAnsi="Times New Roman" w:cs="Times New Roman"/>
          <w:sz w:val="24"/>
          <w:szCs w:val="24"/>
        </w:rPr>
        <w:t xml:space="preserve"> </w:t>
      </w:r>
      <w:proofErr w:type="spellStart"/>
      <w:r w:rsidRPr="00103A0F">
        <w:rPr>
          <w:rFonts w:ascii="Times New Roman" w:hAnsi="Times New Roman" w:cs="Times New Roman"/>
          <w:sz w:val="24"/>
          <w:szCs w:val="24"/>
        </w:rPr>
        <w:t>Woldeyahannes</w:t>
      </w:r>
      <w:proofErr w:type="spellEnd"/>
    </w:p>
    <w:p w14:paraId="7A3F44C1" w14:textId="77777777" w:rsidR="00101C88" w:rsidRPr="00103A0F" w:rsidRDefault="00101C88" w:rsidP="00101C88">
      <w:pPr>
        <w:rPr>
          <w:rFonts w:ascii="Times New Roman" w:hAnsi="Times New Roman" w:cs="Times New Roman"/>
          <w:sz w:val="24"/>
          <w:szCs w:val="24"/>
        </w:rPr>
      </w:pPr>
      <w:r w:rsidRPr="00103A0F">
        <w:rPr>
          <w:rFonts w:ascii="Times New Roman" w:hAnsi="Times New Roman" w:cs="Times New Roman"/>
          <w:sz w:val="24"/>
          <w:szCs w:val="24"/>
        </w:rPr>
        <w:t>Melissa Young</w:t>
      </w:r>
    </w:p>
    <w:p w14:paraId="1670C295" w14:textId="12453D52" w:rsidR="00765C08" w:rsidRDefault="00765C08">
      <w:pPr>
        <w:rPr>
          <w:rFonts w:ascii="Times New Roman" w:hAnsi="Times New Roman" w:cs="Times New Roman"/>
          <w:sz w:val="24"/>
          <w:szCs w:val="24"/>
        </w:rPr>
      </w:pPr>
    </w:p>
    <w:p w14:paraId="0EA45580" w14:textId="15F3A77F" w:rsidR="002224F6" w:rsidRDefault="002224F6">
      <w:pPr>
        <w:rPr>
          <w:rFonts w:ascii="Times New Roman" w:hAnsi="Times New Roman" w:cs="Times New Roman"/>
          <w:sz w:val="24"/>
          <w:szCs w:val="24"/>
        </w:rPr>
      </w:pPr>
      <w:r>
        <w:rPr>
          <w:rFonts w:ascii="Times New Roman" w:hAnsi="Times New Roman" w:cs="Times New Roman"/>
          <w:sz w:val="24"/>
          <w:szCs w:val="24"/>
        </w:rPr>
        <w:t>*</w:t>
      </w:r>
      <w:r w:rsidR="00A8718E">
        <w:rPr>
          <w:rFonts w:ascii="Times New Roman" w:hAnsi="Times New Roman" w:cs="Times New Roman"/>
          <w:sz w:val="24"/>
          <w:szCs w:val="24"/>
        </w:rPr>
        <w:t>Co-first authors</w:t>
      </w:r>
    </w:p>
    <w:p w14:paraId="3F6D8003" w14:textId="43AAF72C" w:rsidR="00A8718E" w:rsidRDefault="00E46F32">
      <w:pPr>
        <w:rPr>
          <w:rFonts w:ascii="Times New Roman" w:hAnsi="Times New Roman" w:cs="Times New Roman"/>
          <w:sz w:val="24"/>
          <w:szCs w:val="24"/>
        </w:rPr>
      </w:pPr>
      <w:r w:rsidRPr="00E46F32">
        <w:rPr>
          <w:rFonts w:ascii="Times New Roman" w:hAnsi="Times New Roman" w:cs="Times New Roman"/>
          <w:sz w:val="24"/>
          <w:szCs w:val="24"/>
        </w:rPr>
        <w:t>‡</w:t>
      </w:r>
      <w:r>
        <w:rPr>
          <w:rFonts w:ascii="Times New Roman" w:hAnsi="Times New Roman" w:cs="Times New Roman"/>
          <w:sz w:val="24"/>
          <w:szCs w:val="24"/>
        </w:rPr>
        <w:t>Core research team</w:t>
      </w:r>
    </w:p>
    <w:p w14:paraId="10D92AE1" w14:textId="77777777" w:rsidR="00381BF2" w:rsidRDefault="00381BF2">
      <w:pPr>
        <w:rPr>
          <w:rFonts w:ascii="Times New Roman" w:hAnsi="Times New Roman" w:cs="Times New Roman"/>
          <w:sz w:val="24"/>
          <w:szCs w:val="24"/>
        </w:rPr>
      </w:pPr>
    </w:p>
    <w:p w14:paraId="504E79D5" w14:textId="54A5570D" w:rsidR="00B6734E" w:rsidRPr="00B6734E" w:rsidRDefault="00911AAA" w:rsidP="00B6734E">
      <w:pPr>
        <w:rPr>
          <w:rFonts w:ascii="Times New Roman" w:hAnsi="Times New Roman" w:cs="Times New Roman"/>
          <w:sz w:val="24"/>
          <w:szCs w:val="24"/>
        </w:rPr>
      </w:pPr>
      <w:r w:rsidRPr="00911AAA">
        <w:rPr>
          <w:rFonts w:ascii="Times New Roman" w:hAnsi="Times New Roman" w:cs="Times New Roman"/>
          <w:sz w:val="24"/>
          <w:szCs w:val="24"/>
        </w:rPr>
        <w:t xml:space="preserve">Corresponding author: </w:t>
      </w:r>
      <w:r w:rsidR="00B6734E" w:rsidRPr="00B6734E">
        <w:rPr>
          <w:rFonts w:ascii="Times New Roman" w:hAnsi="Times New Roman" w:cs="Times New Roman"/>
          <w:sz w:val="24"/>
          <w:szCs w:val="24"/>
        </w:rPr>
        <w:t xml:space="preserve">LM Neufeld, Global Alliance for Improved Nutrition (GAIN), Rue </w:t>
      </w:r>
      <w:proofErr w:type="spellStart"/>
      <w:r w:rsidR="00B6734E" w:rsidRPr="00B6734E">
        <w:rPr>
          <w:rFonts w:ascii="Times New Roman" w:hAnsi="Times New Roman" w:cs="Times New Roman"/>
          <w:sz w:val="24"/>
          <w:szCs w:val="24"/>
        </w:rPr>
        <w:t>Varemb</w:t>
      </w:r>
      <w:proofErr w:type="spellEnd"/>
      <w:r w:rsidR="00B6734E" w:rsidRPr="00B6734E">
        <w:rPr>
          <w:rFonts w:ascii="Times New Roman" w:hAnsi="Times New Roman" w:cs="Times New Roman"/>
          <w:sz w:val="24"/>
          <w:szCs w:val="24"/>
          <w:lang w:val="en-GB"/>
        </w:rPr>
        <w:t>é</w:t>
      </w:r>
      <w:r w:rsidR="00B6734E" w:rsidRPr="00B6734E">
        <w:rPr>
          <w:rFonts w:ascii="Times New Roman" w:hAnsi="Times New Roman" w:cs="Times New Roman"/>
          <w:sz w:val="24"/>
          <w:szCs w:val="24"/>
        </w:rPr>
        <w:t xml:space="preserve"> 7, 1202 Geneva, Switzerland</w:t>
      </w:r>
      <w:r w:rsidR="00B6734E">
        <w:rPr>
          <w:rFonts w:ascii="Times New Roman" w:hAnsi="Times New Roman" w:cs="Times New Roman"/>
          <w:sz w:val="24"/>
          <w:szCs w:val="24"/>
          <w:lang w:val="en-GB"/>
        </w:rPr>
        <w:t xml:space="preserve"> </w:t>
      </w:r>
      <w:hyperlink r:id="rId11" w:history="1">
        <w:r w:rsidR="00B6734E" w:rsidRPr="00C77BE2">
          <w:rPr>
            <w:rStyle w:val="Hyperlink"/>
            <w:rFonts w:ascii="Times New Roman" w:hAnsi="Times New Roman" w:cs="Times New Roman"/>
            <w:sz w:val="24"/>
            <w:szCs w:val="24"/>
            <w:lang w:val="en-GB"/>
          </w:rPr>
          <w:t>lynnetten@gmail.com</w:t>
        </w:r>
      </w:hyperlink>
      <w:r w:rsidR="00B6734E" w:rsidRPr="00B6734E">
        <w:rPr>
          <w:rFonts w:ascii="Times New Roman" w:hAnsi="Times New Roman" w:cs="Times New Roman"/>
          <w:sz w:val="24"/>
          <w:szCs w:val="24"/>
        </w:rPr>
        <w:t>, +41 79 137 6676</w:t>
      </w:r>
    </w:p>
    <w:p w14:paraId="515832CB" w14:textId="6DA4C3A8" w:rsidR="005D4398" w:rsidRDefault="005D4398">
      <w:pPr>
        <w:rPr>
          <w:rFonts w:ascii="Times New Roman" w:hAnsi="Times New Roman" w:cs="Times New Roman"/>
          <w:sz w:val="24"/>
          <w:szCs w:val="24"/>
        </w:rPr>
      </w:pPr>
    </w:p>
    <w:p w14:paraId="20F03E8C" w14:textId="77777777" w:rsidR="0094307A" w:rsidRPr="0094307A" w:rsidRDefault="0094307A" w:rsidP="0094307A">
      <w:pPr>
        <w:rPr>
          <w:rFonts w:ascii="Times New Roman" w:hAnsi="Times New Roman" w:cs="Times New Roman"/>
          <w:sz w:val="24"/>
          <w:szCs w:val="24"/>
        </w:rPr>
      </w:pPr>
      <w:r w:rsidRPr="0094307A">
        <w:rPr>
          <w:rFonts w:ascii="Times New Roman" w:hAnsi="Times New Roman" w:cs="Times New Roman"/>
          <w:sz w:val="24"/>
          <w:szCs w:val="24"/>
        </w:rPr>
        <w:t>Word count:</w:t>
      </w:r>
    </w:p>
    <w:p w14:paraId="3B9C51B5" w14:textId="5C92F1CE" w:rsidR="0094307A" w:rsidRDefault="0094307A" w:rsidP="0094307A">
      <w:pPr>
        <w:rPr>
          <w:rFonts w:ascii="Times New Roman" w:hAnsi="Times New Roman" w:cs="Times New Roman"/>
          <w:sz w:val="24"/>
          <w:szCs w:val="24"/>
        </w:rPr>
      </w:pPr>
      <w:r w:rsidRPr="0094307A">
        <w:rPr>
          <w:rFonts w:ascii="Times New Roman" w:hAnsi="Times New Roman" w:cs="Times New Roman"/>
          <w:sz w:val="24"/>
          <w:szCs w:val="24"/>
        </w:rPr>
        <w:tab/>
      </w:r>
      <w:r>
        <w:rPr>
          <w:rFonts w:ascii="Times New Roman" w:hAnsi="Times New Roman" w:cs="Times New Roman"/>
          <w:sz w:val="24"/>
          <w:szCs w:val="24"/>
        </w:rPr>
        <w:t>Abstract</w:t>
      </w:r>
      <w:r w:rsidRPr="0094307A">
        <w:rPr>
          <w:rFonts w:ascii="Times New Roman" w:hAnsi="Times New Roman" w:cs="Times New Roman"/>
          <w:sz w:val="24"/>
          <w:szCs w:val="24"/>
        </w:rPr>
        <w:t xml:space="preserve">: </w:t>
      </w:r>
      <w:r w:rsidR="000473AC">
        <w:rPr>
          <w:rFonts w:ascii="Times New Roman" w:hAnsi="Times New Roman" w:cs="Times New Roman"/>
          <w:sz w:val="24"/>
          <w:szCs w:val="24"/>
        </w:rPr>
        <w:t>28</w:t>
      </w:r>
      <w:r w:rsidR="00B235C4">
        <w:rPr>
          <w:rFonts w:ascii="Times New Roman" w:hAnsi="Times New Roman" w:cs="Times New Roman"/>
          <w:sz w:val="24"/>
          <w:szCs w:val="24"/>
        </w:rPr>
        <w:t>5</w:t>
      </w:r>
    </w:p>
    <w:p w14:paraId="44A6E467" w14:textId="3EFF54CB" w:rsidR="009C6AFB" w:rsidRPr="0094307A" w:rsidRDefault="009C6AFB" w:rsidP="0094307A">
      <w:pPr>
        <w:rPr>
          <w:rFonts w:ascii="Times New Roman" w:hAnsi="Times New Roman" w:cs="Times New Roman"/>
          <w:sz w:val="24"/>
          <w:szCs w:val="24"/>
        </w:rPr>
      </w:pPr>
      <w:r>
        <w:rPr>
          <w:rFonts w:ascii="Times New Roman" w:hAnsi="Times New Roman" w:cs="Times New Roman"/>
          <w:sz w:val="24"/>
          <w:szCs w:val="24"/>
        </w:rPr>
        <w:lastRenderedPageBreak/>
        <w:tab/>
        <w:t>Research in Context: 2</w:t>
      </w:r>
      <w:r w:rsidR="008347A8">
        <w:rPr>
          <w:rFonts w:ascii="Times New Roman" w:hAnsi="Times New Roman" w:cs="Times New Roman"/>
          <w:sz w:val="24"/>
          <w:szCs w:val="24"/>
        </w:rPr>
        <w:t>5</w:t>
      </w:r>
      <w:r w:rsidR="001A2BA0">
        <w:rPr>
          <w:rFonts w:ascii="Times New Roman" w:hAnsi="Times New Roman" w:cs="Times New Roman"/>
          <w:sz w:val="24"/>
          <w:szCs w:val="24"/>
        </w:rPr>
        <w:t>2</w:t>
      </w:r>
    </w:p>
    <w:p w14:paraId="76F76637" w14:textId="4AF23EFF" w:rsidR="0094307A" w:rsidRPr="0094307A" w:rsidRDefault="0094307A" w:rsidP="0094307A">
      <w:pPr>
        <w:rPr>
          <w:rFonts w:ascii="Times New Roman" w:hAnsi="Times New Roman" w:cs="Times New Roman"/>
          <w:sz w:val="24"/>
          <w:szCs w:val="24"/>
        </w:rPr>
      </w:pPr>
      <w:r w:rsidRPr="0094307A">
        <w:rPr>
          <w:rFonts w:ascii="Times New Roman" w:hAnsi="Times New Roman" w:cs="Times New Roman"/>
          <w:sz w:val="24"/>
          <w:szCs w:val="24"/>
        </w:rPr>
        <w:tab/>
        <w:t xml:space="preserve">Text (Introduction through Conclusions): </w:t>
      </w:r>
      <w:r w:rsidR="00331B0B">
        <w:rPr>
          <w:rFonts w:ascii="Times New Roman" w:hAnsi="Times New Roman" w:cs="Times New Roman"/>
          <w:sz w:val="24"/>
          <w:szCs w:val="24"/>
        </w:rPr>
        <w:t>3,</w:t>
      </w:r>
      <w:r w:rsidR="00372611">
        <w:rPr>
          <w:rFonts w:ascii="Times New Roman" w:hAnsi="Times New Roman" w:cs="Times New Roman"/>
          <w:sz w:val="24"/>
          <w:szCs w:val="24"/>
        </w:rPr>
        <w:t>500</w:t>
      </w:r>
    </w:p>
    <w:p w14:paraId="0C19478A" w14:textId="77777777" w:rsidR="0094307A" w:rsidRPr="0094307A" w:rsidRDefault="0094307A" w:rsidP="0094307A">
      <w:pPr>
        <w:rPr>
          <w:rFonts w:ascii="Times New Roman" w:hAnsi="Times New Roman" w:cs="Times New Roman"/>
          <w:sz w:val="24"/>
          <w:szCs w:val="24"/>
        </w:rPr>
      </w:pPr>
    </w:p>
    <w:p w14:paraId="40DA40D7" w14:textId="54D4C86E" w:rsidR="0094307A" w:rsidRPr="0094307A" w:rsidRDefault="0094307A" w:rsidP="0094307A">
      <w:pPr>
        <w:rPr>
          <w:rFonts w:ascii="Times New Roman" w:hAnsi="Times New Roman" w:cs="Times New Roman"/>
          <w:sz w:val="24"/>
          <w:szCs w:val="24"/>
        </w:rPr>
      </w:pPr>
      <w:r w:rsidRPr="0094307A">
        <w:rPr>
          <w:rFonts w:ascii="Times New Roman" w:hAnsi="Times New Roman" w:cs="Times New Roman"/>
          <w:sz w:val="24"/>
          <w:szCs w:val="24"/>
        </w:rPr>
        <w:t xml:space="preserve">Running title: </w:t>
      </w:r>
      <w:r w:rsidR="00331B0B" w:rsidRPr="00331B0B">
        <w:rPr>
          <w:rFonts w:ascii="Times New Roman" w:hAnsi="Times New Roman" w:cs="Times New Roman"/>
          <w:sz w:val="24"/>
          <w:szCs w:val="24"/>
        </w:rPr>
        <w:t>Revealing the prevalence of “hidden hunger”</w:t>
      </w:r>
    </w:p>
    <w:p w14:paraId="68066E49" w14:textId="317C3596" w:rsidR="0033490E" w:rsidRDefault="0094307A">
      <w:pPr>
        <w:rPr>
          <w:rFonts w:ascii="Times New Roman" w:hAnsi="Times New Roman" w:cs="Times New Roman"/>
          <w:sz w:val="24"/>
          <w:szCs w:val="24"/>
        </w:rPr>
      </w:pPr>
      <w:r w:rsidRPr="0094307A">
        <w:rPr>
          <w:rFonts w:ascii="Times New Roman" w:hAnsi="Times New Roman" w:cs="Times New Roman"/>
          <w:sz w:val="24"/>
          <w:szCs w:val="24"/>
        </w:rPr>
        <w:t xml:space="preserve">Key words: </w:t>
      </w:r>
      <w:r w:rsidR="00331B0B">
        <w:rPr>
          <w:rFonts w:ascii="Times New Roman" w:hAnsi="Times New Roman" w:cs="Times New Roman"/>
          <w:sz w:val="24"/>
          <w:szCs w:val="24"/>
        </w:rPr>
        <w:t>micronutrient defi</w:t>
      </w:r>
      <w:r w:rsidR="006A2F88">
        <w:rPr>
          <w:rFonts w:ascii="Times New Roman" w:hAnsi="Times New Roman" w:cs="Times New Roman"/>
          <w:sz w:val="24"/>
          <w:szCs w:val="24"/>
        </w:rPr>
        <w:t>cienc</w:t>
      </w:r>
      <w:r w:rsidR="00F3774C">
        <w:rPr>
          <w:rFonts w:ascii="Times New Roman" w:hAnsi="Times New Roman" w:cs="Times New Roman"/>
          <w:sz w:val="24"/>
          <w:szCs w:val="24"/>
        </w:rPr>
        <w:t>ies</w:t>
      </w:r>
      <w:r w:rsidR="006A2F88">
        <w:rPr>
          <w:rFonts w:ascii="Times New Roman" w:hAnsi="Times New Roman" w:cs="Times New Roman"/>
          <w:sz w:val="24"/>
          <w:szCs w:val="24"/>
        </w:rPr>
        <w:t>, vitamins, minerals, children, women</w:t>
      </w:r>
      <w:r w:rsidR="0033490E">
        <w:rPr>
          <w:rFonts w:ascii="Times New Roman" w:hAnsi="Times New Roman" w:cs="Times New Roman"/>
          <w:sz w:val="24"/>
          <w:szCs w:val="24"/>
        </w:rPr>
        <w:br w:type="page"/>
      </w:r>
    </w:p>
    <w:p w14:paraId="065972D0" w14:textId="0C97D461" w:rsidR="00EB531C" w:rsidRDefault="00EB531C">
      <w:pPr>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89651E">
        <w:rPr>
          <w:rFonts w:ascii="Times New Roman" w:hAnsi="Times New Roman" w:cs="Times New Roman"/>
          <w:b/>
          <w:bCs/>
          <w:sz w:val="24"/>
          <w:szCs w:val="24"/>
        </w:rPr>
        <w:t xml:space="preserve"> (max 300 words)</w:t>
      </w:r>
    </w:p>
    <w:p w14:paraId="2E18A8CE" w14:textId="77777777" w:rsidR="00DA4316" w:rsidRPr="00DA4316" w:rsidRDefault="00FF4569" w:rsidP="00FF4569">
      <w:pPr>
        <w:rPr>
          <w:rFonts w:ascii="Times New Roman" w:hAnsi="Times New Roman" w:cs="Times New Roman"/>
          <w:i/>
          <w:iCs/>
          <w:sz w:val="24"/>
          <w:szCs w:val="24"/>
        </w:rPr>
      </w:pPr>
      <w:r w:rsidRPr="00DA4316">
        <w:rPr>
          <w:rFonts w:ascii="Times New Roman" w:hAnsi="Times New Roman" w:cs="Times New Roman"/>
          <w:i/>
          <w:iCs/>
          <w:sz w:val="24"/>
          <w:szCs w:val="24"/>
        </w:rPr>
        <w:t>Background</w:t>
      </w:r>
    </w:p>
    <w:p w14:paraId="766FB49A" w14:textId="7A6DD151" w:rsidR="00FF4569" w:rsidRDefault="00F93D50" w:rsidP="00FF4569">
      <w:pPr>
        <w:rPr>
          <w:rFonts w:ascii="Times New Roman" w:hAnsi="Times New Roman" w:cs="Times New Roman"/>
          <w:sz w:val="24"/>
          <w:szCs w:val="24"/>
        </w:rPr>
      </w:pPr>
      <w:r>
        <w:rPr>
          <w:rFonts w:ascii="Times New Roman" w:hAnsi="Times New Roman" w:cs="Times New Roman"/>
          <w:sz w:val="24"/>
          <w:szCs w:val="24"/>
        </w:rPr>
        <w:t>Micronutrient</w:t>
      </w:r>
      <w:r w:rsidRPr="00F93D50">
        <w:rPr>
          <w:rFonts w:ascii="Times New Roman" w:hAnsi="Times New Roman" w:cs="Times New Roman"/>
          <w:sz w:val="24"/>
          <w:szCs w:val="24"/>
        </w:rPr>
        <w:t xml:space="preserve"> deficiencies </w:t>
      </w:r>
      <w:r w:rsidR="002C05DA">
        <w:rPr>
          <w:rFonts w:ascii="Times New Roman" w:hAnsi="Times New Roman" w:cs="Times New Roman"/>
          <w:sz w:val="24"/>
          <w:szCs w:val="24"/>
        </w:rPr>
        <w:t>(MND</w:t>
      </w:r>
      <w:r w:rsidR="00771D56">
        <w:rPr>
          <w:rFonts w:ascii="Times New Roman" w:hAnsi="Times New Roman" w:cs="Times New Roman"/>
          <w:sz w:val="24"/>
          <w:szCs w:val="24"/>
        </w:rPr>
        <w:t>s</w:t>
      </w:r>
      <w:r w:rsidR="002C05DA">
        <w:rPr>
          <w:rFonts w:ascii="Times New Roman" w:hAnsi="Times New Roman" w:cs="Times New Roman"/>
          <w:sz w:val="24"/>
          <w:szCs w:val="24"/>
        </w:rPr>
        <w:t xml:space="preserve">) </w:t>
      </w:r>
      <w:r w:rsidRPr="00F93D50">
        <w:rPr>
          <w:rFonts w:ascii="Times New Roman" w:hAnsi="Times New Roman" w:cs="Times New Roman"/>
          <w:sz w:val="24"/>
          <w:szCs w:val="24"/>
        </w:rPr>
        <w:t>compromis</w:t>
      </w:r>
      <w:r>
        <w:rPr>
          <w:rFonts w:ascii="Times New Roman" w:hAnsi="Times New Roman" w:cs="Times New Roman"/>
          <w:sz w:val="24"/>
          <w:szCs w:val="24"/>
        </w:rPr>
        <w:t>e</w:t>
      </w:r>
      <w:r w:rsidRPr="00F93D50">
        <w:rPr>
          <w:rFonts w:ascii="Times New Roman" w:hAnsi="Times New Roman" w:cs="Times New Roman"/>
          <w:sz w:val="24"/>
          <w:szCs w:val="24"/>
        </w:rPr>
        <w:t xml:space="preserve"> immune systems, </w:t>
      </w:r>
      <w:r>
        <w:rPr>
          <w:rFonts w:ascii="Times New Roman" w:hAnsi="Times New Roman" w:cs="Times New Roman"/>
          <w:sz w:val="24"/>
          <w:szCs w:val="24"/>
        </w:rPr>
        <w:t>hinder child growth and development, and</w:t>
      </w:r>
      <w:r w:rsidRPr="00F93D50">
        <w:rPr>
          <w:rFonts w:ascii="Times New Roman" w:hAnsi="Times New Roman" w:cs="Times New Roman"/>
          <w:sz w:val="24"/>
          <w:szCs w:val="24"/>
        </w:rPr>
        <w:t xml:space="preserve"> limit human capital</w:t>
      </w:r>
      <w:r w:rsidR="00327156">
        <w:rPr>
          <w:rFonts w:ascii="Times New Roman" w:hAnsi="Times New Roman" w:cs="Times New Roman"/>
          <w:sz w:val="24"/>
          <w:szCs w:val="24"/>
        </w:rPr>
        <w:t xml:space="preserve"> worldwide</w:t>
      </w:r>
      <w:r w:rsidRPr="00F93D50">
        <w:rPr>
          <w:rFonts w:ascii="Times New Roman" w:hAnsi="Times New Roman" w:cs="Times New Roman"/>
          <w:sz w:val="24"/>
          <w:szCs w:val="24"/>
        </w:rPr>
        <w:t>.</w:t>
      </w:r>
      <w:r w:rsidR="00212F37">
        <w:rPr>
          <w:rFonts w:ascii="Times New Roman" w:hAnsi="Times New Roman" w:cs="Times New Roman"/>
          <w:sz w:val="24"/>
          <w:szCs w:val="24"/>
        </w:rPr>
        <w:t xml:space="preserve"> Yet the only </w:t>
      </w:r>
      <w:r w:rsidR="00327156">
        <w:rPr>
          <w:rFonts w:ascii="Times New Roman" w:hAnsi="Times New Roman" w:cs="Times New Roman"/>
          <w:sz w:val="24"/>
          <w:szCs w:val="24"/>
        </w:rPr>
        <w:t xml:space="preserve">existing </w:t>
      </w:r>
      <w:r w:rsidR="00212F37">
        <w:rPr>
          <w:rFonts w:ascii="Times New Roman" w:hAnsi="Times New Roman" w:cs="Times New Roman"/>
          <w:sz w:val="24"/>
          <w:szCs w:val="24"/>
        </w:rPr>
        <w:t>estimate</w:t>
      </w:r>
      <w:r w:rsidR="00DE1B08">
        <w:rPr>
          <w:rFonts w:ascii="Times New Roman" w:hAnsi="Times New Roman" w:cs="Times New Roman"/>
          <w:sz w:val="24"/>
          <w:szCs w:val="24"/>
        </w:rPr>
        <w:t xml:space="preserve"> of the global prevalence of deficiency</w:t>
      </w:r>
      <w:r w:rsidR="00212F37">
        <w:rPr>
          <w:rFonts w:ascii="Times New Roman" w:hAnsi="Times New Roman" w:cs="Times New Roman"/>
          <w:sz w:val="24"/>
          <w:szCs w:val="24"/>
        </w:rPr>
        <w:t xml:space="preserve"> was from over three decades ago</w:t>
      </w:r>
      <w:r w:rsidR="00DE1B08">
        <w:rPr>
          <w:rFonts w:ascii="Times New Roman" w:hAnsi="Times New Roman" w:cs="Times New Roman"/>
          <w:sz w:val="24"/>
          <w:szCs w:val="24"/>
        </w:rPr>
        <w:t>. It was</w:t>
      </w:r>
      <w:r w:rsidR="00212F37">
        <w:rPr>
          <w:rFonts w:ascii="Times New Roman" w:hAnsi="Times New Roman" w:cs="Times New Roman"/>
          <w:sz w:val="24"/>
          <w:szCs w:val="24"/>
        </w:rPr>
        <w:t xml:space="preserve"> based only on anemia, which is not</w:t>
      </w:r>
      <w:r w:rsidR="00DE1B08">
        <w:rPr>
          <w:rFonts w:ascii="Times New Roman" w:hAnsi="Times New Roman" w:cs="Times New Roman"/>
          <w:sz w:val="24"/>
          <w:szCs w:val="24"/>
        </w:rPr>
        <w:t xml:space="preserve"> necessarily attributable to</w:t>
      </w:r>
      <w:r w:rsidR="00212F37">
        <w:rPr>
          <w:rFonts w:ascii="Times New Roman" w:hAnsi="Times New Roman" w:cs="Times New Roman"/>
          <w:sz w:val="24"/>
          <w:szCs w:val="24"/>
        </w:rPr>
        <w:t xml:space="preserve"> </w:t>
      </w:r>
      <w:proofErr w:type="gramStart"/>
      <w:r w:rsidR="0087681A">
        <w:rPr>
          <w:rFonts w:ascii="Times New Roman" w:hAnsi="Times New Roman" w:cs="Times New Roman"/>
          <w:sz w:val="24"/>
          <w:szCs w:val="24"/>
        </w:rPr>
        <w:t>a</w:t>
      </w:r>
      <w:proofErr w:type="gramEnd"/>
      <w:r w:rsidR="00212F37">
        <w:rPr>
          <w:rFonts w:ascii="Times New Roman" w:hAnsi="Times New Roman" w:cs="Times New Roman"/>
          <w:sz w:val="24"/>
          <w:szCs w:val="24"/>
        </w:rPr>
        <w:t xml:space="preserve"> </w:t>
      </w:r>
      <w:r w:rsidR="00464315">
        <w:rPr>
          <w:rFonts w:ascii="Times New Roman" w:hAnsi="Times New Roman" w:cs="Times New Roman"/>
          <w:sz w:val="24"/>
          <w:szCs w:val="24"/>
        </w:rPr>
        <w:t>MND</w:t>
      </w:r>
      <w:r w:rsidR="00212F37">
        <w:rPr>
          <w:rFonts w:ascii="Times New Roman" w:hAnsi="Times New Roman" w:cs="Times New Roman"/>
          <w:sz w:val="24"/>
          <w:szCs w:val="24"/>
        </w:rPr>
        <w:t>.</w:t>
      </w:r>
      <w:r w:rsidR="00DE123E">
        <w:rPr>
          <w:rFonts w:ascii="Times New Roman" w:hAnsi="Times New Roman" w:cs="Times New Roman"/>
          <w:sz w:val="24"/>
          <w:szCs w:val="24"/>
        </w:rPr>
        <w:t xml:space="preserve"> We aimed </w:t>
      </w:r>
      <w:r w:rsidR="00DE123E" w:rsidRPr="00DE123E">
        <w:rPr>
          <w:rFonts w:ascii="Times New Roman" w:hAnsi="Times New Roman" w:cs="Times New Roman"/>
          <w:sz w:val="24"/>
          <w:szCs w:val="24"/>
          <w:lang w:val="en-GB"/>
        </w:rPr>
        <w:t xml:space="preserve">to </w:t>
      </w:r>
      <w:r w:rsidR="00731BD4">
        <w:rPr>
          <w:rFonts w:ascii="Times New Roman" w:hAnsi="Times New Roman" w:cs="Times New Roman"/>
          <w:sz w:val="24"/>
          <w:szCs w:val="24"/>
          <w:lang w:val="en-GB"/>
        </w:rPr>
        <w:t xml:space="preserve">transparently </w:t>
      </w:r>
      <w:r w:rsidR="00DE123E" w:rsidRPr="00DE123E">
        <w:rPr>
          <w:rFonts w:ascii="Times New Roman" w:hAnsi="Times New Roman" w:cs="Times New Roman"/>
          <w:sz w:val="24"/>
          <w:szCs w:val="24"/>
          <w:lang w:val="en-GB"/>
        </w:rPr>
        <w:t xml:space="preserve">estimate the global and regional prevalence of deficiencies in one or more micronutrients among preschool-age children </w:t>
      </w:r>
      <w:r w:rsidR="00281B8C">
        <w:rPr>
          <w:rFonts w:ascii="Times New Roman" w:hAnsi="Times New Roman" w:cs="Times New Roman"/>
          <w:sz w:val="24"/>
          <w:szCs w:val="24"/>
          <w:lang w:val="en-GB"/>
        </w:rPr>
        <w:t xml:space="preserve">(PSC) </w:t>
      </w:r>
      <w:r w:rsidR="00DE123E" w:rsidRPr="00DE123E">
        <w:rPr>
          <w:rFonts w:ascii="Times New Roman" w:hAnsi="Times New Roman" w:cs="Times New Roman"/>
          <w:sz w:val="24"/>
          <w:szCs w:val="24"/>
          <w:lang w:val="en-GB"/>
        </w:rPr>
        <w:t>and non-pregnant women of reproductive age</w:t>
      </w:r>
      <w:r w:rsidR="00735669">
        <w:rPr>
          <w:rFonts w:ascii="Times New Roman" w:hAnsi="Times New Roman" w:cs="Times New Roman"/>
          <w:sz w:val="24"/>
          <w:szCs w:val="24"/>
          <w:lang w:val="en-GB"/>
        </w:rPr>
        <w:t xml:space="preserve"> (</w:t>
      </w:r>
      <w:r w:rsidR="001E5F00">
        <w:rPr>
          <w:rFonts w:ascii="Times New Roman" w:hAnsi="Times New Roman" w:cs="Times New Roman"/>
          <w:sz w:val="24"/>
          <w:szCs w:val="24"/>
          <w:lang w:val="en-GB"/>
        </w:rPr>
        <w:t>NP</w:t>
      </w:r>
      <w:r w:rsidR="00735669">
        <w:rPr>
          <w:rFonts w:ascii="Times New Roman" w:hAnsi="Times New Roman" w:cs="Times New Roman"/>
          <w:sz w:val="24"/>
          <w:szCs w:val="24"/>
          <w:lang w:val="en-GB"/>
        </w:rPr>
        <w:t>W)</w:t>
      </w:r>
      <w:r w:rsidR="00731BD4">
        <w:rPr>
          <w:rFonts w:ascii="Times New Roman" w:hAnsi="Times New Roman" w:cs="Times New Roman"/>
          <w:sz w:val="24"/>
          <w:szCs w:val="24"/>
          <w:lang w:val="en-GB"/>
        </w:rPr>
        <w:t>.</w:t>
      </w:r>
    </w:p>
    <w:p w14:paraId="48F6098A" w14:textId="77777777" w:rsidR="00C84392" w:rsidRDefault="00C84392" w:rsidP="00FF4569">
      <w:pPr>
        <w:rPr>
          <w:rFonts w:ascii="Times New Roman" w:hAnsi="Times New Roman" w:cs="Times New Roman"/>
          <w:i/>
          <w:iCs/>
          <w:sz w:val="24"/>
          <w:szCs w:val="24"/>
        </w:rPr>
      </w:pPr>
    </w:p>
    <w:p w14:paraId="37218E42" w14:textId="75D6B54C" w:rsidR="00FF4569" w:rsidRDefault="00FF4569" w:rsidP="00FF4569">
      <w:pPr>
        <w:rPr>
          <w:rFonts w:ascii="Times New Roman" w:hAnsi="Times New Roman" w:cs="Times New Roman"/>
          <w:sz w:val="24"/>
          <w:szCs w:val="24"/>
        </w:rPr>
      </w:pPr>
      <w:r w:rsidRPr="00DA4316">
        <w:rPr>
          <w:rFonts w:ascii="Times New Roman" w:hAnsi="Times New Roman" w:cs="Times New Roman"/>
          <w:i/>
          <w:iCs/>
          <w:sz w:val="24"/>
          <w:szCs w:val="24"/>
        </w:rPr>
        <w:t>Methods</w:t>
      </w:r>
    </w:p>
    <w:p w14:paraId="79226BAF" w14:textId="56039523" w:rsidR="00E82865" w:rsidRDefault="005E623F" w:rsidP="00FF4569">
      <w:pPr>
        <w:rPr>
          <w:rFonts w:ascii="Times New Roman" w:hAnsi="Times New Roman" w:cs="Times New Roman"/>
          <w:sz w:val="24"/>
          <w:szCs w:val="24"/>
        </w:rPr>
      </w:pPr>
      <w:r>
        <w:rPr>
          <w:rFonts w:ascii="Times New Roman" w:hAnsi="Times New Roman" w:cs="Times New Roman"/>
          <w:sz w:val="24"/>
          <w:szCs w:val="24"/>
        </w:rPr>
        <w:t>We</w:t>
      </w:r>
      <w:r w:rsidRPr="00DE123E">
        <w:rPr>
          <w:rFonts w:ascii="Times New Roman" w:hAnsi="Times New Roman" w:cs="Times New Roman"/>
          <w:sz w:val="24"/>
          <w:szCs w:val="24"/>
          <w:lang w:val="en-GB"/>
        </w:rPr>
        <w:t xml:space="preserve"> reanalys</w:t>
      </w:r>
      <w:r>
        <w:rPr>
          <w:rFonts w:ascii="Times New Roman" w:hAnsi="Times New Roman" w:cs="Times New Roman"/>
          <w:sz w:val="24"/>
          <w:szCs w:val="24"/>
          <w:lang w:val="en-GB"/>
        </w:rPr>
        <w:t>ed</w:t>
      </w:r>
      <w:r w:rsidRPr="00DE123E">
        <w:rPr>
          <w:rFonts w:ascii="Times New Roman" w:hAnsi="Times New Roman" w:cs="Times New Roman"/>
          <w:sz w:val="24"/>
          <w:szCs w:val="24"/>
          <w:lang w:val="en-GB"/>
        </w:rPr>
        <w:t xml:space="preserve"> and pool</w:t>
      </w:r>
      <w:r>
        <w:rPr>
          <w:rFonts w:ascii="Times New Roman" w:hAnsi="Times New Roman" w:cs="Times New Roman"/>
          <w:sz w:val="24"/>
          <w:szCs w:val="24"/>
          <w:lang w:val="en-GB"/>
        </w:rPr>
        <w:t>ed</w:t>
      </w:r>
      <w:r w:rsidRPr="00DE123E">
        <w:rPr>
          <w:rFonts w:ascii="Times New Roman" w:hAnsi="Times New Roman" w:cs="Times New Roman"/>
          <w:sz w:val="24"/>
          <w:szCs w:val="24"/>
          <w:lang w:val="en-GB"/>
        </w:rPr>
        <w:t xml:space="preserve"> individual-level micronutrient status biomarker data from nationally representative, population-based surveys</w:t>
      </w:r>
      <w:r>
        <w:rPr>
          <w:rFonts w:ascii="Times New Roman" w:hAnsi="Times New Roman" w:cs="Times New Roman"/>
          <w:sz w:val="24"/>
          <w:szCs w:val="24"/>
          <w:lang w:val="en-GB"/>
        </w:rPr>
        <w:t>.</w:t>
      </w:r>
      <w:r w:rsidDel="005E623F">
        <w:rPr>
          <w:rFonts w:ascii="Times New Roman" w:hAnsi="Times New Roman" w:cs="Times New Roman"/>
          <w:sz w:val="24"/>
          <w:szCs w:val="24"/>
        </w:rPr>
        <w:t xml:space="preserve"> </w:t>
      </w:r>
      <w:r w:rsidR="00E82865" w:rsidRPr="00FB4607">
        <w:rPr>
          <w:rFonts w:ascii="Times New Roman" w:hAnsi="Times New Roman" w:cs="Times New Roman"/>
          <w:sz w:val="24"/>
          <w:szCs w:val="24"/>
          <w:lang w:val="en-GB"/>
        </w:rPr>
        <w:t xml:space="preserve">We </w:t>
      </w:r>
      <w:r w:rsidR="00495084">
        <w:rPr>
          <w:rFonts w:ascii="Times New Roman" w:hAnsi="Times New Roman" w:cs="Times New Roman"/>
          <w:sz w:val="24"/>
          <w:szCs w:val="24"/>
          <w:lang w:val="en-GB"/>
        </w:rPr>
        <w:t>used</w:t>
      </w:r>
      <w:r w:rsidR="00E82865" w:rsidRPr="00FB4607">
        <w:rPr>
          <w:rFonts w:ascii="Times New Roman" w:hAnsi="Times New Roman" w:cs="Times New Roman"/>
          <w:sz w:val="24"/>
          <w:szCs w:val="24"/>
          <w:lang w:val="en-GB"/>
        </w:rPr>
        <w:t xml:space="preserve"> Bayesian hierarchical logistic regression to estimate the</w:t>
      </w:r>
      <w:r w:rsidR="00E82865">
        <w:rPr>
          <w:rFonts w:ascii="Times New Roman" w:hAnsi="Times New Roman" w:cs="Times New Roman"/>
          <w:sz w:val="24"/>
          <w:szCs w:val="24"/>
          <w:lang w:val="en-GB"/>
        </w:rPr>
        <w:t xml:space="preserve"> </w:t>
      </w:r>
      <w:r w:rsidR="00E82865" w:rsidRPr="00FB4607">
        <w:rPr>
          <w:rFonts w:ascii="Times New Roman" w:hAnsi="Times New Roman" w:cs="Times New Roman"/>
          <w:sz w:val="24"/>
          <w:szCs w:val="24"/>
          <w:lang w:val="en-GB"/>
        </w:rPr>
        <w:t xml:space="preserve">prevalence of </w:t>
      </w:r>
      <w:r w:rsidR="00E82865">
        <w:rPr>
          <w:rFonts w:ascii="Times New Roman" w:hAnsi="Times New Roman" w:cs="Times New Roman"/>
          <w:sz w:val="24"/>
          <w:szCs w:val="24"/>
          <w:lang w:val="en-GB"/>
        </w:rPr>
        <w:t>deficiency in one or more</w:t>
      </w:r>
      <w:r w:rsidR="00E82865" w:rsidRPr="00FB4607">
        <w:rPr>
          <w:rFonts w:ascii="Times New Roman" w:hAnsi="Times New Roman" w:cs="Times New Roman"/>
          <w:sz w:val="24"/>
          <w:szCs w:val="24"/>
          <w:lang w:val="en-GB"/>
        </w:rPr>
        <w:t xml:space="preserve"> of three core </w:t>
      </w:r>
      <w:r w:rsidR="00E82865">
        <w:rPr>
          <w:rFonts w:ascii="Times New Roman" w:hAnsi="Times New Roman" w:cs="Times New Roman"/>
          <w:sz w:val="24"/>
          <w:szCs w:val="24"/>
          <w:lang w:val="en-GB"/>
        </w:rPr>
        <w:t>micronutrients</w:t>
      </w:r>
      <w:r w:rsidR="00E82865" w:rsidRPr="00FB4607">
        <w:rPr>
          <w:rFonts w:ascii="Times New Roman" w:hAnsi="Times New Roman" w:cs="Times New Roman"/>
          <w:sz w:val="24"/>
          <w:szCs w:val="24"/>
          <w:lang w:val="en-GB"/>
        </w:rPr>
        <w:t xml:space="preserve"> globally and in </w:t>
      </w:r>
      <w:r w:rsidR="00E82865">
        <w:rPr>
          <w:rFonts w:ascii="Times New Roman" w:hAnsi="Times New Roman" w:cs="Times New Roman"/>
          <w:sz w:val="24"/>
          <w:szCs w:val="24"/>
          <w:lang w:val="en-GB"/>
        </w:rPr>
        <w:t>seven</w:t>
      </w:r>
      <w:r w:rsidR="00E82865" w:rsidRPr="00FB4607">
        <w:rPr>
          <w:rFonts w:ascii="Times New Roman" w:hAnsi="Times New Roman" w:cs="Times New Roman"/>
          <w:sz w:val="24"/>
          <w:szCs w:val="24"/>
          <w:lang w:val="en-GB"/>
        </w:rPr>
        <w:t xml:space="preserve"> regions</w:t>
      </w:r>
      <w:r w:rsidR="00246FA2">
        <w:rPr>
          <w:rFonts w:ascii="Times New Roman" w:hAnsi="Times New Roman" w:cs="Times New Roman"/>
          <w:sz w:val="24"/>
          <w:szCs w:val="24"/>
          <w:lang w:val="en-GB"/>
        </w:rPr>
        <w:t xml:space="preserve"> </w:t>
      </w:r>
      <w:r w:rsidR="0087681A">
        <w:rPr>
          <w:rFonts w:ascii="Times New Roman" w:hAnsi="Times New Roman" w:cs="Times New Roman"/>
          <w:sz w:val="24"/>
          <w:szCs w:val="24"/>
          <w:lang w:val="en-GB"/>
        </w:rPr>
        <w:t xml:space="preserve">for the period </w:t>
      </w:r>
      <w:r w:rsidR="00246FA2">
        <w:rPr>
          <w:rFonts w:ascii="Times New Roman" w:hAnsi="Times New Roman" w:cs="Times New Roman"/>
          <w:sz w:val="24"/>
          <w:szCs w:val="24"/>
          <w:lang w:val="en-GB"/>
        </w:rPr>
        <w:t>2005–2019</w:t>
      </w:r>
      <w:r w:rsidR="00495084">
        <w:rPr>
          <w:rFonts w:ascii="Times New Roman" w:hAnsi="Times New Roman" w:cs="Times New Roman"/>
          <w:sz w:val="24"/>
          <w:szCs w:val="24"/>
          <w:lang w:val="en-GB"/>
        </w:rPr>
        <w:t>.</w:t>
      </w:r>
    </w:p>
    <w:p w14:paraId="135953DC" w14:textId="77777777" w:rsidR="00C84392" w:rsidRDefault="00C84392" w:rsidP="00FF4569">
      <w:pPr>
        <w:rPr>
          <w:rFonts w:ascii="Times New Roman" w:hAnsi="Times New Roman" w:cs="Times New Roman"/>
          <w:sz w:val="24"/>
          <w:szCs w:val="24"/>
        </w:rPr>
      </w:pPr>
    </w:p>
    <w:p w14:paraId="4AE8D257" w14:textId="742EAA9A" w:rsidR="00FF4569" w:rsidRDefault="00FF4569" w:rsidP="00FF4569">
      <w:pPr>
        <w:rPr>
          <w:rFonts w:ascii="Times New Roman" w:hAnsi="Times New Roman" w:cs="Times New Roman"/>
          <w:sz w:val="24"/>
          <w:szCs w:val="24"/>
        </w:rPr>
      </w:pPr>
      <w:r w:rsidRPr="00DA4316">
        <w:rPr>
          <w:rFonts w:ascii="Times New Roman" w:hAnsi="Times New Roman" w:cs="Times New Roman"/>
          <w:i/>
          <w:iCs/>
          <w:sz w:val="24"/>
          <w:szCs w:val="24"/>
        </w:rPr>
        <w:t>Findings</w:t>
      </w:r>
    </w:p>
    <w:p w14:paraId="7FC7AD23" w14:textId="55842873" w:rsidR="00DA4316" w:rsidRDefault="00A90736" w:rsidP="00B93ADA">
      <w:pPr>
        <w:rPr>
          <w:rFonts w:ascii="Times New Roman" w:hAnsi="Times New Roman" w:cs="Times New Roman"/>
          <w:sz w:val="24"/>
          <w:szCs w:val="24"/>
        </w:rPr>
      </w:pPr>
      <w:r>
        <w:rPr>
          <w:rFonts w:ascii="Times New Roman" w:hAnsi="Times New Roman" w:cs="Times New Roman"/>
          <w:sz w:val="24"/>
          <w:szCs w:val="24"/>
        </w:rPr>
        <w:t xml:space="preserve">We </w:t>
      </w:r>
      <w:r w:rsidR="00831FC5">
        <w:rPr>
          <w:rFonts w:ascii="Times New Roman" w:hAnsi="Times New Roman" w:cs="Times New Roman"/>
          <w:sz w:val="24"/>
          <w:szCs w:val="24"/>
        </w:rPr>
        <w:t>estimated the global prevalence</w:t>
      </w:r>
      <w:r w:rsidR="00F7242D" w:rsidRPr="00F7242D">
        <w:rPr>
          <w:rFonts w:ascii="Times New Roman" w:hAnsi="Times New Roman" w:cs="Times New Roman"/>
          <w:sz w:val="24"/>
          <w:szCs w:val="24"/>
        </w:rPr>
        <w:t xml:space="preserve"> of deficiency in at least one of three core micronutrients </w:t>
      </w:r>
      <w:r w:rsidR="00831FC5">
        <w:rPr>
          <w:rFonts w:ascii="Times New Roman" w:hAnsi="Times New Roman" w:cs="Times New Roman"/>
          <w:sz w:val="24"/>
          <w:szCs w:val="24"/>
        </w:rPr>
        <w:t>to be</w:t>
      </w:r>
      <w:r w:rsidR="00F7242D" w:rsidRPr="00F7242D">
        <w:rPr>
          <w:rFonts w:ascii="Times New Roman" w:hAnsi="Times New Roman" w:cs="Times New Roman"/>
          <w:sz w:val="24"/>
          <w:szCs w:val="24"/>
        </w:rPr>
        <w:t xml:space="preserve"> 56% (</w:t>
      </w:r>
      <w:r w:rsidR="00E2215E">
        <w:rPr>
          <w:rFonts w:ascii="Times New Roman" w:hAnsi="Times New Roman" w:cs="Times New Roman"/>
          <w:sz w:val="24"/>
          <w:szCs w:val="24"/>
        </w:rPr>
        <w:t xml:space="preserve">95% uncertainty interval </w:t>
      </w:r>
      <w:r w:rsidR="00F7242D" w:rsidRPr="00F7242D">
        <w:rPr>
          <w:rFonts w:ascii="Times New Roman" w:hAnsi="Times New Roman" w:cs="Times New Roman"/>
          <w:sz w:val="24"/>
          <w:szCs w:val="24"/>
        </w:rPr>
        <w:t xml:space="preserve">48 to 64) among </w:t>
      </w:r>
      <w:r w:rsidR="001E5F00">
        <w:rPr>
          <w:rFonts w:ascii="Times New Roman" w:hAnsi="Times New Roman" w:cs="Times New Roman"/>
          <w:sz w:val="24"/>
          <w:szCs w:val="24"/>
        </w:rPr>
        <w:t>PSC</w:t>
      </w:r>
      <w:r w:rsidR="00F7242D" w:rsidRPr="00F7242D">
        <w:rPr>
          <w:rFonts w:ascii="Times New Roman" w:hAnsi="Times New Roman" w:cs="Times New Roman"/>
          <w:sz w:val="24"/>
          <w:szCs w:val="24"/>
        </w:rPr>
        <w:t xml:space="preserve">, and 69% (59 to 78) among </w:t>
      </w:r>
      <w:r w:rsidR="00A040AD">
        <w:rPr>
          <w:rFonts w:ascii="Times New Roman" w:hAnsi="Times New Roman" w:cs="Times New Roman"/>
          <w:sz w:val="24"/>
          <w:szCs w:val="24"/>
        </w:rPr>
        <w:t>NP</w:t>
      </w:r>
      <w:r w:rsidR="001E5F00">
        <w:rPr>
          <w:rFonts w:ascii="Times New Roman" w:hAnsi="Times New Roman" w:cs="Times New Roman"/>
          <w:sz w:val="24"/>
          <w:szCs w:val="24"/>
        </w:rPr>
        <w:t>W</w:t>
      </w:r>
      <w:r w:rsidR="00F7242D" w:rsidRPr="00F7242D">
        <w:rPr>
          <w:rFonts w:ascii="Times New Roman" w:hAnsi="Times New Roman" w:cs="Times New Roman"/>
          <w:sz w:val="24"/>
          <w:szCs w:val="24"/>
        </w:rPr>
        <w:t xml:space="preserve">. This translates into a global total of 372 (319 to 425) million </w:t>
      </w:r>
      <w:r w:rsidR="001E5F00">
        <w:rPr>
          <w:rFonts w:ascii="Times New Roman" w:hAnsi="Times New Roman" w:cs="Times New Roman"/>
          <w:sz w:val="24"/>
          <w:szCs w:val="24"/>
        </w:rPr>
        <w:t>PSC</w:t>
      </w:r>
      <w:r w:rsidR="00F7242D" w:rsidRPr="00F7242D">
        <w:rPr>
          <w:rFonts w:ascii="Times New Roman" w:hAnsi="Times New Roman" w:cs="Times New Roman"/>
          <w:sz w:val="24"/>
          <w:szCs w:val="24"/>
        </w:rPr>
        <w:t xml:space="preserve"> and 1.2 (1.0 to 1.4) billion </w:t>
      </w:r>
      <w:r w:rsidR="00A040AD">
        <w:rPr>
          <w:rFonts w:ascii="Times New Roman" w:hAnsi="Times New Roman" w:cs="Times New Roman"/>
          <w:sz w:val="24"/>
          <w:szCs w:val="24"/>
        </w:rPr>
        <w:t>NP</w:t>
      </w:r>
      <w:r w:rsidR="001E5F00">
        <w:rPr>
          <w:rFonts w:ascii="Times New Roman" w:hAnsi="Times New Roman" w:cs="Times New Roman"/>
          <w:sz w:val="24"/>
          <w:szCs w:val="24"/>
        </w:rPr>
        <w:t>W</w:t>
      </w:r>
      <w:r w:rsidR="00F7242D" w:rsidRPr="00F7242D">
        <w:rPr>
          <w:rFonts w:ascii="Times New Roman" w:hAnsi="Times New Roman" w:cs="Times New Roman"/>
          <w:sz w:val="24"/>
          <w:szCs w:val="24"/>
        </w:rPr>
        <w:t xml:space="preserve"> with </w:t>
      </w:r>
      <w:r w:rsidR="004E11FA">
        <w:rPr>
          <w:rFonts w:ascii="Times New Roman" w:hAnsi="Times New Roman" w:cs="Times New Roman"/>
          <w:sz w:val="24"/>
          <w:szCs w:val="24"/>
        </w:rPr>
        <w:t>MNDs</w:t>
      </w:r>
      <w:r w:rsidR="00B93ADA">
        <w:rPr>
          <w:rFonts w:ascii="Times New Roman" w:hAnsi="Times New Roman" w:cs="Times New Roman"/>
          <w:sz w:val="24"/>
          <w:szCs w:val="24"/>
        </w:rPr>
        <w:t>.</w:t>
      </w:r>
      <w:r w:rsidR="009E2D5C" w:rsidRPr="009E2D5C">
        <w:rPr>
          <w:rFonts w:ascii="Times New Roman" w:hAnsi="Times New Roman" w:cs="Times New Roman"/>
          <w:sz w:val="24"/>
          <w:szCs w:val="24"/>
        </w:rPr>
        <w:t xml:space="preserve"> </w:t>
      </w:r>
      <w:r w:rsidR="00BB7315">
        <w:rPr>
          <w:rFonts w:ascii="Times New Roman" w:hAnsi="Times New Roman" w:cs="Times New Roman"/>
          <w:sz w:val="24"/>
          <w:szCs w:val="24"/>
        </w:rPr>
        <w:t>Regionally,</w:t>
      </w:r>
      <w:r w:rsidR="009E2D5C" w:rsidRPr="009E2D5C">
        <w:rPr>
          <w:rFonts w:ascii="Times New Roman" w:hAnsi="Times New Roman" w:cs="Times New Roman"/>
          <w:sz w:val="24"/>
          <w:szCs w:val="24"/>
        </w:rPr>
        <w:t xml:space="preserve"> three quarters of PSC with MNDs live in South Asia (99 million, 80 to 118), Sub-Saharan Africa (98 million, 83 to 113), or East Asia and the Pacific (85 million, 61 to 110). Over half (57%) of NPW with MNDs live in East Asia and the Pacific (384 million, 279 to 470) or South Asia (307 million, 255 to 351).</w:t>
      </w:r>
    </w:p>
    <w:p w14:paraId="52B22266" w14:textId="77777777" w:rsidR="00C84392" w:rsidRDefault="00C84392" w:rsidP="00FF4569">
      <w:pPr>
        <w:rPr>
          <w:rFonts w:ascii="Times New Roman" w:hAnsi="Times New Roman" w:cs="Times New Roman"/>
          <w:sz w:val="24"/>
          <w:szCs w:val="24"/>
        </w:rPr>
      </w:pPr>
    </w:p>
    <w:p w14:paraId="500412E6" w14:textId="4755E61C" w:rsidR="00DA4316" w:rsidRDefault="00FF4569">
      <w:pPr>
        <w:rPr>
          <w:rFonts w:ascii="Times New Roman" w:hAnsi="Times New Roman" w:cs="Times New Roman"/>
          <w:sz w:val="24"/>
          <w:szCs w:val="24"/>
        </w:rPr>
      </w:pPr>
      <w:r w:rsidRPr="00DA4316">
        <w:rPr>
          <w:rFonts w:ascii="Times New Roman" w:hAnsi="Times New Roman" w:cs="Times New Roman"/>
          <w:i/>
          <w:iCs/>
          <w:sz w:val="24"/>
          <w:szCs w:val="24"/>
        </w:rPr>
        <w:t>Interpretation</w:t>
      </w:r>
    </w:p>
    <w:p w14:paraId="70BAAB3D" w14:textId="350F24C3" w:rsidR="00C84392" w:rsidRDefault="000544E3">
      <w:pPr>
        <w:rPr>
          <w:rFonts w:ascii="Times New Roman" w:hAnsi="Times New Roman" w:cs="Times New Roman"/>
          <w:sz w:val="24"/>
          <w:szCs w:val="24"/>
        </w:rPr>
      </w:pPr>
      <w:r>
        <w:rPr>
          <w:rFonts w:ascii="Times New Roman" w:hAnsi="Times New Roman" w:cs="Times New Roman"/>
          <w:sz w:val="24"/>
          <w:szCs w:val="24"/>
        </w:rPr>
        <w:t xml:space="preserve">There is a large burden of </w:t>
      </w:r>
      <w:r w:rsidR="00BC1088">
        <w:rPr>
          <w:rFonts w:ascii="Times New Roman" w:hAnsi="Times New Roman" w:cs="Times New Roman"/>
          <w:sz w:val="24"/>
          <w:szCs w:val="24"/>
        </w:rPr>
        <w:t>MNDs</w:t>
      </w:r>
      <w:r>
        <w:rPr>
          <w:rFonts w:ascii="Times New Roman" w:hAnsi="Times New Roman" w:cs="Times New Roman"/>
          <w:sz w:val="24"/>
          <w:szCs w:val="24"/>
        </w:rPr>
        <w:t xml:space="preserve"> </w:t>
      </w:r>
      <w:r w:rsidR="00E232BA">
        <w:rPr>
          <w:rFonts w:ascii="Times New Roman" w:hAnsi="Times New Roman" w:cs="Times New Roman"/>
          <w:sz w:val="24"/>
          <w:szCs w:val="24"/>
        </w:rPr>
        <w:t xml:space="preserve">among women and children </w:t>
      </w:r>
      <w:r>
        <w:rPr>
          <w:rFonts w:ascii="Times New Roman" w:hAnsi="Times New Roman" w:cs="Times New Roman"/>
          <w:sz w:val="24"/>
          <w:szCs w:val="24"/>
        </w:rPr>
        <w:t>worldwide,</w:t>
      </w:r>
      <w:r w:rsidR="00114E2D">
        <w:rPr>
          <w:rFonts w:ascii="Times New Roman" w:hAnsi="Times New Roman" w:cs="Times New Roman"/>
          <w:sz w:val="24"/>
          <w:szCs w:val="24"/>
        </w:rPr>
        <w:t xml:space="preserve"> </w:t>
      </w:r>
      <w:r w:rsidR="006E11A3">
        <w:rPr>
          <w:rFonts w:ascii="Times New Roman" w:hAnsi="Times New Roman" w:cs="Times New Roman"/>
          <w:sz w:val="24"/>
          <w:szCs w:val="24"/>
        </w:rPr>
        <w:t>especially</w:t>
      </w:r>
      <w:r w:rsidR="00114E2D">
        <w:rPr>
          <w:rFonts w:ascii="Times New Roman" w:hAnsi="Times New Roman" w:cs="Times New Roman"/>
          <w:sz w:val="24"/>
          <w:szCs w:val="24"/>
        </w:rPr>
        <w:t xml:space="preserve"> in low- and middle-income countries, but also in high-income countries.</w:t>
      </w:r>
    </w:p>
    <w:p w14:paraId="6874960D" w14:textId="16DE7EFF" w:rsidR="001F67A9" w:rsidRDefault="00FF4569">
      <w:pPr>
        <w:rPr>
          <w:rFonts w:ascii="Times New Roman" w:hAnsi="Times New Roman" w:cs="Times New Roman"/>
          <w:sz w:val="24"/>
          <w:szCs w:val="24"/>
        </w:rPr>
      </w:pPr>
      <w:r>
        <w:rPr>
          <w:rFonts w:ascii="Times New Roman" w:hAnsi="Times New Roman" w:cs="Times New Roman"/>
          <w:sz w:val="24"/>
          <w:szCs w:val="24"/>
        </w:rPr>
        <w:br/>
      </w:r>
      <w:r w:rsidRPr="00DA4316">
        <w:rPr>
          <w:rFonts w:ascii="Times New Roman" w:hAnsi="Times New Roman" w:cs="Times New Roman"/>
          <w:i/>
          <w:iCs/>
          <w:sz w:val="24"/>
          <w:szCs w:val="24"/>
        </w:rPr>
        <w:t>Funding</w:t>
      </w:r>
    </w:p>
    <w:p w14:paraId="36213992" w14:textId="0F1F333D" w:rsidR="00DA4316" w:rsidRPr="001F67A9" w:rsidRDefault="0053787E">
      <w:pPr>
        <w:rPr>
          <w:rFonts w:ascii="Times New Roman" w:hAnsi="Times New Roman" w:cs="Times New Roman"/>
          <w:sz w:val="24"/>
          <w:szCs w:val="24"/>
        </w:rPr>
      </w:pPr>
      <w:r w:rsidRPr="0053787E">
        <w:rPr>
          <w:rFonts w:ascii="Times New Roman" w:hAnsi="Times New Roman" w:cs="Times New Roman"/>
          <w:sz w:val="24"/>
          <w:szCs w:val="24"/>
        </w:rPr>
        <w:t>The US Agency for International Development (USAID) provided financial support for this article through its flagship multisectoral nutrition project, USAID Advancing Nutrition.</w:t>
      </w:r>
    </w:p>
    <w:p w14:paraId="2040FE69" w14:textId="786CB6BE" w:rsidR="00EB531C" w:rsidRDefault="00EB531C">
      <w:pPr>
        <w:rPr>
          <w:rFonts w:ascii="Times New Roman" w:hAnsi="Times New Roman" w:cs="Times New Roman"/>
          <w:b/>
          <w:bCs/>
          <w:sz w:val="24"/>
          <w:szCs w:val="24"/>
        </w:rPr>
      </w:pPr>
    </w:p>
    <w:p w14:paraId="703DA8AC" w14:textId="238046F8" w:rsidR="00EB531C" w:rsidRPr="00EB531C" w:rsidRDefault="00EB531C" w:rsidP="00EB531C">
      <w:pPr>
        <w:rPr>
          <w:rFonts w:ascii="Times New Roman" w:hAnsi="Times New Roman" w:cs="Times New Roman"/>
          <w:b/>
          <w:bCs/>
          <w:sz w:val="24"/>
          <w:szCs w:val="24"/>
        </w:rPr>
      </w:pPr>
      <w:r w:rsidRPr="00EB531C">
        <w:rPr>
          <w:rFonts w:ascii="Times New Roman" w:hAnsi="Times New Roman" w:cs="Times New Roman"/>
          <w:b/>
          <w:bCs/>
          <w:sz w:val="24"/>
          <w:szCs w:val="24"/>
        </w:rPr>
        <w:t>Research in context</w:t>
      </w:r>
    </w:p>
    <w:p w14:paraId="48AB5940" w14:textId="77777777" w:rsidR="00EB531C" w:rsidRPr="00EB531C" w:rsidRDefault="00EB531C" w:rsidP="00EB531C">
      <w:pPr>
        <w:rPr>
          <w:rFonts w:ascii="Times New Roman" w:hAnsi="Times New Roman" w:cs="Times New Roman"/>
          <w:i/>
          <w:iCs/>
          <w:sz w:val="24"/>
          <w:szCs w:val="24"/>
        </w:rPr>
      </w:pPr>
      <w:r w:rsidRPr="00EB531C">
        <w:rPr>
          <w:rFonts w:ascii="Times New Roman" w:hAnsi="Times New Roman" w:cs="Times New Roman"/>
          <w:i/>
          <w:iCs/>
          <w:sz w:val="24"/>
          <w:szCs w:val="24"/>
        </w:rPr>
        <w:t xml:space="preserve">Evidence before this study </w:t>
      </w:r>
    </w:p>
    <w:p w14:paraId="708BCD34" w14:textId="3A01C57A" w:rsidR="00EB531C" w:rsidRDefault="00F94B81" w:rsidP="00177095">
      <w:pPr>
        <w:rPr>
          <w:rFonts w:ascii="Times New Roman" w:hAnsi="Times New Roman" w:cs="Times New Roman"/>
          <w:sz w:val="24"/>
          <w:szCs w:val="24"/>
        </w:rPr>
      </w:pPr>
      <w:r>
        <w:rPr>
          <w:rFonts w:ascii="Times New Roman" w:hAnsi="Times New Roman" w:cs="Times New Roman"/>
          <w:sz w:val="24"/>
          <w:szCs w:val="24"/>
        </w:rPr>
        <w:t xml:space="preserve">For decades, the nutrition community has cited a global burden of micronutrient (vitamin and mineral) deficiency affecting 2 </w:t>
      </w:r>
      <w:r w:rsidR="002E5209">
        <w:rPr>
          <w:rFonts w:ascii="Times New Roman" w:hAnsi="Times New Roman" w:cs="Times New Roman"/>
          <w:sz w:val="24"/>
          <w:szCs w:val="24"/>
        </w:rPr>
        <w:t>b</w:t>
      </w:r>
      <w:r>
        <w:rPr>
          <w:rFonts w:ascii="Times New Roman" w:hAnsi="Times New Roman" w:cs="Times New Roman"/>
          <w:sz w:val="24"/>
          <w:szCs w:val="24"/>
        </w:rPr>
        <w:t>illion people</w:t>
      </w:r>
      <w:r w:rsidR="00553088">
        <w:rPr>
          <w:rFonts w:ascii="Times New Roman" w:hAnsi="Times New Roman" w:cs="Times New Roman"/>
          <w:sz w:val="24"/>
          <w:szCs w:val="24"/>
        </w:rPr>
        <w:t xml:space="preserve">. </w:t>
      </w:r>
      <w:r w:rsidR="008D1F67">
        <w:rPr>
          <w:rFonts w:ascii="Times New Roman" w:hAnsi="Times New Roman" w:cs="Times New Roman"/>
          <w:sz w:val="24"/>
          <w:szCs w:val="24"/>
        </w:rPr>
        <w:t xml:space="preserve">This estimate is critical to draw attention to the problem and should be used to track global progress towards </w:t>
      </w:r>
      <w:r w:rsidR="00AF2ADE">
        <w:rPr>
          <w:rFonts w:ascii="Times New Roman" w:hAnsi="Times New Roman" w:cs="Times New Roman"/>
          <w:sz w:val="24"/>
          <w:szCs w:val="24"/>
        </w:rPr>
        <w:t>improvement</w:t>
      </w:r>
      <w:r w:rsidR="002E5209">
        <w:rPr>
          <w:rFonts w:ascii="Times New Roman" w:hAnsi="Times New Roman" w:cs="Times New Roman"/>
          <w:sz w:val="24"/>
          <w:szCs w:val="24"/>
        </w:rPr>
        <w:t>.</w:t>
      </w:r>
      <w:r w:rsidR="00AF2ADE">
        <w:rPr>
          <w:rFonts w:ascii="Times New Roman" w:hAnsi="Times New Roman" w:cs="Times New Roman"/>
          <w:sz w:val="24"/>
          <w:szCs w:val="24"/>
        </w:rPr>
        <w:t xml:space="preserve"> </w:t>
      </w:r>
      <w:r w:rsidR="002E5209">
        <w:rPr>
          <w:rFonts w:ascii="Times New Roman" w:hAnsi="Times New Roman" w:cs="Times New Roman"/>
          <w:sz w:val="24"/>
          <w:szCs w:val="24"/>
        </w:rPr>
        <w:t>However, t</w:t>
      </w:r>
      <w:r w:rsidR="00764E80">
        <w:rPr>
          <w:rFonts w:ascii="Times New Roman" w:hAnsi="Times New Roman" w:cs="Times New Roman"/>
          <w:sz w:val="24"/>
          <w:szCs w:val="24"/>
        </w:rPr>
        <w:t xml:space="preserve">he </w:t>
      </w:r>
      <w:r w:rsidR="00B07193">
        <w:rPr>
          <w:rFonts w:ascii="Times New Roman" w:hAnsi="Times New Roman" w:cs="Times New Roman"/>
          <w:sz w:val="24"/>
          <w:szCs w:val="24"/>
        </w:rPr>
        <w:t>estimate was based on anemia, not micronutrient deficiencies</w:t>
      </w:r>
      <w:r w:rsidR="006D2DBF">
        <w:rPr>
          <w:rFonts w:ascii="Times New Roman" w:hAnsi="Times New Roman" w:cs="Times New Roman"/>
          <w:sz w:val="24"/>
          <w:szCs w:val="24"/>
        </w:rPr>
        <w:t xml:space="preserve"> (MNDs)</w:t>
      </w:r>
      <w:r w:rsidR="004617B9">
        <w:rPr>
          <w:rFonts w:ascii="Times New Roman" w:hAnsi="Times New Roman" w:cs="Times New Roman"/>
          <w:sz w:val="24"/>
          <w:szCs w:val="24"/>
        </w:rPr>
        <w:t>,</w:t>
      </w:r>
      <w:r w:rsidR="00B07193">
        <w:rPr>
          <w:rFonts w:ascii="Times New Roman" w:hAnsi="Times New Roman" w:cs="Times New Roman"/>
          <w:sz w:val="24"/>
          <w:szCs w:val="24"/>
        </w:rPr>
        <w:t xml:space="preserve"> and is over three decades old.</w:t>
      </w:r>
    </w:p>
    <w:p w14:paraId="76F17FAE" w14:textId="77777777" w:rsidR="00EB531C" w:rsidRPr="00EB531C" w:rsidRDefault="00EB531C" w:rsidP="00EB531C">
      <w:pPr>
        <w:rPr>
          <w:rFonts w:ascii="Times New Roman" w:hAnsi="Times New Roman" w:cs="Times New Roman"/>
          <w:sz w:val="24"/>
          <w:szCs w:val="24"/>
        </w:rPr>
      </w:pPr>
    </w:p>
    <w:p w14:paraId="3E4C45BE" w14:textId="771DCC1B" w:rsidR="00EB531C" w:rsidRPr="00EB531C" w:rsidRDefault="00EB531C" w:rsidP="00EB531C">
      <w:pPr>
        <w:rPr>
          <w:rFonts w:ascii="Times New Roman" w:hAnsi="Times New Roman" w:cs="Times New Roman"/>
          <w:i/>
          <w:iCs/>
          <w:sz w:val="24"/>
          <w:szCs w:val="24"/>
        </w:rPr>
      </w:pPr>
      <w:r w:rsidRPr="00EB531C">
        <w:rPr>
          <w:rFonts w:ascii="Times New Roman" w:hAnsi="Times New Roman" w:cs="Times New Roman"/>
          <w:i/>
          <w:iCs/>
          <w:sz w:val="24"/>
          <w:szCs w:val="24"/>
        </w:rPr>
        <w:t xml:space="preserve">Added value of this study </w:t>
      </w:r>
    </w:p>
    <w:p w14:paraId="2498B1D5" w14:textId="2D1424CB" w:rsidR="00070986" w:rsidRDefault="00070986" w:rsidP="00EB531C">
      <w:pPr>
        <w:rPr>
          <w:rFonts w:ascii="Times New Roman" w:hAnsi="Times New Roman" w:cs="Times New Roman"/>
          <w:sz w:val="24"/>
          <w:szCs w:val="24"/>
        </w:rPr>
      </w:pPr>
      <w:r>
        <w:rPr>
          <w:rFonts w:ascii="Times New Roman" w:hAnsi="Times New Roman" w:cs="Times New Roman"/>
          <w:sz w:val="24"/>
          <w:szCs w:val="24"/>
        </w:rPr>
        <w:t xml:space="preserve">This study </w:t>
      </w:r>
      <w:r w:rsidR="004F49AA">
        <w:rPr>
          <w:rFonts w:ascii="Times New Roman" w:hAnsi="Times New Roman" w:cs="Times New Roman"/>
          <w:sz w:val="24"/>
          <w:szCs w:val="24"/>
        </w:rPr>
        <w:t>provides an update</w:t>
      </w:r>
      <w:r w:rsidR="00A04A47">
        <w:rPr>
          <w:rFonts w:ascii="Times New Roman" w:hAnsi="Times New Roman" w:cs="Times New Roman"/>
          <w:sz w:val="24"/>
          <w:szCs w:val="24"/>
        </w:rPr>
        <w:t>d</w:t>
      </w:r>
      <w:r w:rsidR="004F49AA">
        <w:rPr>
          <w:rFonts w:ascii="Times New Roman" w:hAnsi="Times New Roman" w:cs="Times New Roman"/>
          <w:sz w:val="24"/>
          <w:szCs w:val="24"/>
        </w:rPr>
        <w:t xml:space="preserve"> </w:t>
      </w:r>
      <w:r w:rsidR="00A04A47">
        <w:rPr>
          <w:rFonts w:ascii="Times New Roman" w:hAnsi="Times New Roman" w:cs="Times New Roman"/>
          <w:sz w:val="24"/>
          <w:szCs w:val="24"/>
        </w:rPr>
        <w:t xml:space="preserve">estimate of </w:t>
      </w:r>
      <w:r w:rsidR="00B54A04">
        <w:rPr>
          <w:rFonts w:ascii="Times New Roman" w:hAnsi="Times New Roman" w:cs="Times New Roman"/>
          <w:sz w:val="24"/>
          <w:szCs w:val="24"/>
        </w:rPr>
        <w:t>MNDs</w:t>
      </w:r>
      <w:r w:rsidR="004F49AA">
        <w:rPr>
          <w:rFonts w:ascii="Times New Roman" w:hAnsi="Times New Roman" w:cs="Times New Roman"/>
          <w:sz w:val="24"/>
          <w:szCs w:val="24"/>
        </w:rPr>
        <w:t xml:space="preserve"> </w:t>
      </w:r>
      <w:r w:rsidR="00A04A47">
        <w:rPr>
          <w:rFonts w:ascii="Times New Roman" w:hAnsi="Times New Roman" w:cs="Times New Roman"/>
          <w:sz w:val="24"/>
          <w:szCs w:val="24"/>
        </w:rPr>
        <w:t>worldwide</w:t>
      </w:r>
      <w:r w:rsidR="004F49AA">
        <w:rPr>
          <w:rFonts w:ascii="Times New Roman" w:hAnsi="Times New Roman" w:cs="Times New Roman"/>
          <w:sz w:val="24"/>
          <w:szCs w:val="24"/>
        </w:rPr>
        <w:t xml:space="preserve"> and regionally</w:t>
      </w:r>
      <w:r w:rsidR="006C3BE3">
        <w:rPr>
          <w:rFonts w:ascii="Times New Roman" w:hAnsi="Times New Roman" w:cs="Times New Roman"/>
          <w:sz w:val="24"/>
          <w:szCs w:val="24"/>
        </w:rPr>
        <w:t xml:space="preserve"> </w:t>
      </w:r>
      <w:r w:rsidR="002307CF">
        <w:rPr>
          <w:rFonts w:ascii="Times New Roman" w:hAnsi="Times New Roman" w:cs="Times New Roman"/>
          <w:sz w:val="24"/>
          <w:szCs w:val="24"/>
        </w:rPr>
        <w:t xml:space="preserve">between 2005–2019 </w:t>
      </w:r>
      <w:r w:rsidR="006C3BE3">
        <w:rPr>
          <w:rFonts w:ascii="Times New Roman" w:hAnsi="Times New Roman" w:cs="Times New Roman"/>
          <w:sz w:val="24"/>
          <w:szCs w:val="24"/>
        </w:rPr>
        <w:t>using individual-level micronutrient status biomarkers of multiple micronutrients</w:t>
      </w:r>
      <w:r w:rsidR="004F49AA">
        <w:rPr>
          <w:rFonts w:ascii="Times New Roman" w:hAnsi="Times New Roman" w:cs="Times New Roman"/>
          <w:sz w:val="24"/>
          <w:szCs w:val="24"/>
        </w:rPr>
        <w:t xml:space="preserve">. </w:t>
      </w:r>
      <w:r w:rsidR="00535ADB">
        <w:rPr>
          <w:rFonts w:ascii="Times New Roman" w:hAnsi="Times New Roman" w:cs="Times New Roman"/>
          <w:sz w:val="24"/>
          <w:szCs w:val="24"/>
        </w:rPr>
        <w:t xml:space="preserve">We </w:t>
      </w:r>
      <w:r w:rsidR="00671C8A">
        <w:rPr>
          <w:rFonts w:ascii="Times New Roman" w:hAnsi="Times New Roman" w:cs="Times New Roman"/>
          <w:sz w:val="24"/>
          <w:szCs w:val="24"/>
        </w:rPr>
        <w:t>estimate</w:t>
      </w:r>
      <w:r w:rsidR="00535ADB">
        <w:rPr>
          <w:rFonts w:ascii="Times New Roman" w:hAnsi="Times New Roman" w:cs="Times New Roman"/>
          <w:sz w:val="24"/>
          <w:szCs w:val="24"/>
        </w:rPr>
        <w:t xml:space="preserve"> that</w:t>
      </w:r>
      <w:r w:rsidR="00671C8A">
        <w:rPr>
          <w:rFonts w:ascii="Times New Roman" w:hAnsi="Times New Roman" w:cs="Times New Roman"/>
          <w:sz w:val="24"/>
          <w:szCs w:val="24"/>
        </w:rPr>
        <w:t xml:space="preserve"> worldwide</w:t>
      </w:r>
      <w:r w:rsidR="00535ADB">
        <w:rPr>
          <w:rFonts w:ascii="Times New Roman" w:hAnsi="Times New Roman" w:cs="Times New Roman"/>
          <w:sz w:val="24"/>
          <w:szCs w:val="24"/>
        </w:rPr>
        <w:t xml:space="preserve"> there are </w:t>
      </w:r>
      <w:r w:rsidR="00CB4413">
        <w:rPr>
          <w:rFonts w:ascii="Times New Roman" w:hAnsi="Times New Roman" w:cs="Times New Roman"/>
          <w:sz w:val="24"/>
          <w:szCs w:val="24"/>
        </w:rPr>
        <w:t xml:space="preserve">about </w:t>
      </w:r>
      <w:r w:rsidR="00535ADB">
        <w:rPr>
          <w:rFonts w:ascii="Times New Roman" w:hAnsi="Times New Roman" w:cs="Times New Roman"/>
          <w:sz w:val="24"/>
          <w:szCs w:val="24"/>
        </w:rPr>
        <w:t>1.6 billion</w:t>
      </w:r>
      <w:r w:rsidR="00546CFC">
        <w:rPr>
          <w:rFonts w:ascii="Times New Roman" w:hAnsi="Times New Roman" w:cs="Times New Roman"/>
          <w:sz w:val="24"/>
          <w:szCs w:val="24"/>
        </w:rPr>
        <w:t xml:space="preserve"> </w:t>
      </w:r>
      <w:r w:rsidR="002B6EE5">
        <w:rPr>
          <w:rFonts w:ascii="Times New Roman" w:hAnsi="Times New Roman" w:cs="Times New Roman"/>
          <w:sz w:val="24"/>
          <w:szCs w:val="24"/>
        </w:rPr>
        <w:t>PSC</w:t>
      </w:r>
      <w:r w:rsidR="00535ADB">
        <w:rPr>
          <w:rFonts w:ascii="Times New Roman" w:hAnsi="Times New Roman" w:cs="Times New Roman"/>
          <w:sz w:val="24"/>
          <w:szCs w:val="24"/>
        </w:rPr>
        <w:t xml:space="preserve"> and </w:t>
      </w:r>
      <w:r w:rsidR="002B6EE5">
        <w:rPr>
          <w:rFonts w:ascii="Times New Roman" w:hAnsi="Times New Roman" w:cs="Times New Roman"/>
          <w:sz w:val="24"/>
          <w:szCs w:val="24"/>
        </w:rPr>
        <w:t>NPW</w:t>
      </w:r>
      <w:r w:rsidR="00535ADB">
        <w:rPr>
          <w:rFonts w:ascii="Times New Roman" w:hAnsi="Times New Roman" w:cs="Times New Roman"/>
          <w:sz w:val="24"/>
          <w:szCs w:val="24"/>
        </w:rPr>
        <w:t xml:space="preserve"> with one or more </w:t>
      </w:r>
      <w:r w:rsidR="00464315">
        <w:rPr>
          <w:rFonts w:ascii="Times New Roman" w:hAnsi="Times New Roman" w:cs="Times New Roman"/>
          <w:sz w:val="24"/>
          <w:szCs w:val="24"/>
        </w:rPr>
        <w:t>MND</w:t>
      </w:r>
      <w:r w:rsidR="00535ADB">
        <w:rPr>
          <w:rFonts w:ascii="Times New Roman" w:hAnsi="Times New Roman" w:cs="Times New Roman"/>
          <w:sz w:val="24"/>
          <w:szCs w:val="24"/>
        </w:rPr>
        <w:t xml:space="preserve">. </w:t>
      </w:r>
      <w:r w:rsidR="004F49AA">
        <w:rPr>
          <w:rFonts w:ascii="Times New Roman" w:hAnsi="Times New Roman" w:cs="Times New Roman"/>
          <w:sz w:val="24"/>
          <w:szCs w:val="24"/>
        </w:rPr>
        <w:t xml:space="preserve">Importantly, </w:t>
      </w:r>
      <w:r w:rsidR="00EF5125">
        <w:rPr>
          <w:rFonts w:ascii="Times New Roman" w:hAnsi="Times New Roman" w:cs="Times New Roman"/>
          <w:sz w:val="24"/>
          <w:szCs w:val="24"/>
        </w:rPr>
        <w:t xml:space="preserve">this approach </w:t>
      </w:r>
      <w:r>
        <w:rPr>
          <w:rFonts w:ascii="Times New Roman" w:hAnsi="Times New Roman" w:cs="Times New Roman"/>
          <w:sz w:val="24"/>
          <w:szCs w:val="24"/>
        </w:rPr>
        <w:t xml:space="preserve">provides a </w:t>
      </w:r>
      <w:r w:rsidR="00286CE7">
        <w:rPr>
          <w:rFonts w:ascii="Times New Roman" w:hAnsi="Times New Roman" w:cs="Times New Roman"/>
          <w:sz w:val="24"/>
          <w:szCs w:val="24"/>
        </w:rPr>
        <w:t>transparent method</w:t>
      </w:r>
      <w:r>
        <w:rPr>
          <w:rFonts w:ascii="Times New Roman" w:hAnsi="Times New Roman" w:cs="Times New Roman"/>
          <w:sz w:val="24"/>
          <w:szCs w:val="24"/>
        </w:rPr>
        <w:t xml:space="preserve"> to estimate the global and regional </w:t>
      </w:r>
      <w:r w:rsidR="0013416D">
        <w:rPr>
          <w:rFonts w:ascii="Times New Roman" w:hAnsi="Times New Roman" w:cs="Times New Roman"/>
          <w:sz w:val="24"/>
          <w:szCs w:val="24"/>
        </w:rPr>
        <w:t>prevalence</w:t>
      </w:r>
      <w:r w:rsidR="004F49AA">
        <w:rPr>
          <w:rFonts w:ascii="Times New Roman" w:hAnsi="Times New Roman" w:cs="Times New Roman"/>
          <w:sz w:val="24"/>
          <w:szCs w:val="24"/>
        </w:rPr>
        <w:t xml:space="preserve"> </w:t>
      </w:r>
      <w:r w:rsidR="00EF5125">
        <w:rPr>
          <w:rFonts w:ascii="Times New Roman" w:hAnsi="Times New Roman" w:cs="Times New Roman"/>
          <w:sz w:val="24"/>
          <w:szCs w:val="24"/>
        </w:rPr>
        <w:t xml:space="preserve">and it </w:t>
      </w:r>
      <w:r w:rsidR="004F49AA">
        <w:rPr>
          <w:rFonts w:ascii="Times New Roman" w:hAnsi="Times New Roman" w:cs="Times New Roman"/>
          <w:sz w:val="24"/>
          <w:szCs w:val="24"/>
        </w:rPr>
        <w:t xml:space="preserve">can be replicated </w:t>
      </w:r>
      <w:r w:rsidR="00BD28C0">
        <w:rPr>
          <w:rFonts w:ascii="Times New Roman" w:hAnsi="Times New Roman" w:cs="Times New Roman"/>
          <w:sz w:val="24"/>
          <w:szCs w:val="24"/>
        </w:rPr>
        <w:t xml:space="preserve">as more and better data from </w:t>
      </w:r>
      <w:proofErr w:type="gramStart"/>
      <w:r w:rsidR="00BD28C0">
        <w:rPr>
          <w:rFonts w:ascii="Times New Roman" w:hAnsi="Times New Roman" w:cs="Times New Roman"/>
          <w:sz w:val="24"/>
          <w:szCs w:val="24"/>
        </w:rPr>
        <w:t>nationally</w:t>
      </w:r>
      <w:r w:rsidR="00671C8A">
        <w:rPr>
          <w:rFonts w:ascii="Times New Roman" w:hAnsi="Times New Roman" w:cs="Times New Roman"/>
          <w:sz w:val="24"/>
          <w:szCs w:val="24"/>
        </w:rPr>
        <w:t>-</w:t>
      </w:r>
      <w:r w:rsidR="00BD28C0">
        <w:rPr>
          <w:rFonts w:ascii="Times New Roman" w:hAnsi="Times New Roman" w:cs="Times New Roman"/>
          <w:sz w:val="24"/>
          <w:szCs w:val="24"/>
        </w:rPr>
        <w:t>representative</w:t>
      </w:r>
      <w:proofErr w:type="gramEnd"/>
      <w:r w:rsidR="00BD28C0">
        <w:rPr>
          <w:rFonts w:ascii="Times New Roman" w:hAnsi="Times New Roman" w:cs="Times New Roman"/>
          <w:sz w:val="24"/>
          <w:szCs w:val="24"/>
        </w:rPr>
        <w:t xml:space="preserve"> surveys become available.</w:t>
      </w:r>
    </w:p>
    <w:p w14:paraId="1572A1E4" w14:textId="0B54002B" w:rsidR="004618C9" w:rsidRDefault="00EB531C" w:rsidP="00A03569">
      <w:pPr>
        <w:rPr>
          <w:rFonts w:ascii="Times New Roman" w:hAnsi="Times New Roman" w:cs="Times New Roman"/>
          <w:sz w:val="24"/>
          <w:szCs w:val="24"/>
        </w:rPr>
        <w:sectPr w:rsidR="004618C9" w:rsidSect="0014230A">
          <w:headerReference w:type="even" r:id="rId12"/>
          <w:headerReference w:type="default" r:id="rId13"/>
          <w:footerReference w:type="even" r:id="rId14"/>
          <w:footerReference w:type="default" r:id="rId15"/>
          <w:headerReference w:type="first" r:id="rId16"/>
          <w:footerReference w:type="first" r:id="rId17"/>
          <w:pgSz w:w="11900" w:h="16820"/>
          <w:pgMar w:top="1440" w:right="1440" w:bottom="1440" w:left="1440" w:header="720" w:footer="720" w:gutter="0"/>
          <w:lnNumType w:countBy="1" w:restart="continuous"/>
          <w:cols w:space="720"/>
          <w:docGrid w:linePitch="360"/>
        </w:sectPr>
      </w:pPr>
      <w:r w:rsidRPr="00EB531C">
        <w:rPr>
          <w:rFonts w:ascii="Times New Roman" w:hAnsi="Times New Roman" w:cs="Times New Roman"/>
          <w:sz w:val="24"/>
          <w:szCs w:val="24"/>
        </w:rPr>
        <w:br/>
      </w:r>
      <w:r w:rsidRPr="00EB531C">
        <w:rPr>
          <w:rFonts w:ascii="Times New Roman" w:hAnsi="Times New Roman" w:cs="Times New Roman"/>
          <w:i/>
          <w:iCs/>
          <w:sz w:val="24"/>
          <w:szCs w:val="24"/>
        </w:rPr>
        <w:t>Implications of all the available evidence</w:t>
      </w:r>
      <w:r w:rsidRPr="00EB531C">
        <w:rPr>
          <w:rFonts w:ascii="Times New Roman" w:hAnsi="Times New Roman" w:cs="Times New Roman"/>
          <w:sz w:val="24"/>
          <w:szCs w:val="24"/>
        </w:rPr>
        <w:br/>
      </w:r>
      <w:r w:rsidR="00671C8A">
        <w:rPr>
          <w:rFonts w:ascii="Times New Roman" w:hAnsi="Times New Roman" w:cs="Times New Roman"/>
          <w:sz w:val="24"/>
          <w:szCs w:val="24"/>
        </w:rPr>
        <w:t>F</w:t>
      </w:r>
      <w:r w:rsidR="00535ADB">
        <w:rPr>
          <w:rFonts w:ascii="Times New Roman" w:hAnsi="Times New Roman" w:cs="Times New Roman"/>
          <w:sz w:val="24"/>
          <w:szCs w:val="24"/>
        </w:rPr>
        <w:t xml:space="preserve">ew population-based data sources measure </w:t>
      </w:r>
      <w:r w:rsidR="00B45AD5">
        <w:rPr>
          <w:rFonts w:ascii="Times New Roman" w:hAnsi="Times New Roman" w:cs="Times New Roman"/>
          <w:sz w:val="24"/>
          <w:szCs w:val="24"/>
        </w:rPr>
        <w:t>MND</w:t>
      </w:r>
      <w:r w:rsidR="00440F62">
        <w:rPr>
          <w:rFonts w:ascii="Times New Roman" w:hAnsi="Times New Roman" w:cs="Times New Roman"/>
          <w:sz w:val="24"/>
          <w:szCs w:val="24"/>
        </w:rPr>
        <w:t>s</w:t>
      </w:r>
      <w:r w:rsidR="00535ADB">
        <w:rPr>
          <w:rFonts w:ascii="Times New Roman" w:hAnsi="Times New Roman" w:cs="Times New Roman"/>
          <w:sz w:val="24"/>
          <w:szCs w:val="24"/>
        </w:rPr>
        <w:t>. Whether this critical evidence gap bias</w:t>
      </w:r>
      <w:r w:rsidR="00671C8A">
        <w:rPr>
          <w:rFonts w:ascii="Times New Roman" w:hAnsi="Times New Roman" w:cs="Times New Roman"/>
          <w:sz w:val="24"/>
          <w:szCs w:val="24"/>
        </w:rPr>
        <w:t>ed</w:t>
      </w:r>
      <w:r w:rsidR="00535ADB">
        <w:rPr>
          <w:rFonts w:ascii="Times New Roman" w:hAnsi="Times New Roman" w:cs="Times New Roman"/>
          <w:sz w:val="24"/>
          <w:szCs w:val="24"/>
        </w:rPr>
        <w:t xml:space="preserve"> </w:t>
      </w:r>
      <w:r w:rsidR="00535ADB">
        <w:rPr>
          <w:rFonts w:ascii="Times New Roman" w:hAnsi="Times New Roman" w:cs="Times New Roman"/>
          <w:sz w:val="24"/>
          <w:szCs w:val="24"/>
        </w:rPr>
        <w:lastRenderedPageBreak/>
        <w:t>our prevalence estimates is an important question that must be addressed as additional surveys become available. Nevertheless, t</w:t>
      </w:r>
      <w:r w:rsidR="000157EA">
        <w:rPr>
          <w:rFonts w:ascii="Times New Roman" w:hAnsi="Times New Roman" w:cs="Times New Roman"/>
          <w:sz w:val="24"/>
          <w:szCs w:val="24"/>
        </w:rPr>
        <w:t>he results clearly illustrate that micronutrient malnutrition is a critical public health problem among</w:t>
      </w:r>
      <w:r w:rsidR="00BC6541">
        <w:rPr>
          <w:rFonts w:ascii="Times New Roman" w:hAnsi="Times New Roman" w:cs="Times New Roman"/>
          <w:sz w:val="24"/>
          <w:szCs w:val="24"/>
        </w:rPr>
        <w:t xml:space="preserve"> </w:t>
      </w:r>
      <w:r w:rsidR="00DF38FD">
        <w:rPr>
          <w:rFonts w:ascii="Times New Roman" w:hAnsi="Times New Roman" w:cs="Times New Roman"/>
          <w:sz w:val="24"/>
          <w:szCs w:val="24"/>
        </w:rPr>
        <w:t>PSC</w:t>
      </w:r>
      <w:r w:rsidR="00BC6541">
        <w:rPr>
          <w:rFonts w:ascii="Times New Roman" w:hAnsi="Times New Roman" w:cs="Times New Roman"/>
          <w:sz w:val="24"/>
          <w:szCs w:val="24"/>
        </w:rPr>
        <w:t xml:space="preserve"> </w:t>
      </w:r>
      <w:r w:rsidR="00722E4D">
        <w:rPr>
          <w:rFonts w:ascii="Times New Roman" w:hAnsi="Times New Roman" w:cs="Times New Roman"/>
          <w:sz w:val="24"/>
          <w:szCs w:val="24"/>
        </w:rPr>
        <w:t xml:space="preserve">and </w:t>
      </w:r>
      <w:r w:rsidR="00DF38FD">
        <w:rPr>
          <w:rFonts w:ascii="Times New Roman" w:hAnsi="Times New Roman" w:cs="Times New Roman"/>
          <w:sz w:val="24"/>
          <w:szCs w:val="24"/>
        </w:rPr>
        <w:t>NPW</w:t>
      </w:r>
      <w:r w:rsidR="000157EA">
        <w:rPr>
          <w:rFonts w:ascii="Times New Roman" w:hAnsi="Times New Roman" w:cs="Times New Roman"/>
          <w:sz w:val="24"/>
          <w:szCs w:val="24"/>
        </w:rPr>
        <w:t xml:space="preserve">. </w:t>
      </w:r>
      <w:r w:rsidR="002614EA">
        <w:rPr>
          <w:rFonts w:ascii="Times New Roman" w:hAnsi="Times New Roman" w:cs="Times New Roman"/>
          <w:sz w:val="24"/>
          <w:szCs w:val="24"/>
        </w:rPr>
        <w:t>The problem affects populations in all regions of the world, including high</w:t>
      </w:r>
      <w:r w:rsidR="00722E4D">
        <w:rPr>
          <w:rFonts w:ascii="Times New Roman" w:hAnsi="Times New Roman" w:cs="Times New Roman"/>
          <w:sz w:val="24"/>
          <w:szCs w:val="24"/>
        </w:rPr>
        <w:t>-</w:t>
      </w:r>
      <w:r w:rsidR="002614EA">
        <w:rPr>
          <w:rFonts w:ascii="Times New Roman" w:hAnsi="Times New Roman" w:cs="Times New Roman"/>
          <w:sz w:val="24"/>
          <w:szCs w:val="24"/>
        </w:rPr>
        <w:t xml:space="preserve">income countries. </w:t>
      </w:r>
      <w:r w:rsidR="00535ADB">
        <w:rPr>
          <w:rFonts w:ascii="Times New Roman" w:hAnsi="Times New Roman" w:cs="Times New Roman"/>
          <w:sz w:val="24"/>
          <w:szCs w:val="24"/>
        </w:rPr>
        <w:t>T</w:t>
      </w:r>
      <w:r w:rsidR="00547938">
        <w:rPr>
          <w:rFonts w:ascii="Times New Roman" w:hAnsi="Times New Roman" w:cs="Times New Roman"/>
          <w:sz w:val="24"/>
          <w:szCs w:val="24"/>
        </w:rPr>
        <w:t xml:space="preserve">he </w:t>
      </w:r>
      <w:proofErr w:type="gramStart"/>
      <w:r w:rsidR="00547938">
        <w:rPr>
          <w:rFonts w:ascii="Times New Roman" w:hAnsi="Times New Roman" w:cs="Times New Roman"/>
          <w:sz w:val="24"/>
          <w:szCs w:val="24"/>
        </w:rPr>
        <w:t>o</w:t>
      </w:r>
      <w:r w:rsidR="00D3481F">
        <w:rPr>
          <w:rFonts w:ascii="Times New Roman" w:hAnsi="Times New Roman" w:cs="Times New Roman"/>
          <w:sz w:val="24"/>
          <w:szCs w:val="24"/>
        </w:rPr>
        <w:t>f</w:t>
      </w:r>
      <w:r w:rsidR="00547938">
        <w:rPr>
          <w:rFonts w:ascii="Times New Roman" w:hAnsi="Times New Roman" w:cs="Times New Roman"/>
          <w:sz w:val="24"/>
          <w:szCs w:val="24"/>
        </w:rPr>
        <w:t>t-cited</w:t>
      </w:r>
      <w:proofErr w:type="gramEnd"/>
      <w:r w:rsidR="00547938">
        <w:rPr>
          <w:rFonts w:ascii="Times New Roman" w:hAnsi="Times New Roman" w:cs="Times New Roman"/>
          <w:sz w:val="24"/>
          <w:szCs w:val="24"/>
        </w:rPr>
        <w:t xml:space="preserve"> 2 billion micronutrient malnourished is likely a </w:t>
      </w:r>
      <w:r w:rsidR="007B422E">
        <w:rPr>
          <w:rFonts w:ascii="Times New Roman" w:hAnsi="Times New Roman" w:cs="Times New Roman"/>
          <w:sz w:val="24"/>
          <w:szCs w:val="24"/>
        </w:rPr>
        <w:t xml:space="preserve">major underestimate of the true </w:t>
      </w:r>
      <w:r w:rsidR="009F3E84">
        <w:rPr>
          <w:rFonts w:ascii="Times New Roman" w:hAnsi="Times New Roman" w:cs="Times New Roman"/>
          <w:sz w:val="24"/>
          <w:szCs w:val="24"/>
        </w:rPr>
        <w:t xml:space="preserve">global </w:t>
      </w:r>
      <w:r w:rsidR="007B422E">
        <w:rPr>
          <w:rFonts w:ascii="Times New Roman" w:hAnsi="Times New Roman" w:cs="Times New Roman"/>
          <w:sz w:val="24"/>
          <w:szCs w:val="24"/>
        </w:rPr>
        <w:t xml:space="preserve">burden of micronutrient malnutrition </w:t>
      </w:r>
      <w:r w:rsidR="00C26323">
        <w:rPr>
          <w:rFonts w:ascii="Times New Roman" w:hAnsi="Times New Roman" w:cs="Times New Roman"/>
          <w:sz w:val="24"/>
          <w:szCs w:val="24"/>
        </w:rPr>
        <w:t>when considering all essential micronutrients</w:t>
      </w:r>
      <w:r w:rsidR="009F3E84">
        <w:rPr>
          <w:rFonts w:ascii="Times New Roman" w:hAnsi="Times New Roman" w:cs="Times New Roman"/>
          <w:sz w:val="24"/>
          <w:szCs w:val="24"/>
        </w:rPr>
        <w:t>,</w:t>
      </w:r>
      <w:r w:rsidR="00C26323">
        <w:rPr>
          <w:rFonts w:ascii="Times New Roman" w:hAnsi="Times New Roman" w:cs="Times New Roman"/>
          <w:sz w:val="24"/>
          <w:szCs w:val="24"/>
        </w:rPr>
        <w:t xml:space="preserve"> and </w:t>
      </w:r>
      <w:r w:rsidR="009F3E84">
        <w:rPr>
          <w:rFonts w:ascii="Times New Roman" w:hAnsi="Times New Roman" w:cs="Times New Roman"/>
          <w:sz w:val="24"/>
          <w:szCs w:val="24"/>
        </w:rPr>
        <w:t xml:space="preserve">all </w:t>
      </w:r>
      <w:r w:rsidR="00C26323">
        <w:rPr>
          <w:rFonts w:ascii="Times New Roman" w:hAnsi="Times New Roman" w:cs="Times New Roman"/>
          <w:sz w:val="24"/>
          <w:szCs w:val="24"/>
        </w:rPr>
        <w:t>age and sex groups</w:t>
      </w:r>
      <w:r w:rsidR="007B422E">
        <w:rPr>
          <w:rFonts w:ascii="Times New Roman" w:hAnsi="Times New Roman" w:cs="Times New Roman"/>
          <w:sz w:val="24"/>
          <w:szCs w:val="24"/>
        </w:rPr>
        <w:t xml:space="preserve">. These deficiencies are </w:t>
      </w:r>
      <w:r w:rsidR="00E45ABF">
        <w:rPr>
          <w:rFonts w:ascii="Times New Roman" w:hAnsi="Times New Roman" w:cs="Times New Roman"/>
          <w:sz w:val="24"/>
          <w:szCs w:val="24"/>
        </w:rPr>
        <w:t xml:space="preserve">compromising immune systems, constraining the growth and development of children, </w:t>
      </w:r>
      <w:r w:rsidR="00681535">
        <w:rPr>
          <w:rFonts w:ascii="Times New Roman" w:hAnsi="Times New Roman" w:cs="Times New Roman"/>
          <w:sz w:val="24"/>
          <w:szCs w:val="24"/>
        </w:rPr>
        <w:t>and ultimately limiting the human capital of populations and nations.</w:t>
      </w:r>
    </w:p>
    <w:p w14:paraId="0B287A7F" w14:textId="21EC6E8A" w:rsidR="00BB175D" w:rsidRPr="000D48EC" w:rsidRDefault="00FC4407">
      <w:pPr>
        <w:rPr>
          <w:rFonts w:ascii="Times New Roman" w:hAnsi="Times New Roman" w:cs="Times New Roman"/>
          <w:b/>
          <w:bCs/>
          <w:sz w:val="24"/>
          <w:szCs w:val="24"/>
        </w:rPr>
      </w:pPr>
      <w:r w:rsidRPr="000D48EC">
        <w:rPr>
          <w:rFonts w:ascii="Times New Roman" w:hAnsi="Times New Roman" w:cs="Times New Roman"/>
          <w:b/>
          <w:bCs/>
          <w:sz w:val="24"/>
          <w:szCs w:val="24"/>
        </w:rPr>
        <w:lastRenderedPageBreak/>
        <w:t>Introduction</w:t>
      </w:r>
    </w:p>
    <w:p w14:paraId="431092EB" w14:textId="795D7C56" w:rsidR="00D27405" w:rsidRDefault="00D27405" w:rsidP="00D27405">
      <w:pPr>
        <w:rPr>
          <w:rFonts w:ascii="Times New Roman" w:hAnsi="Times New Roman" w:cs="Times New Roman"/>
          <w:sz w:val="24"/>
          <w:szCs w:val="24"/>
          <w:lang w:val="en-GB"/>
        </w:rPr>
      </w:pPr>
      <w:r w:rsidRPr="00D27405">
        <w:rPr>
          <w:rFonts w:ascii="Times New Roman" w:hAnsi="Times New Roman" w:cs="Times New Roman"/>
          <w:sz w:val="24"/>
          <w:szCs w:val="24"/>
          <w:lang w:val="en-GB"/>
        </w:rPr>
        <w:t>The direct effects of micronutrient deficiencies (MNDs) on morbidity and mortality outcomes in individuals and indirect effects on societies have been extensively</w:t>
      </w:r>
      <w:r w:rsidR="002622C8">
        <w:rPr>
          <w:rFonts w:ascii="Times New Roman" w:hAnsi="Times New Roman" w:cs="Times New Roman"/>
          <w:sz w:val="24"/>
          <w:szCs w:val="24"/>
          <w:lang w:val="en-GB"/>
        </w:rPr>
        <w:t xml:space="preserve"> </w:t>
      </w:r>
      <w:r w:rsidRPr="00D27405">
        <w:rPr>
          <w:rFonts w:ascii="Times New Roman" w:hAnsi="Times New Roman" w:cs="Times New Roman"/>
          <w:sz w:val="24"/>
          <w:szCs w:val="24"/>
          <w:lang w:val="en-GB"/>
        </w:rPr>
        <w:t>investigated</w:t>
      </w:r>
      <w:r w:rsidR="005F084E">
        <w:rPr>
          <w:rFonts w:ascii="Times New Roman" w:hAnsi="Times New Roman" w:cs="Times New Roman"/>
          <w:sz w:val="24"/>
          <w:szCs w:val="24"/>
          <w:lang w:val="en-GB"/>
        </w:rPr>
        <w:t>.</w:t>
      </w:r>
      <w:r w:rsidRPr="00D27405">
        <w:rPr>
          <w:rFonts w:ascii="Times New Roman" w:hAnsi="Times New Roman" w:cs="Times New Roman"/>
          <w:sz w:val="24"/>
          <w:szCs w:val="24"/>
          <w:lang w:val="en-GB"/>
        </w:rPr>
        <w:fldChar w:fldCharType="begin"/>
      </w:r>
      <w:r w:rsidR="00A22219">
        <w:rPr>
          <w:rFonts w:ascii="Times New Roman" w:hAnsi="Times New Roman" w:cs="Times New Roman"/>
          <w:sz w:val="24"/>
          <w:szCs w:val="24"/>
          <w:lang w:val="en-GB"/>
        </w:rPr>
        <w:instrText xml:space="preserve"> ADDIN ZOTERO_ITEM CSL_CITATION {"citationID":"KZIPJJLo","properties":{"formattedCitation":"\\super 1,2\\nosupersub{}","plainCitation":"1,2","noteIndex":0},"citationItems":[{"id":2922,"uris":["http://zotero.org/users/2850877/items/D4R8AIVP"],"uri":["http://zotero.org/users/2850877/items/D4R8AIVP"],"itemData":{"id":2922,"type":"article-journal","abstract":"Micronutrients are essential to sustain life and for optimal physiological function. Widespread global micronutrient deficiencies (MNDs) exist, with pregnant women and their children under 5 years at the highest risk. Iron, iodine, folate, vitamin A, and zinc deficiencies are the most widespread MNDs, and all these MNDs are common contributors to poor growth, intellectual impairments, perinatal complications, and increased risk of morbidity and mortality. Iron deficiency is the most common MND worldwide and leads to microcytic anemia, decreased capacity for work, as well as impaired immune and endocrine function. Iodine deficiency disorder is also widespread and results in goiter, mental retardation, or reduced cognitive function. Adequate zinc is necessary for optimal immune function, and deficiency is associated with an increased incidence of diarrhea and acute respiratory infections, major causes of death in those &lt;5 years of age. Folic acid taken in early pregnancy can prevent neural tube defects. Folate is essential for DNA synthesis and repair, and deficiency results in macrocytic anemia. Vitamin A deficiency is the leading cause of blindness worldwide and also impairs immune function and cell differentiation. Single MNDs rarely occur alone; often, multiple MNDs coexist. The long-term consequences of MNDs are not only seen at the individual level but also have deleterious impacts on the economic development and human capital at the country level. Perhaps of greatest concern is the cycle of MNDs that persists over generations and the intergenerational consequences of MNDs that we are only beginning to understand. Prevention of MNDs is critical and traditionally has been accomplished through supplementation, fortification, and food-based approaches including diversification. It is widely accepted that intervention in the first 1,000 days is critical to break the cycle of malnutrition; however, a coordinated, sustainable commitment to scaling up nutrition at the global level is still needed. Understanding the epidemiology of MNDs is critical to understand what intervention strategies will work best under different conditions.","container-title":"Annals of Nutrition and Metabolism","DOI":"10.1159/000371618","ISSN":"0250-6807, 1421-9697","issue":"Suppl. 2","journalAbbreviation":"ANM","language":"english","note":"publisher: Karger Publishers\nPMID: 26045325","page":"22-33","source":"www.karger.com","title":"The Epidemiology of Global Micronutrient Deficiencies","volume":"66","author":[{"family":"Bailey","given":"Regan L."},{"family":"Jr","given":"Keith P. West"},{"family":"Black","given":"Robert E."}],"issued":{"date-parts":[["2015"]]}}},{"id":"2a68pk1S/rkghpdox","uris":["http://zotero.org/users/6692154/items/HT6H3MTS"],"uri":["http://zotero.org/users/6692154/items/HT6H3MTS"],"itemData":{"id":588,"type":"article-journal","abstract":"Summary\nMaternal and child malnutrition in low-income and middle-income countries encompasses both undernutrition and a growing problem with overweight and obesity. Low body-mass index, indicative of maternal undernutrition, has declined somewhat in the past two decades but continues to be prevalent in Asia and Africa. Prevalence of maternal overweight has had a steady increase since 1980 and exceeds that of underweight in all regions. Prevalence of stunting of linear growth of children younger than 5 years has decreased during the past two decades, but is higher in south Asia and sub-Saharan Africa than elsewhere and globally affected at least 165 million children in 2011; wasting affected at least 52 million children. Deficiencies of vitamin A and zinc result in deaths; deficiencies of iodine and iron, together with stunting, can contribute to children not reaching their developmental potential. Maternal undernutrition contributes to fetal growth restriction, which increases the risk of neonatal deaths and, for survivors, of stunting by 2 years of age. Suboptimum breastfeeding results in an increased risk for mortality in the first 2 years of life. We estimate that undernutrition in the aggregate—including fetal growth restriction, stunting, wasting, and deficiencies of vitamin A and zinc along with suboptimum breastfeeding—is a cause of 3·1 million child deaths annually or 45% of all child deaths in 2011. Maternal overweight and obesity result in increased maternal morbidity and infant mortality. Childhood overweight is becoming an increasingly important contributor to adult obesity, diabetes, and non-communicable diseases. The high present and future disease burden caused by malnutrition in women of reproductive age, pregnancy, and children in the first 2 years of life should lead to interventions focused on these groups.","container-title":"The Lancet","DOI":"10.1016/S0140-6736(13)60937-X","ISSN":"0140-6736","issue":"9890","journalAbbreviation":"The Lancet","page":"427-451","title":"Maternal and child undernutrition and overweight in low-income and middle-income countries","volume":"382","author":[{"family":"Black","given":"Robert E"},{"family":"Victora","given":"Cesar G"},{"family":"Walker","given":"Susan P"},{"family":"Bhutta","given":"Zulfiqar A"},{"family":"Christian","given":"Parul"},{"family":"Onis","given":"Mercedes","non-dropping-particle":"de"},{"family":"Ezzati","given":"Majid"},{"family":"Grantham-McGregor","given":"Sally"},{"family":"Katz","given":"Joanne"},{"family":"Martorell","given":"Reynaldo"},{"family":"Uauy","given":"Ricardo"}],"issued":{"date-parts":[["2013",8,3]]}}}],"schema":"https://github.com/citation-style-language/schema/raw/master/csl-citation.json"} </w:instrText>
      </w:r>
      <w:r w:rsidRPr="00D27405">
        <w:rPr>
          <w:rFonts w:ascii="Times New Roman" w:hAnsi="Times New Roman" w:cs="Times New Roman"/>
          <w:sz w:val="24"/>
          <w:szCs w:val="24"/>
          <w:lang w:val="en-GB"/>
        </w:rPr>
        <w:fldChar w:fldCharType="separate"/>
      </w:r>
      <w:r w:rsidR="007924D3" w:rsidRPr="007924D3">
        <w:rPr>
          <w:rFonts w:ascii="Times New Roman" w:hAnsi="Times New Roman" w:cs="Times New Roman"/>
          <w:color w:val="000000"/>
          <w:sz w:val="24"/>
          <w:vertAlign w:val="superscript"/>
        </w:rPr>
        <w:t>1,2</w:t>
      </w:r>
      <w:r w:rsidRPr="00D27405">
        <w:rPr>
          <w:rFonts w:ascii="Times New Roman" w:hAnsi="Times New Roman" w:cs="Times New Roman"/>
          <w:sz w:val="24"/>
          <w:szCs w:val="24"/>
        </w:rPr>
        <w:fldChar w:fldCharType="end"/>
      </w:r>
      <w:r w:rsidR="002622C8">
        <w:rPr>
          <w:rFonts w:ascii="Times New Roman" w:hAnsi="Times New Roman" w:cs="Times New Roman"/>
          <w:sz w:val="24"/>
          <w:szCs w:val="24"/>
          <w:lang w:val="en-GB"/>
        </w:rPr>
        <w:t xml:space="preserve"> </w:t>
      </w:r>
      <w:r w:rsidRPr="00D27405">
        <w:rPr>
          <w:rFonts w:ascii="Times New Roman" w:hAnsi="Times New Roman" w:cs="Times New Roman"/>
          <w:sz w:val="24"/>
          <w:szCs w:val="24"/>
          <w:lang w:val="en-GB"/>
        </w:rPr>
        <w:t>Deficiencies in iron, vitamin A, zinc</w:t>
      </w:r>
      <w:r w:rsidR="001E348B">
        <w:rPr>
          <w:rFonts w:ascii="Times New Roman" w:hAnsi="Times New Roman" w:cs="Times New Roman"/>
          <w:sz w:val="24"/>
          <w:szCs w:val="24"/>
          <w:lang w:val="en-GB"/>
        </w:rPr>
        <w:t>,</w:t>
      </w:r>
      <w:r w:rsidR="00694DD3">
        <w:rPr>
          <w:rFonts w:ascii="Times New Roman" w:hAnsi="Times New Roman" w:cs="Times New Roman"/>
          <w:sz w:val="24"/>
          <w:szCs w:val="24"/>
          <w:lang w:val="en-GB"/>
        </w:rPr>
        <w:t xml:space="preserve"> folate, vitamin B</w:t>
      </w:r>
      <w:r w:rsidR="00694DD3" w:rsidRPr="00B96802">
        <w:rPr>
          <w:rFonts w:ascii="Times New Roman" w:hAnsi="Times New Roman" w:cs="Times New Roman"/>
          <w:sz w:val="24"/>
          <w:szCs w:val="24"/>
          <w:vertAlign w:val="subscript"/>
          <w:lang w:val="en-GB"/>
        </w:rPr>
        <w:t>12</w:t>
      </w:r>
      <w:r w:rsidR="00694DD3">
        <w:rPr>
          <w:rFonts w:ascii="Times New Roman" w:hAnsi="Times New Roman" w:cs="Times New Roman"/>
          <w:sz w:val="24"/>
          <w:szCs w:val="24"/>
          <w:lang w:val="en-GB"/>
        </w:rPr>
        <w:t>,</w:t>
      </w:r>
      <w:r w:rsidR="005408AD">
        <w:rPr>
          <w:rFonts w:ascii="Times New Roman" w:hAnsi="Times New Roman" w:cs="Times New Roman"/>
          <w:sz w:val="24"/>
          <w:szCs w:val="24"/>
          <w:lang w:val="en-GB"/>
        </w:rPr>
        <w:t xml:space="preserve"> vitamin D,</w:t>
      </w:r>
      <w:r w:rsidRPr="00D27405">
        <w:rPr>
          <w:rFonts w:ascii="Times New Roman" w:hAnsi="Times New Roman" w:cs="Times New Roman"/>
          <w:sz w:val="24"/>
          <w:szCs w:val="24"/>
          <w:lang w:val="en-GB"/>
        </w:rPr>
        <w:t xml:space="preserve"> and iodine </w:t>
      </w:r>
      <w:r w:rsidR="009D5B2A">
        <w:rPr>
          <w:rFonts w:ascii="Times New Roman" w:hAnsi="Times New Roman" w:cs="Times New Roman"/>
          <w:sz w:val="24"/>
          <w:szCs w:val="24"/>
          <w:lang w:val="en-GB"/>
        </w:rPr>
        <w:t xml:space="preserve">can </w:t>
      </w:r>
      <w:r w:rsidRPr="00D27405">
        <w:rPr>
          <w:rFonts w:ascii="Times New Roman" w:hAnsi="Times New Roman" w:cs="Times New Roman"/>
          <w:sz w:val="24"/>
          <w:szCs w:val="24"/>
          <w:lang w:val="en-GB"/>
        </w:rPr>
        <w:t xml:space="preserve">each have severe consequences, </w:t>
      </w:r>
      <w:r w:rsidR="00436742">
        <w:rPr>
          <w:rFonts w:ascii="Times New Roman" w:hAnsi="Times New Roman" w:cs="Times New Roman"/>
          <w:sz w:val="24"/>
          <w:szCs w:val="24"/>
          <w:lang w:val="en-GB"/>
        </w:rPr>
        <w:t>including</w:t>
      </w:r>
      <w:r w:rsidRPr="00D27405">
        <w:rPr>
          <w:rFonts w:ascii="Times New Roman" w:hAnsi="Times New Roman" w:cs="Times New Roman"/>
          <w:sz w:val="24"/>
          <w:szCs w:val="24"/>
          <w:lang w:val="en-GB"/>
        </w:rPr>
        <w:t xml:space="preserve"> increased susceptibility to infections,</w:t>
      </w:r>
      <w:r w:rsidR="000731E9">
        <w:rPr>
          <w:rFonts w:ascii="Times New Roman" w:hAnsi="Times New Roman" w:cs="Times New Roman"/>
          <w:sz w:val="24"/>
          <w:szCs w:val="24"/>
          <w:lang w:val="en-GB"/>
        </w:rPr>
        <w:t xml:space="preserve"> blindness,</w:t>
      </w:r>
      <w:r w:rsidRPr="00D27405">
        <w:rPr>
          <w:rFonts w:ascii="Times New Roman" w:hAnsi="Times New Roman" w:cs="Times New Roman"/>
          <w:sz w:val="24"/>
          <w:szCs w:val="24"/>
          <w:lang w:val="en-GB"/>
        </w:rPr>
        <w:t xml:space="preserve"> </w:t>
      </w:r>
      <w:r w:rsidR="00F61253">
        <w:rPr>
          <w:rFonts w:ascii="Times New Roman" w:hAnsi="Times New Roman" w:cs="Times New Roman"/>
          <w:sz w:val="24"/>
          <w:szCs w:val="24"/>
          <w:lang w:val="en-GB"/>
        </w:rPr>
        <w:t xml:space="preserve">reduced growth, </w:t>
      </w:r>
      <w:r w:rsidRPr="00D27405">
        <w:rPr>
          <w:rFonts w:ascii="Times New Roman" w:hAnsi="Times New Roman" w:cs="Times New Roman"/>
          <w:sz w:val="24"/>
          <w:szCs w:val="24"/>
          <w:lang w:val="en-GB"/>
        </w:rPr>
        <w:t xml:space="preserve">cognitive impairment, decreased work productivity, and </w:t>
      </w:r>
      <w:r w:rsidR="001F0590">
        <w:rPr>
          <w:rFonts w:ascii="Times New Roman" w:hAnsi="Times New Roman" w:cs="Times New Roman"/>
          <w:sz w:val="24"/>
          <w:szCs w:val="24"/>
          <w:lang w:val="en-GB"/>
        </w:rPr>
        <w:t xml:space="preserve">in extreme situations </w:t>
      </w:r>
      <w:r w:rsidRPr="00D27405">
        <w:rPr>
          <w:rFonts w:ascii="Times New Roman" w:hAnsi="Times New Roman" w:cs="Times New Roman"/>
          <w:sz w:val="24"/>
          <w:szCs w:val="24"/>
          <w:lang w:val="en-GB"/>
        </w:rPr>
        <w:t>death</w:t>
      </w:r>
      <w:r w:rsidR="005F084E">
        <w:rPr>
          <w:rFonts w:ascii="Times New Roman" w:hAnsi="Times New Roman" w:cs="Times New Roman"/>
          <w:sz w:val="24"/>
          <w:szCs w:val="24"/>
          <w:lang w:val="en-GB"/>
        </w:rPr>
        <w:t>.</w:t>
      </w:r>
      <w:r w:rsidRPr="00D27405">
        <w:rPr>
          <w:rFonts w:ascii="Times New Roman" w:hAnsi="Times New Roman" w:cs="Times New Roman"/>
          <w:sz w:val="24"/>
          <w:szCs w:val="24"/>
          <w:lang w:val="en-GB"/>
        </w:rPr>
        <w:fldChar w:fldCharType="begin"/>
      </w:r>
      <w:r w:rsidR="00A22219">
        <w:rPr>
          <w:rFonts w:ascii="Times New Roman" w:hAnsi="Times New Roman" w:cs="Times New Roman"/>
          <w:sz w:val="24"/>
          <w:szCs w:val="24"/>
          <w:lang w:val="en-GB"/>
        </w:rPr>
        <w:instrText xml:space="preserve"> ADDIN ZOTERO_ITEM CSL_CITATION {"citationID":"VIlSfHod","properties":{"formattedCitation":"\\super 3\\uc0\\u8211{}8\\nosupersub{}","plainCitation":"3–8","noteIndex":0},"citationItems":[{"id":"2a68pk1S/i8XrzJVe","uris":["http://zotero.org/users/6692154/items/DZLG5CQU"],"uri":["http://zotero.org/users/6692154/items/DZLG5CQU"],"itemData":{"id":592,"type":"article-journal","abstract":"Iron deficiency is commonly assumed to cause half of all cases of anemias, with hereditary blood disorders and infections such as hookworm and malaria being the other major causes. In countries ranked as low, medium, and high by the Human Development Index, we conducted a systematic review of nationally representative surveys that reported the prevalence of iron deficiency, iron deficiency anemia, and anemia among pre-school children and non-pregnant women of reproductive age. Using random effects meta-analyses techniques, data from 23 countries for pre-school children and non-pregnant women of reproductive age was pooled, and the proportion of anemia attributable to iron deficiency was estimated by region, inflammation exposure, anemia prevalence, and urban/rural setting. For pre-school children and non-pregnant women of reproductive age, the proportion of anemia associated with iron deficiency was 25.0% (95% CI: 18.0, 32.0) and 37.0% (95% CI: 28.0, 46.0), respectively. The proportion of anemia associated with iron deficiency was lower in countries where anemia prevalence was &gt;40%, especially in rural populations (14% for pre-school children; 16% for non-pregnant women of reproductive age), and in countries with very high inflammation exposure (20% for pre-school children; 25% for non-pregnant women of reproductive age). Despite large heterogeneity, our analyses suggest that the proportion of anemia associated with iron deficiency is lower than the previously assumed 50% in countries with low, medium, or high Human Development Index ranking. Anemia-reduction strategies and programs should be based on an analysis of country-specific data, as iron deficiency may not always be the key determinant of anemia.","archive":"PubMed","archive_location":"27827838","container-title":"Nutrients","DOI":"10.3390/nu8110693","ISSN":"2072-6643","issue":"11","journalAbbreviation":"Nutrients","language":"eng","note":"publisher: MDPI","page":"693","title":"The Proportion of Anemia Associated with Iron Deficiency in Low, Medium, and High Human Development Index Countries: A Systematic Analysis of National Surveys","volume":"8","author":[{"family":"Petry","given":"Nicolai"},{"family":"Olofin","given":"Ibironke"},{"family":"Hurrell","given":"Richard F"},{"family":"Boy","given":"Erick"},{"family":"Wirth","given":"James P"},{"family":"Moursi","given":"Mourad"},{"family":"Donahue Angel","given":"Moira"},{"family":"Rohner","given":"Fabian"}],"issued":{"date-parts":[["2016",11,2]]}}},{"id":"2a68pk1S/RlLsxZdK","uris":["http://zotero.org/users/6692154/items/VUJMHVMT"],"uri":["http://zotero.org/users/6692154/items/VUJMHVMT"],"itemData":{"id":594,"type":"article-journal","abstract":"A practical guide, now in its third edition, to the detection, treatment, and prevention of vitamin A deficiency and its consequences, including associated mortality, infectious morbidity, and xerophthalmia. Addressed to clinicians, nurses, and public health officials, the text has been thoroughly revised to reflect recent advances in knowledge. These include growing recognition of the importance of adequate vitamin A intake for normal child health and survival, and evidence that milder degrees of deficiency mayhave severe consequences, including increased mortality, before xerophthalmia becomes apparent in a population. In line with these advances, the guide offers advice on the detection and treatment of subclinical or marginal degrees of deficiency as well as on the emergency management of xerophthalmia and measles. The guide has six chapters. Background information is provided in the first two, which describe the biochemistry of vitamin A metabolism and explain the complex relationship between specific serum levels and the physiological consequences of deficiency. The third chapter provides a detailed guide to the clinical classification and diagnosis of xerophthalmia. Recognition of the characteristic signs and symptoms of increasingly severe disease is facilitated through the inclusion of 32 colour plates. A chapter on epidemiology concentrates on the many factors that place children, particularly those from depressed rural communities and urban slums, at risk of vitamin A deficiency. Of particular practical value is a chapter on assessment, which explains how well-conceived surveys, appropriate to local conditions, can guide the design of efficient and cost-effective interventions. A chapter on treatment provides schedules for vitamin A dosing in the emergency management of xerophthalmia, severe infectious episodes, and severe protein-energy malnutrition, and offers advice on dietary improvement, essential eye care, and the prevention of recurrence. The final chapter, on prevention, describes the wide range of options that can be followed to meet both short-term and long-term programme goals","archive":"WHO IRIS","container-title":"La carence en vitamine A et ses conséquences : guide pratique de dépistageet de la lutte","ISSN":"9241544783","journalAbbreviation":"La carence en vitamine A et ses conséquences : guide pratique de dépistageet de la lutte","language":"id","note":"edition: 3rd ed\npublisher-place: Geneva\npublisher: World Health Organization\nsection: vii, 69 p.","source":"http://apps.who.int/iris/","title":"Vitamin A deficiency and its consequences : a field guide to detection and control / Alfred Sommer","URL":"https://apps.who.int/iris/handle/10665/40535","author":[{"family":"Sommer","given":"Alfred"},{"literal":"World Health Organization"}],"issued":{"date-parts":[["1995"]]}}},{"id":"2a68pk1S/sEzAFhko","uris":["http://zotero.org/users/6692154/items/QSCAEXKL"],"uri":["http://zotero.org/users/6692154/items/QSCAEXKL"],"itemData":{"id":595,"type":"article-journal","abstract":"Zinc is a trace metal that is present in the brain and contributes to its structure and function. Limited evidence from both animal and human studies suggests that zinc deficiency may lead to delays in cognitive development. Although the mechanisms linking zinc deficiency with cognitive development are unclear, it appears that zinc deficiency may lead to deficits in children’s neuropsychologic functioning, activity, or motor development, and thus interfere with cognitive performance. In this article a model is presented that incorporates the influence of social context and the caregiving environment and suggests that the relation between zinc deficiency and cognitive development may vary by age in children and may be mediated by neuropsychologic functioning, activity, and motor development. Suggestions for further research are provided.","container-title":"The American Journal of Clinical Nutrition","DOI":"10.1093/ajcn/68.2.464S","ISSN":"0002-9165","issue":"2","journalAbbreviation":"The American Journal of Clinical Nutrition","page":"464S-469S","title":"Zinc deficiency and child development","volume":"68","author":[{"family":"Black","given":"M M"}],"issued":{"date-parts":[["1998",8,1]]}}},{"id":"2a68pk1S/h9LaqaiG","uris":["http://zotero.org/users/6692154/items/WJCBCRIY"],"uri":["http://zotero.org/users/6692154/items/WJCBCRIY"],"itemData":{"id":596,"type":"article-journal","abstract":"Iodine deficiency has multiple adverse effects in humans, termed iodine deficiency disorders, due to inadequate thyroid hormone production. Globally, it is estimated that 2 billion individuals have an insufficient iodine intake, and South Asia and sub-Saharan Africa are particularly affected. However, about 50% of Europe remains mildly iodine deficient, and iodine intakes in other industrialized countries, including the United States and Australia, have fallen in recent years. Iodine deficiency during pregnancy and infancy may impair growth and neurodevelopment of the offspring and increase infant mortality. Deficiency during childhood reduces somatic growth and cognitive and motor function. Assessment methods include urinary iodine concentration, goiter, newborn TSH, and blood thyroglobulin. But assessment of iodine status in pregnancy is difficult, and it remains unclear whether iodine intakes are sufficient in this group, leading to calls for iodine supplementation during pregnancy in several industrialized countries. In most countries, the best strategy to control iodine deficiency in populations is carefully monitored universal salt iodization, one of the most cost-effective ways to contribute to economic and social development. Achieving optimal iodine intakes from iodized salt (in the range of 150–250 μg/d for adults) may minimize the amount of thyroid dysfunction in populations. Ensuring adequate iodine status during parenteral nutrition has become important, particularly in preterm infants, as the use of povidone-iodine disinfectants has declined. Introduction of iodized salt to regions of chronic iodine deficiency may transiently increase the incidence of thyroid disorders, but overall, the relatively small risks of iodine excess are far outweighed by the substantial risks of iodine deficiency.","container-title":"Endocrine Reviews","DOI":"10.1210/er.2009-0011","ISSN":"0163-769X","issue":"4","journalAbbreviation":"Endocrine Reviews","page":"376-408","title":"Iodine Deficiency","volume":"30","author":[{"family":"Zimmermann","given":"Michael B."}],"issued":{"date-parts":[["2009",6,1]]}}},{"id":2930,"uris":["http://zotero.org/users/2850877/items/9PH7NHW8"],"uri":["http://zotero.org/users/2850877/items/9PH7NHW8"],"itemData":{"id":2930,"type":"article-journal","abstract":"Vitamin D is an essential nutrient for bone health and may influence the risks of respiratory illness, adverse pregnancy outcomes, and chronic diseases of adulthood. Because many countries have a relatively low supply of foods rich in vitamin D and inadequate exposure to natural ultraviolet B (UVB) radiation from sunlight, an important proportion of the global population is at risk of vitamin D deficiency. There is general agreement that the minimum serum/plasma 25-hydroxyvitamin D concentration (25(OH)D) that protects against vitamin D deficiency–related bone disease is approximately 30 nmol/L; therefore, this threshold is suitable to define vitamin D deficiency in population surveys. However, efforts to assess the vitamin D status of populations in low- and middle-income countries have been hampered by limited availability of population-representative 25(OH)D data, particularly among population subgroups most vulnerable to the skeletal and potential extraskeletal consequences of low vitamin D status, namely exclusively breastfed infants, children, adolescents, pregnant and lactating women, and the elderly. In the absence of 25(OH)D data, identification of communities that would benefit from public health interventions to improve vitamin D status may require proxy indicators of the population risk of vitamin D deficiency, such as the prevalence of rickets or metrics of usual UVB exposure. If a high prevalence of vitamin D deficiency is identified (&gt;20% prevalence of 25(OH)D &lt; 30 nmol/L) or the risk for vitamin D deficiency is determined to be high based on proxy indicators (e.g., prevalence of rickets &gt;1%), food fortification and/or targeted vitamin D supplementation policies can be implemented to reduce the burden of vitamin D deficiency–related conditions in vulnerable populations.","container-title":"Annals of the New York Academy of Sciences","DOI":"10.1111/nyas.13968","ISSN":"0077-8923","issue":"1","journalAbbreviation":"Ann N Y Acad Sci","note":"PMID: 30225965\nPMCID: PMC7309365","page":"44-79","source":"PubMed Central","title":"Global prevalence and disease burden of vitamin D deficiency: a roadmap for action in low- and middle-income countries","title-short":"Global prevalence and disease burden of vitamin D deficiency","volume":"1430","author":[{"family":"Roth","given":"Daniel E."},{"family":"Abrams","given":"Steven A."},{"family":"Aloia","given":"John"},{"family":"Bergeron","given":"Gilles"},{"family":"Bourassa","given":"Megan W."},{"family":"Brown","given":"Kenneth H."},{"family":"Calvo","given":"Mona S."},{"family":"Cashman","given":"Kevin D."},{"family":"Combs","given":"Gerald"},{"family":"De-Regil","given":"Luz María"},{"family":"Jefferds","given":"Maria Elena"},{"family":"Jones","given":"Kerry S."},{"family":"Kapner","given":"Hallie"},{"family":"Martineau","given":"Adrian R."},{"family":"Neufeld","given":"Lynnette M."},{"family":"Schleicher","given":"Rosemary L."},{"family":"Thacher","given":"Tom D."},{"family":"Whiting","given":"Susan J."}],"issued":{"date-parts":[["2018",10]]}}},{"id":3188,"uris":["http://zotero.org/users/2850877/items/TRUQTPTL"],"uri":["http://zotero.org/users/2850877/items/TRUQTPTL"],"itemData":{"id":3188,"type":"article-journal","abstract":"Vitamin B12 (B12; also known as cobalamin) is a B vitamin that has an important role in cellular metabolism, especially in DNA synthesis, methylation and mitochondrial metabolism. Clinical B12 deficiency with classic haematological and neurological manifestations is relatively uncommon. However, subclinical deficiency affects between 2.5% and 26% of the general population depending on the definition used, although the clinical relevance is unclear. B12 deficiency can affect individuals at all ages, but most particularly elderly individuals. Infants, children, adolescents and women of reproductive age are also at high risk of deficiency in populations where dietary intake of B12-containing animal-derived foods is restricted. Deficiency is caused by either inadequate intake, inadequate bioavailability or malabsorption. Disruption of B12 transport in the blood, or impaired cellular uptake or metabolism causes an intracellular deficiency. Diagnostic biomarkers for B12 status include decreased levels of circulating total B12 and transcobalamin-bound B12, and abnormally increased levels of homocysteine and methylmalonic acid. However, the exact cut-offs to classify clinical and subclinical deficiency remain debated. Management depends on B12 supplementation, either via high-dose oral routes or via parenteral administration. This Primer describes the current knowledge surrounding B12 deficiency, and highlights improvements in diagnostic methods as well as shifting concepts about the prevalence, causes and manifestations of B12 deficiency.","container-title":"Nature Reviews Disease Primers","DOI":"10.1038/nrdp.2017.40","ISSN":"2056-676X","issue":"1","journalAbbreviation":"Nat Rev Dis Primers","language":"en","note":"Bandiera_abtest: a\nCg_type: Nature Research Journals\nnumber: 1\nPrimary_atype: Reviews\npublisher: Nature Publishing Group\nSubject_term: Anaemia;Neural tube defects;Nutrition;Nutrition disorders\nSubject_term_id: anaemia;neural-tube-defects;nutrition;nutrition-disorders","page":"1-20","source":"www.nature.com","title":"Vitamin B12 deficiency","volume":"3","author":[{"family":"Green","given":"Ralph"},{"family":"Allen","given":"Lindsay H."},{"family":"Bjørke-Monsen","given":"Anne-Lise"},{"family":"Brito","given":"Alex"},{"family":"Guéant","given":"Jean-Louis"},{"family":"Miller","given":"Joshua W."},{"family":"Molloy","given":"Anne M."},{"family":"Nexo","given":"Ebba"},{"family":"Stabler","given":"Sally"},{"family":"Toh","given":"Ban-Hock"},{"family":"Ueland","given":"Per Magne"},{"family":"Yajnik","given":"Chittaranjan"}],"issued":{"date-parts":[["2017",6,29]]}}}],"schema":"https://github.com/citation-style-language/schema/raw/master/csl-citation.json"} </w:instrText>
      </w:r>
      <w:r w:rsidRPr="00D27405">
        <w:rPr>
          <w:rFonts w:ascii="Times New Roman" w:hAnsi="Times New Roman" w:cs="Times New Roman"/>
          <w:sz w:val="24"/>
          <w:szCs w:val="24"/>
          <w:lang w:val="en-GB"/>
        </w:rPr>
        <w:fldChar w:fldCharType="separate"/>
      </w:r>
      <w:r w:rsidR="00B333BA" w:rsidRPr="00B333BA">
        <w:rPr>
          <w:rFonts w:ascii="Times New Roman" w:hAnsi="Times New Roman" w:cs="Times New Roman"/>
          <w:color w:val="000000"/>
          <w:sz w:val="24"/>
          <w:vertAlign w:val="superscript"/>
        </w:rPr>
        <w:t>3–8</w:t>
      </w:r>
      <w:r w:rsidRPr="00D27405">
        <w:rPr>
          <w:rFonts w:ascii="Times New Roman" w:hAnsi="Times New Roman" w:cs="Times New Roman"/>
          <w:sz w:val="24"/>
          <w:szCs w:val="24"/>
        </w:rPr>
        <w:fldChar w:fldCharType="end"/>
      </w:r>
      <w:r w:rsidR="005F084E">
        <w:rPr>
          <w:rFonts w:ascii="Times New Roman" w:hAnsi="Times New Roman" w:cs="Times New Roman"/>
          <w:sz w:val="24"/>
          <w:szCs w:val="24"/>
          <w:lang w:val="en-GB"/>
        </w:rPr>
        <w:t xml:space="preserve"> </w:t>
      </w:r>
      <w:r w:rsidRPr="00D27405">
        <w:rPr>
          <w:rFonts w:ascii="Times New Roman" w:hAnsi="Times New Roman" w:cs="Times New Roman"/>
          <w:sz w:val="24"/>
          <w:szCs w:val="24"/>
          <w:lang w:val="en-GB"/>
        </w:rPr>
        <w:t xml:space="preserve">Evidence of deficiency and severe health consequences has also emerged for </w:t>
      </w:r>
      <w:r w:rsidR="00C0671F">
        <w:rPr>
          <w:rFonts w:ascii="Times New Roman" w:hAnsi="Times New Roman" w:cs="Times New Roman"/>
          <w:sz w:val="24"/>
          <w:szCs w:val="24"/>
          <w:lang w:val="en-GB"/>
        </w:rPr>
        <w:t>other micro</w:t>
      </w:r>
      <w:r w:rsidR="00C0671F" w:rsidRPr="00D27405">
        <w:rPr>
          <w:rFonts w:ascii="Times New Roman" w:hAnsi="Times New Roman" w:cs="Times New Roman"/>
          <w:sz w:val="24"/>
          <w:szCs w:val="24"/>
          <w:lang w:val="en-GB"/>
        </w:rPr>
        <w:t>nutrients in specific settings, such as thiamine deficiency and sudden infant death in several countries in Asia.</w:t>
      </w:r>
      <w:r w:rsidRPr="00D27405">
        <w:rPr>
          <w:rFonts w:ascii="Times New Roman" w:hAnsi="Times New Roman" w:cs="Times New Roman"/>
          <w:sz w:val="24"/>
          <w:szCs w:val="24"/>
          <w:lang w:val="en-GB"/>
        </w:rPr>
        <w:fldChar w:fldCharType="begin"/>
      </w:r>
      <w:r w:rsidR="00A22219">
        <w:rPr>
          <w:rFonts w:ascii="Times New Roman" w:hAnsi="Times New Roman" w:cs="Times New Roman"/>
          <w:sz w:val="24"/>
          <w:szCs w:val="24"/>
          <w:lang w:val="en-GB"/>
        </w:rPr>
        <w:instrText xml:space="preserve"> ADDIN ZOTERO_ITEM CSL_CITATION {"citationID":"C7YiLFtb","properties":{"formattedCitation":"\\super 9\\nosupersub{}","plainCitation":"9","noteIndex":0},"citationItems":[{"id":"2a68pk1S/y53UrrzA","uris":["http://zotero.org/users/local/sGQfZxi7/items/REHRZ6V8"],"uri":["http://zotero.org/users/local/sGQfZxi7/items/REHRZ6V8"],"itemData":{"id":2941,"type":"article-journal","abstract":"Severe thiamine (vitamin B1) deficiency is generally regarded as a problem affecting mostly infants in low-income communities of Southeast Asia and adult alcoholics regardless of their location. Howe...","container-title":"Annals of the New York Academy of Sciences","DOI":"10.1111/nyas.14594","ISSN":"1749-6632","issue":"1","language":"en","note":"publisher: John Wiley &amp; Sons, Ltd","page":"5-8","source":"nyaspubs.onlinelibrary.wiley.com","title":"A fresh look at thiamine deficiency—new analyses by the global thiamine alliance","volume":"1498","author":[{"family":"Bourassa","given":"Megan W."},{"family":"Bergeron","given":"Gilles"},{"family":"Brown","given":"Kenneth H."}],"issued":{"date-parts":[["2021",8,1]]}}}],"schema":"https://github.com/citation-style-language/schema/raw/master/csl-citation.json"} </w:instrText>
      </w:r>
      <w:r w:rsidRPr="00D27405">
        <w:rPr>
          <w:rFonts w:ascii="Times New Roman" w:hAnsi="Times New Roman" w:cs="Times New Roman"/>
          <w:sz w:val="24"/>
          <w:szCs w:val="24"/>
          <w:lang w:val="en-GB"/>
        </w:rPr>
        <w:fldChar w:fldCharType="separate"/>
      </w:r>
      <w:r w:rsidR="00251FC9" w:rsidRPr="00251FC9">
        <w:rPr>
          <w:rFonts w:ascii="Times New Roman" w:hAnsi="Times New Roman" w:cs="Times New Roman"/>
          <w:color w:val="000000"/>
          <w:sz w:val="24"/>
          <w:vertAlign w:val="superscript"/>
        </w:rPr>
        <w:t>9</w:t>
      </w:r>
      <w:r w:rsidRPr="00D27405">
        <w:rPr>
          <w:rFonts w:ascii="Times New Roman" w:hAnsi="Times New Roman" w:cs="Times New Roman"/>
          <w:sz w:val="24"/>
          <w:szCs w:val="24"/>
        </w:rPr>
        <w:fldChar w:fldCharType="end"/>
      </w:r>
      <w:r w:rsidR="009E58A6" w:rsidRPr="009E58A6">
        <w:rPr>
          <w:rFonts w:ascii="Times New Roman" w:hAnsi="Times New Roman" w:cs="Times New Roman"/>
          <w:sz w:val="24"/>
          <w:szCs w:val="24"/>
          <w:lang w:val="en-GB"/>
        </w:rPr>
        <w:t xml:space="preserve"> </w:t>
      </w:r>
      <w:r w:rsidR="00B3298F">
        <w:rPr>
          <w:rFonts w:ascii="Times New Roman" w:hAnsi="Times New Roman" w:cs="Times New Roman"/>
          <w:sz w:val="24"/>
          <w:szCs w:val="24"/>
          <w:lang w:val="en-GB"/>
        </w:rPr>
        <w:t>Women of reproductive age, pregnant women</w:t>
      </w:r>
      <w:r w:rsidR="00F84011">
        <w:rPr>
          <w:rFonts w:ascii="Times New Roman" w:hAnsi="Times New Roman" w:cs="Times New Roman"/>
          <w:sz w:val="24"/>
          <w:szCs w:val="24"/>
          <w:lang w:val="en-GB"/>
        </w:rPr>
        <w:t>,</w:t>
      </w:r>
      <w:r w:rsidR="00B3298F">
        <w:rPr>
          <w:rFonts w:ascii="Times New Roman" w:hAnsi="Times New Roman" w:cs="Times New Roman"/>
          <w:sz w:val="24"/>
          <w:szCs w:val="24"/>
          <w:lang w:val="en-GB"/>
        </w:rPr>
        <w:t xml:space="preserve"> and young children are particularly vulnerable to the effects of micronutrient malnutrition </w:t>
      </w:r>
      <w:r w:rsidR="00877933">
        <w:rPr>
          <w:rFonts w:ascii="Times New Roman" w:hAnsi="Times New Roman" w:cs="Times New Roman"/>
          <w:sz w:val="24"/>
          <w:szCs w:val="24"/>
          <w:lang w:val="en-GB"/>
        </w:rPr>
        <w:t xml:space="preserve">due to high requirements and often, low intake. </w:t>
      </w:r>
      <w:r w:rsidR="008766C0">
        <w:rPr>
          <w:rFonts w:ascii="Times New Roman" w:hAnsi="Times New Roman" w:cs="Times New Roman"/>
          <w:sz w:val="24"/>
          <w:szCs w:val="24"/>
          <w:lang w:val="en-GB"/>
        </w:rPr>
        <w:t>I</w:t>
      </w:r>
      <w:r w:rsidR="001E21EC">
        <w:rPr>
          <w:rFonts w:ascii="Times New Roman" w:hAnsi="Times New Roman" w:cs="Times New Roman"/>
          <w:sz w:val="24"/>
          <w:szCs w:val="24"/>
          <w:lang w:val="en-GB"/>
        </w:rPr>
        <w:t xml:space="preserve">ncreasing </w:t>
      </w:r>
      <w:r w:rsidRPr="00D27405">
        <w:rPr>
          <w:rFonts w:ascii="Times New Roman" w:hAnsi="Times New Roman" w:cs="Times New Roman"/>
          <w:sz w:val="24"/>
          <w:szCs w:val="24"/>
          <w:lang w:val="en-GB"/>
        </w:rPr>
        <w:t>micronutrient</w:t>
      </w:r>
      <w:r w:rsidR="001E21EC">
        <w:rPr>
          <w:rFonts w:ascii="Times New Roman" w:hAnsi="Times New Roman" w:cs="Times New Roman"/>
          <w:sz w:val="24"/>
          <w:szCs w:val="24"/>
          <w:lang w:val="en-GB"/>
        </w:rPr>
        <w:t xml:space="preserve"> intake</w:t>
      </w:r>
      <w:r w:rsidRPr="00D27405">
        <w:rPr>
          <w:rFonts w:ascii="Times New Roman" w:hAnsi="Times New Roman" w:cs="Times New Roman"/>
          <w:sz w:val="24"/>
          <w:szCs w:val="24"/>
          <w:lang w:val="en-GB"/>
        </w:rPr>
        <w:t xml:space="preserve"> </w:t>
      </w:r>
      <w:r w:rsidR="00177AED">
        <w:rPr>
          <w:rFonts w:ascii="Times New Roman" w:hAnsi="Times New Roman" w:cs="Times New Roman"/>
          <w:sz w:val="24"/>
          <w:szCs w:val="24"/>
          <w:lang w:val="en-GB"/>
        </w:rPr>
        <w:t>of</w:t>
      </w:r>
      <w:r w:rsidR="00177AED" w:rsidRPr="00D27405">
        <w:rPr>
          <w:rFonts w:ascii="Times New Roman" w:hAnsi="Times New Roman" w:cs="Times New Roman"/>
          <w:sz w:val="24"/>
          <w:szCs w:val="24"/>
          <w:lang w:val="en-GB"/>
        </w:rPr>
        <w:t xml:space="preserve"> </w:t>
      </w:r>
      <w:r w:rsidRPr="00D27405">
        <w:rPr>
          <w:rFonts w:ascii="Times New Roman" w:hAnsi="Times New Roman" w:cs="Times New Roman"/>
          <w:sz w:val="24"/>
          <w:szCs w:val="24"/>
          <w:lang w:val="en-GB"/>
        </w:rPr>
        <w:t>the general population or population</w:t>
      </w:r>
      <w:r w:rsidR="00EA2A46">
        <w:rPr>
          <w:rFonts w:ascii="Times New Roman" w:hAnsi="Times New Roman" w:cs="Times New Roman"/>
          <w:sz w:val="24"/>
          <w:szCs w:val="24"/>
          <w:lang w:val="en-GB"/>
        </w:rPr>
        <w:t>s with increased requirements such as pregnant women and young children</w:t>
      </w:r>
      <w:r w:rsidRPr="00D27405">
        <w:rPr>
          <w:rFonts w:ascii="Times New Roman" w:hAnsi="Times New Roman" w:cs="Times New Roman"/>
          <w:sz w:val="24"/>
          <w:szCs w:val="24"/>
          <w:lang w:val="en-GB"/>
        </w:rPr>
        <w:t xml:space="preserve"> through</w:t>
      </w:r>
      <w:r w:rsidR="001E21EC">
        <w:rPr>
          <w:rFonts w:ascii="Times New Roman" w:hAnsi="Times New Roman" w:cs="Times New Roman"/>
          <w:sz w:val="24"/>
          <w:szCs w:val="24"/>
          <w:lang w:val="en-GB"/>
        </w:rPr>
        <w:t xml:space="preserve"> improved diet</w:t>
      </w:r>
      <w:r w:rsidR="008755B0">
        <w:rPr>
          <w:rFonts w:ascii="Times New Roman" w:hAnsi="Times New Roman" w:cs="Times New Roman"/>
          <w:sz w:val="24"/>
          <w:szCs w:val="24"/>
          <w:lang w:val="en-GB"/>
        </w:rPr>
        <w:t>s</w:t>
      </w:r>
      <w:r w:rsidR="001E21EC">
        <w:rPr>
          <w:rFonts w:ascii="Times New Roman" w:hAnsi="Times New Roman" w:cs="Times New Roman"/>
          <w:sz w:val="24"/>
          <w:szCs w:val="24"/>
          <w:lang w:val="en-GB"/>
        </w:rPr>
        <w:t>,</w:t>
      </w:r>
      <w:r w:rsidRPr="00D27405">
        <w:rPr>
          <w:rFonts w:ascii="Times New Roman" w:hAnsi="Times New Roman" w:cs="Times New Roman"/>
          <w:sz w:val="24"/>
          <w:szCs w:val="24"/>
          <w:lang w:val="en-GB"/>
        </w:rPr>
        <w:t xml:space="preserve"> </w:t>
      </w:r>
      <w:r w:rsidR="008755B0">
        <w:rPr>
          <w:rFonts w:ascii="Times New Roman" w:hAnsi="Times New Roman" w:cs="Times New Roman"/>
          <w:sz w:val="24"/>
          <w:szCs w:val="24"/>
          <w:lang w:val="en-GB"/>
        </w:rPr>
        <w:t xml:space="preserve">staple food </w:t>
      </w:r>
      <w:r w:rsidRPr="00D27405">
        <w:rPr>
          <w:rFonts w:ascii="Times New Roman" w:hAnsi="Times New Roman" w:cs="Times New Roman"/>
          <w:sz w:val="24"/>
          <w:szCs w:val="24"/>
          <w:lang w:val="en-GB"/>
        </w:rPr>
        <w:t>fortification</w:t>
      </w:r>
      <w:r w:rsidR="00122FC1">
        <w:rPr>
          <w:rFonts w:ascii="Times New Roman" w:hAnsi="Times New Roman" w:cs="Times New Roman"/>
          <w:sz w:val="24"/>
          <w:szCs w:val="24"/>
          <w:lang w:val="en-GB"/>
        </w:rPr>
        <w:t>,</w:t>
      </w:r>
      <w:r w:rsidR="008755B0">
        <w:rPr>
          <w:rFonts w:ascii="Times New Roman" w:hAnsi="Times New Roman" w:cs="Times New Roman"/>
          <w:sz w:val="24"/>
          <w:szCs w:val="24"/>
          <w:lang w:val="en-GB"/>
        </w:rPr>
        <w:t xml:space="preserve"> biofortification,</w:t>
      </w:r>
      <w:r w:rsidRPr="00D27405">
        <w:rPr>
          <w:rFonts w:ascii="Times New Roman" w:hAnsi="Times New Roman" w:cs="Times New Roman"/>
          <w:sz w:val="24"/>
          <w:szCs w:val="24"/>
          <w:lang w:val="en-GB"/>
        </w:rPr>
        <w:t xml:space="preserve"> or supplementation </w:t>
      </w:r>
      <w:r w:rsidR="008766C0">
        <w:rPr>
          <w:rFonts w:ascii="Times New Roman" w:hAnsi="Times New Roman" w:cs="Times New Roman"/>
          <w:sz w:val="24"/>
          <w:szCs w:val="24"/>
          <w:lang w:val="en-GB"/>
        </w:rPr>
        <w:t>consistently</w:t>
      </w:r>
      <w:r w:rsidRPr="00D27405">
        <w:rPr>
          <w:rFonts w:ascii="Times New Roman" w:hAnsi="Times New Roman" w:cs="Times New Roman"/>
          <w:sz w:val="24"/>
          <w:szCs w:val="24"/>
          <w:lang w:val="en-GB"/>
        </w:rPr>
        <w:t xml:space="preserve"> demonstrate</w:t>
      </w:r>
      <w:r w:rsidR="00AF25EE">
        <w:rPr>
          <w:rFonts w:ascii="Times New Roman" w:hAnsi="Times New Roman" w:cs="Times New Roman"/>
          <w:sz w:val="24"/>
          <w:szCs w:val="24"/>
          <w:lang w:val="en-GB"/>
        </w:rPr>
        <w:t>s</w:t>
      </w:r>
      <w:r w:rsidRPr="00D27405">
        <w:rPr>
          <w:rFonts w:ascii="Times New Roman" w:hAnsi="Times New Roman" w:cs="Times New Roman"/>
          <w:sz w:val="24"/>
          <w:szCs w:val="24"/>
          <w:lang w:val="en-GB"/>
        </w:rPr>
        <w:t xml:space="preserve"> potential to </w:t>
      </w:r>
      <w:r w:rsidR="001E21EC">
        <w:rPr>
          <w:rFonts w:ascii="Times New Roman" w:hAnsi="Times New Roman" w:cs="Times New Roman"/>
          <w:sz w:val="24"/>
          <w:szCs w:val="24"/>
          <w:lang w:val="en-GB"/>
        </w:rPr>
        <w:t xml:space="preserve">effectively </w:t>
      </w:r>
      <w:r w:rsidRPr="00D27405">
        <w:rPr>
          <w:rFonts w:ascii="Times New Roman" w:hAnsi="Times New Roman" w:cs="Times New Roman"/>
          <w:sz w:val="24"/>
          <w:szCs w:val="24"/>
          <w:lang w:val="en-GB"/>
        </w:rPr>
        <w:t xml:space="preserve">reduce the burden of </w:t>
      </w:r>
      <w:r w:rsidR="00B13428">
        <w:rPr>
          <w:rFonts w:ascii="Times New Roman" w:hAnsi="Times New Roman" w:cs="Times New Roman"/>
          <w:sz w:val="24"/>
          <w:szCs w:val="24"/>
          <w:lang w:val="en-GB"/>
        </w:rPr>
        <w:t xml:space="preserve">maternal and </w:t>
      </w:r>
      <w:r w:rsidRPr="00D27405">
        <w:rPr>
          <w:rFonts w:ascii="Times New Roman" w:hAnsi="Times New Roman" w:cs="Times New Roman"/>
          <w:sz w:val="24"/>
          <w:szCs w:val="24"/>
          <w:lang w:val="en-GB"/>
        </w:rPr>
        <w:t>child morbidity</w:t>
      </w:r>
      <w:r w:rsidR="00CD3B68">
        <w:rPr>
          <w:rFonts w:ascii="Times New Roman" w:hAnsi="Times New Roman" w:cs="Times New Roman"/>
          <w:sz w:val="24"/>
          <w:szCs w:val="24"/>
          <w:lang w:val="en-GB"/>
        </w:rPr>
        <w:t>, neurodevelopment,</w:t>
      </w:r>
      <w:r w:rsidRPr="00D27405">
        <w:rPr>
          <w:rFonts w:ascii="Times New Roman" w:hAnsi="Times New Roman" w:cs="Times New Roman"/>
          <w:sz w:val="24"/>
          <w:szCs w:val="24"/>
          <w:lang w:val="en-GB"/>
        </w:rPr>
        <w:t xml:space="preserve"> and mortality</w:t>
      </w:r>
      <w:r w:rsidR="00315569">
        <w:rPr>
          <w:rFonts w:ascii="Times New Roman" w:hAnsi="Times New Roman" w:cs="Times New Roman"/>
          <w:sz w:val="24"/>
          <w:szCs w:val="24"/>
          <w:lang w:val="en-GB"/>
        </w:rPr>
        <w:t>.</w:t>
      </w:r>
      <w:r w:rsidR="00315569" w:rsidRPr="00D27405">
        <w:rPr>
          <w:rFonts w:ascii="Times New Roman" w:hAnsi="Times New Roman" w:cs="Times New Roman"/>
          <w:sz w:val="24"/>
          <w:szCs w:val="24"/>
          <w:lang w:val="en-GB"/>
        </w:rPr>
        <w:fldChar w:fldCharType="begin"/>
      </w:r>
      <w:r w:rsidR="00A22219">
        <w:rPr>
          <w:rFonts w:ascii="Times New Roman" w:hAnsi="Times New Roman" w:cs="Times New Roman"/>
          <w:sz w:val="24"/>
          <w:szCs w:val="24"/>
          <w:lang w:val="en-GB"/>
        </w:rPr>
        <w:instrText xml:space="preserve"> ADDIN ZOTERO_ITEM CSL_CITATION {"citationID":"Cg5Pw1BU","properties":{"formattedCitation":"\\super 10\\uc0\\u8211{}13\\nosupersub{}","plainCitation":"10–13","noteIndex":0},"citationItems":[{"id":"2a68pk1S/pnLQM9uB","uris":["http://zotero.org/users/6692154/items/M488M8X5"],"uri":["http://zotero.org/users/6692154/items/M488M8X5"],"itemData":{"id":599,"type":"article-journal","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and lack of women's empowerment.","container-title":"The Lancet","DOI":"10.1016/S0140-6736(07)61693-6","ISSN":"0140-6736","issue":"9610","note":"publisher: Elsevier","page":"417-440","title":"What works? Interventions for maternal and child undernutrition and survival","volume":"371","author":[{"family":"Bhutta","given":"Zulfiqar A"},{"family":"Ahmed","given":"Tahmeed"},{"family":"Black","given":"Robert E"},{"family":"Cousens","given":"Simon"},{"family":"Dewey","given":"Kathryn"},{"family":"Giugliani","given":"Elsa"},{"family":"Haider","given":"Batool A"},{"family":"Kirkwood","given":"Betty"},{"family":"Morris","given":"Saul S"},{"family":"Sachdev","given":"HPS"},{"family":"Shekar","given":"Meera"}],"issued":{"date-parts":[["2008",2,2]]}}},{"id":"2a68pk1S/cVyof0Ia","uris":["http://zotero.org/users/6692154/items/XHDVN599"],"uri":["http://zotero.org/users/6692154/items/XHDVN599"],"itemData":{"id":597,"type":"article-journal","abstract":"Maternal undernutrition contributes to 800?000 neonatal deaths annually through small for gestational age births; stunting, wasting, and micronutrient deficiencies are estimated to underlie nearly 3·1 million child deaths annually. Progress has been made with many interventions implemented at scale and the evidence for effectiveness of nutrition interventions and delivery strategies has grown since The Lancet Series on Maternal and Child Undernutrition in 2008. We did a comprehensive update of interventions to address undernutrition and micronutrient deficiencies in women and children and used standard methods to assess emerging new evidence for delivery platforms. We modelled the effect on lives saved and cost of these interventions in the 34 countries that have 90% of the world?s children with stunted growth. We also examined the effect of various delivery platforms and delivery options using community health workers to engage poor populations and promote behaviour change, access and uptake of interventions. Our analysis suggests the current total of deaths in children younger than 5 years can be reduced by 15% if populations can access ten evidence-based nutrition interventions at 90% coverage. Additionally, access to and uptake of iodised salt can alleviate iodine deficiency and improve health outcomes. Accelerated gains are possible and about a fifth of the existing burden of stunting can be averted using these approaches, if access is improved in this way. The estimated total additional annual cost involved for scaling up access to these ten direct nutrition interventions in the 34 focus countries is Int$9·6 billion per year. Continued investments in nutrition-specific interventions to avert maternal and child undernutrition and micronutrient deficiencies through community engagement and delivery strategies that can reach poor segments of the population at greatest risk can make a great difference. If this improved access is linked to nutrition-sensitive approaches?ie, women?s empowerment, agriculture, food systems, education, employment, social protection, and safety nets?they can greatly accelerate progress in countries with the highest burden of maternal and child undernutrition and mortality.","container-title":"The Lancet","DOI":"10.1016/S0140-6736(13)60996-4","ISSN":"0140-6736","issue":"9890","note":"publisher: Elsevier","page":"452-477","title":"Evidence-based interventions for improvement of maternal and child nutrition: what can be done and at what cost?","volume":"382","author":[{"family":"Bhutta","given":"Zulfiqar A"},{"family":"Das","given":"Jai K"},{"family":"Rizvi","given":"Arjumand"},{"family":"Gaffey","given":"Michelle F"},{"family":"Walker","given":"Neff"},{"family":"Horton","given":"Susan"},{"family":"Webb","given":"Patrick"},{"family":"Lartey","given":"Anna"},{"family":"Black","given":"Robert E"}],"issued":{"date-parts":[["2013",8,3]]}}},{"id":"2a68pk1S/ChXALyOl","uris":["http://zotero.org/users/6692154/items/FBY5LH4Y"],"uri":["http://zotero.org/users/6692154/items/FBY5LH4Y"],"itemData":{"id":601,"type":"article-journal","abstract":"Malnutrition?consisting of undernutrition, overweight and obesity, and micronutrient deficiencies?continues to afflict millions of women and children, particularly in low-income and middle-income countries (LMICs). Since the 2013 Lancet Series on maternal and child nutrition, evidence on the ten recommended interventions has increased, along with evidence of newer interventions. Evidence on the effectiveness of antenatal multiple micronutrient supplementation in reducing the risk of stillbirths, low birthweight, and babies born small-for-gestational age has strengthened. Evidence continues to support the provision of supplementary food in food-insecure settings and community-based approaches with the use of locally produced supplementary and therapeutic food to manage children with acute malnutrition. Some emerging interventions, such as preventive small-quantity lipid-based nutrient supplements for children aged 6?23 months, have shown positive effects on child growth. For the prevention and management of childhood obesity, integrated interventions (eg, diet, exercise, and behavioural therapy) are most effective, although there is little evidence from LMICs. Lastly, indirect nutrition strategies, such as malaria prevention, preconception care, water, sanitation, and hygiene promotion, delivered inside and outside the health-care sector also provide important nutritional benefits. Looking forward, greater effort is required to improve intervention coverage, especially for the most vulnerable, and there is a crucial need to address the growing double burden of malnutrition (undernutrition, and overweight and obesity) in LMICs.","container-title":"The Lancet Child &amp; Adolescent Health","DOI":"10.1016/S2352-4642(20)30274-1","ISSN":"2352-4642","issue":"5","note":"publisher: Elsevier","page":"367-384","title":"Effective interventions to address maternal and child malnutrition: an update of the evidence","volume":"5","author":[{"family":"Keats","given":"Emily C"},{"family":"Das","given":"Jai K"},{"family":"Salam","given":"Rehana A"},{"family":"Lassi","given":"Zohra S"},{"family":"Imdad","given":"Aamer"},{"family":"Black","given":"Robert E"},{"family":"Bhutta","given":"Zulfiqar A"}],"issued":{"date-parts":[["2021",5,1]]}}},{"id":2214,"uris":["http://zotero.org/users/2850877/items/ZEKXVDAY"],"uri":["http://zotero.org/users/2850877/items/ZEKXVDAY"],"itemData":{"id":2214,"type":"article-journal","source":"Google Scholar","title":"Guiding principles for complementary feeding of the breastfed child.","author":[{"family":"Dewey","given":"Kathryn"}],"issued":{"date-parts":[["2002"]]}}}],"schema":"https://github.com/citation-style-language/schema/raw/master/csl-citation.json"} </w:instrText>
      </w:r>
      <w:r w:rsidR="00315569" w:rsidRPr="00D27405">
        <w:rPr>
          <w:rFonts w:ascii="Times New Roman" w:hAnsi="Times New Roman" w:cs="Times New Roman"/>
          <w:sz w:val="24"/>
          <w:szCs w:val="24"/>
          <w:lang w:val="en-GB"/>
        </w:rPr>
        <w:fldChar w:fldCharType="separate"/>
      </w:r>
      <w:r w:rsidR="00315569" w:rsidRPr="00251FC9">
        <w:rPr>
          <w:rFonts w:ascii="Times New Roman" w:hAnsi="Times New Roman" w:cs="Times New Roman"/>
          <w:color w:val="000000"/>
          <w:sz w:val="24"/>
          <w:vertAlign w:val="superscript"/>
        </w:rPr>
        <w:t>10–13</w:t>
      </w:r>
      <w:r w:rsidR="00315569" w:rsidRPr="00D27405">
        <w:rPr>
          <w:rFonts w:ascii="Times New Roman" w:hAnsi="Times New Roman" w:cs="Times New Roman"/>
          <w:sz w:val="24"/>
          <w:szCs w:val="24"/>
        </w:rPr>
        <w:fldChar w:fldCharType="end"/>
      </w:r>
    </w:p>
    <w:p w14:paraId="0AF3B4E5" w14:textId="77777777" w:rsidR="00D27405" w:rsidRPr="00D27405" w:rsidRDefault="00D27405" w:rsidP="00D27405">
      <w:pPr>
        <w:rPr>
          <w:rFonts w:ascii="Times New Roman" w:hAnsi="Times New Roman" w:cs="Times New Roman"/>
          <w:sz w:val="24"/>
          <w:szCs w:val="24"/>
          <w:lang w:val="en-GB"/>
        </w:rPr>
      </w:pPr>
    </w:p>
    <w:p w14:paraId="2C3DB03E" w14:textId="2425692A" w:rsidR="00CC799F" w:rsidRPr="00CC799F" w:rsidRDefault="00AD6629" w:rsidP="00CC799F">
      <w:pPr>
        <w:rPr>
          <w:rFonts w:ascii="Times New Roman" w:hAnsi="Times New Roman" w:cs="Times New Roman"/>
          <w:sz w:val="24"/>
          <w:szCs w:val="24"/>
          <w:lang w:val="en-GB"/>
        </w:rPr>
      </w:pPr>
      <w:r>
        <w:rPr>
          <w:rFonts w:ascii="Times New Roman" w:hAnsi="Times New Roman" w:cs="Times New Roman"/>
          <w:sz w:val="24"/>
          <w:szCs w:val="24"/>
          <w:lang w:val="en-GB"/>
        </w:rPr>
        <w:t>However, d</w:t>
      </w:r>
      <w:r w:rsidR="008C6614" w:rsidRPr="008C6614">
        <w:rPr>
          <w:rFonts w:ascii="Times New Roman" w:hAnsi="Times New Roman" w:cs="Times New Roman"/>
          <w:sz w:val="24"/>
          <w:szCs w:val="24"/>
          <w:lang w:val="en-GB"/>
        </w:rPr>
        <w:t xml:space="preserve">espite its public </w:t>
      </w:r>
      <w:r w:rsidR="008C6614" w:rsidRPr="00F84011">
        <w:rPr>
          <w:rFonts w:ascii="Times New Roman" w:hAnsi="Times New Roman" w:cs="Times New Roman"/>
          <w:sz w:val="24"/>
          <w:szCs w:val="24"/>
          <w:lang w:val="en-GB"/>
        </w:rPr>
        <w:t>health importance</w:t>
      </w:r>
      <w:r w:rsidR="00D27405" w:rsidRPr="00F84011">
        <w:rPr>
          <w:rFonts w:ascii="Times New Roman" w:hAnsi="Times New Roman" w:cs="Times New Roman"/>
          <w:sz w:val="24"/>
          <w:szCs w:val="24"/>
          <w:lang w:val="en-GB"/>
        </w:rPr>
        <w:t xml:space="preserve">, the global </w:t>
      </w:r>
      <w:r w:rsidR="004B5090" w:rsidRPr="00F84011">
        <w:rPr>
          <w:rFonts w:ascii="Times New Roman" w:hAnsi="Times New Roman" w:cs="Times New Roman"/>
          <w:sz w:val="24"/>
          <w:szCs w:val="24"/>
          <w:lang w:val="en-GB"/>
        </w:rPr>
        <w:t>prevalence</w:t>
      </w:r>
      <w:r w:rsidR="00255901" w:rsidRPr="00F84011">
        <w:rPr>
          <w:rFonts w:ascii="Times New Roman" w:hAnsi="Times New Roman" w:cs="Times New Roman"/>
          <w:sz w:val="24"/>
          <w:szCs w:val="24"/>
          <w:lang w:val="en-GB"/>
        </w:rPr>
        <w:t xml:space="preserve"> and number</w:t>
      </w:r>
      <w:r w:rsidR="00407811" w:rsidRPr="00F84011">
        <w:rPr>
          <w:rFonts w:ascii="Times New Roman" w:hAnsi="Times New Roman" w:cs="Times New Roman"/>
          <w:sz w:val="24"/>
          <w:szCs w:val="24"/>
          <w:lang w:val="en-GB"/>
        </w:rPr>
        <w:t xml:space="preserve"> of people</w:t>
      </w:r>
      <w:r w:rsidR="00255901" w:rsidRPr="00F84011">
        <w:rPr>
          <w:rFonts w:ascii="Times New Roman" w:hAnsi="Times New Roman" w:cs="Times New Roman"/>
          <w:sz w:val="24"/>
          <w:szCs w:val="24"/>
          <w:lang w:val="en-GB"/>
        </w:rPr>
        <w:t xml:space="preserve"> with</w:t>
      </w:r>
      <w:r w:rsidR="00D27405" w:rsidRPr="00F84011">
        <w:rPr>
          <w:rFonts w:ascii="Times New Roman" w:hAnsi="Times New Roman" w:cs="Times New Roman"/>
          <w:sz w:val="24"/>
          <w:szCs w:val="24"/>
          <w:lang w:val="en-GB"/>
        </w:rPr>
        <w:t xml:space="preserve"> MND</w:t>
      </w:r>
      <w:r w:rsidR="00D72CC5" w:rsidRPr="00F84011">
        <w:rPr>
          <w:rFonts w:ascii="Times New Roman" w:hAnsi="Times New Roman" w:cs="Times New Roman"/>
          <w:sz w:val="24"/>
          <w:szCs w:val="24"/>
          <w:lang w:val="en-GB"/>
        </w:rPr>
        <w:t>s</w:t>
      </w:r>
      <w:r w:rsidR="00D27405" w:rsidRPr="00F84011">
        <w:rPr>
          <w:rFonts w:ascii="Times New Roman" w:hAnsi="Times New Roman" w:cs="Times New Roman"/>
          <w:sz w:val="24"/>
          <w:szCs w:val="24"/>
          <w:lang w:val="en-GB"/>
        </w:rPr>
        <w:t xml:space="preserve"> is not well quantified. </w:t>
      </w:r>
      <w:r w:rsidR="007201A5">
        <w:rPr>
          <w:rFonts w:ascii="Times New Roman" w:hAnsi="Times New Roman" w:cs="Times New Roman"/>
          <w:sz w:val="24"/>
          <w:szCs w:val="24"/>
          <w:lang w:val="en-GB"/>
        </w:rPr>
        <w:t xml:space="preserve">This is </w:t>
      </w:r>
      <w:r w:rsidR="00A63217">
        <w:rPr>
          <w:rFonts w:ascii="Times New Roman" w:hAnsi="Times New Roman" w:cs="Times New Roman"/>
          <w:sz w:val="24"/>
          <w:szCs w:val="24"/>
          <w:lang w:val="en-GB"/>
        </w:rPr>
        <w:t>i</w:t>
      </w:r>
      <w:r w:rsidR="007B5861" w:rsidRPr="00F84011">
        <w:rPr>
          <w:rFonts w:ascii="Times New Roman" w:hAnsi="Times New Roman" w:cs="Times New Roman"/>
          <w:sz w:val="24"/>
          <w:szCs w:val="24"/>
          <w:lang w:val="en-GB"/>
        </w:rPr>
        <w:t xml:space="preserve">n part because the </w:t>
      </w:r>
      <w:r w:rsidR="007B5861" w:rsidRPr="00F84011">
        <w:rPr>
          <w:rFonts w:ascii="Times New Roman" w:hAnsi="Times New Roman" w:cs="Times New Roman"/>
          <w:sz w:val="24"/>
          <w:szCs w:val="24"/>
        </w:rPr>
        <w:t xml:space="preserve">majority of </w:t>
      </w:r>
      <w:r w:rsidR="00AC371A">
        <w:rPr>
          <w:rFonts w:ascii="Times New Roman" w:hAnsi="Times New Roman" w:cs="Times New Roman"/>
          <w:sz w:val="24"/>
          <w:szCs w:val="24"/>
        </w:rPr>
        <w:t>MNDs</w:t>
      </w:r>
      <w:r w:rsidR="007B5861" w:rsidRPr="00F84011">
        <w:rPr>
          <w:rFonts w:ascii="Times New Roman" w:hAnsi="Times New Roman" w:cs="Times New Roman"/>
          <w:sz w:val="24"/>
          <w:szCs w:val="24"/>
        </w:rPr>
        <w:t xml:space="preserve"> remain undiagnosed, due to lack of specific symptoms</w:t>
      </w:r>
      <w:r w:rsidR="00AC371A">
        <w:rPr>
          <w:rFonts w:ascii="Times New Roman" w:hAnsi="Times New Roman" w:cs="Times New Roman"/>
          <w:sz w:val="24"/>
          <w:szCs w:val="24"/>
        </w:rPr>
        <w:t>—</w:t>
      </w:r>
      <w:r w:rsidR="00D91198" w:rsidRPr="00F84011">
        <w:rPr>
          <w:rFonts w:ascii="Times New Roman" w:hAnsi="Times New Roman" w:cs="Times New Roman"/>
          <w:sz w:val="24"/>
          <w:szCs w:val="24"/>
        </w:rPr>
        <w:t>thus often referred to as hidden hunger</w:t>
      </w:r>
      <w:r w:rsidR="00AC371A">
        <w:rPr>
          <w:rFonts w:ascii="Times New Roman" w:hAnsi="Times New Roman" w:cs="Times New Roman"/>
          <w:sz w:val="24"/>
          <w:szCs w:val="24"/>
        </w:rPr>
        <w:t>—</w:t>
      </w:r>
      <w:r w:rsidR="00D91198" w:rsidRPr="00F84011">
        <w:rPr>
          <w:rFonts w:ascii="Times New Roman" w:hAnsi="Times New Roman" w:cs="Times New Roman"/>
          <w:sz w:val="24"/>
          <w:szCs w:val="24"/>
        </w:rPr>
        <w:t xml:space="preserve">and </w:t>
      </w:r>
      <w:r w:rsidR="009F3E84">
        <w:rPr>
          <w:rFonts w:ascii="Times New Roman" w:hAnsi="Times New Roman" w:cs="Times New Roman"/>
          <w:sz w:val="24"/>
          <w:szCs w:val="24"/>
        </w:rPr>
        <w:t>the</w:t>
      </w:r>
      <w:r w:rsidR="00D91198" w:rsidRPr="00F84011">
        <w:rPr>
          <w:rFonts w:ascii="Times New Roman" w:hAnsi="Times New Roman" w:cs="Times New Roman"/>
          <w:sz w:val="24"/>
          <w:szCs w:val="24"/>
        </w:rPr>
        <w:t xml:space="preserve"> lack of</w:t>
      </w:r>
      <w:r w:rsidR="009F3E84">
        <w:rPr>
          <w:rFonts w:ascii="Times New Roman" w:hAnsi="Times New Roman" w:cs="Times New Roman"/>
          <w:sz w:val="24"/>
          <w:szCs w:val="24"/>
        </w:rPr>
        <w:t xml:space="preserve"> micronutrient </w:t>
      </w:r>
      <w:r w:rsidR="00DC6D8A">
        <w:rPr>
          <w:rFonts w:ascii="Times New Roman" w:hAnsi="Times New Roman" w:cs="Times New Roman"/>
          <w:sz w:val="24"/>
          <w:szCs w:val="24"/>
        </w:rPr>
        <w:t xml:space="preserve">status biomarker </w:t>
      </w:r>
      <w:r w:rsidR="009F3E84">
        <w:rPr>
          <w:rFonts w:ascii="Times New Roman" w:hAnsi="Times New Roman" w:cs="Times New Roman"/>
          <w:sz w:val="24"/>
          <w:szCs w:val="24"/>
        </w:rPr>
        <w:t>data in many</w:t>
      </w:r>
      <w:r w:rsidR="00D91198" w:rsidRPr="00F84011">
        <w:rPr>
          <w:rFonts w:ascii="Times New Roman" w:hAnsi="Times New Roman" w:cs="Times New Roman"/>
          <w:sz w:val="24"/>
          <w:szCs w:val="24"/>
        </w:rPr>
        <w:t xml:space="preserve"> population-based surveys.</w:t>
      </w:r>
      <w:r w:rsidR="007D7435">
        <w:rPr>
          <w:rFonts w:ascii="Times New Roman" w:hAnsi="Times New Roman" w:cs="Times New Roman"/>
          <w:sz w:val="24"/>
          <w:szCs w:val="24"/>
        </w:rPr>
        <w:fldChar w:fldCharType="begin"/>
      </w:r>
      <w:r w:rsidR="00470BA3">
        <w:rPr>
          <w:rFonts w:ascii="Times New Roman" w:hAnsi="Times New Roman" w:cs="Times New Roman"/>
          <w:sz w:val="24"/>
          <w:szCs w:val="24"/>
        </w:rPr>
        <w:instrText xml:space="preserve"> ADDIN ZOTERO_ITEM CSL_CITATION {"citationID":"Zd5FgtQA","properties":{"formattedCitation":"\\super 14\\nosupersub{}","plainCitation":"14","noteIndex":0},"citationItems":[{"id":3202,"uris":["http://zotero.org/users/2850877/items/E9S5CUZZ"],"uri":["http://zotero.org/users/2850877/items/E9S5CUZZ"],"itemData":{"id":3202,"type":"article-journal","abstract":"Micronutrient (MN) deficiencies can produce a broad array of adverse health and functional outcomes. Young, preschool children and women of reproductive age in low- and middle-income countries are most affected by these deficiencies, but the true magnitude of the problems and their related disease burdens remain uncertain because of the dearth of reliable biomarker information on population MN status. The reasons for this lack of information include a limited understanding by policy makers of the importance of MNs for human health and the usefulness of information on MN status for program planning and management; insufficient professional capacity to advocate for this information and design and implement related MN status surveys; high costs and logistical constraints involved in specimen collection, transport, storage, and laboratory analyses; poor access to adequately equipped and staffed laboratories to complete the analyses reliably; and inadequate capacity to interpret and apply this information for public health program design and evaluation. This report describes the current situation with regard to data availability, the reasons for the lack of relevant information, and the steps needed to correct this situation, including implementation of a multi-component MN Data Generation Initiative to advocate for critical data collection and provide related technical assistance, laboratory services, professional training, and financial support.","container-title":"The American Journal of Clinical Nutrition","DOI":"10.1093/ajcn/nqab173","ISSN":"0002-9165","issue":"3","journalAbbreviation":"The American Journal of Clinical Nutrition","page":"862-870","source":"Silverchair","title":"Increasing the availability and utilization of reliable data on population micronutrient (MN) status globally: the MN Data Generation Initiative","title-short":"Increasing the availability and utilization of reliable data on population micronutrient (MN) status globally","volume":"114","author":[{"family":"Brown","given":"Kenneth H"},{"family":"Moore","given":"Sophie E"},{"family":"Hess","given":"Sonja Y"},{"family":"McDonald","given":"Christine M"},{"family":"Jones","given":"Kerry S"},{"family":"Meadows","given":"Sarah R"},{"family":"Manger","given":"Mari S"},{"family":"Coates","given":"Jennifer"},{"family":"Alayon","given":"Silvia"},{"family":"Osendarp","given":"Saskia J M"}],"issued":{"date-parts":[["2021",9,1]]}}}],"schema":"https://github.com/citation-style-language/schema/raw/master/csl-citation.json"} </w:instrText>
      </w:r>
      <w:r w:rsidR="007D7435">
        <w:rPr>
          <w:rFonts w:ascii="Times New Roman" w:hAnsi="Times New Roman" w:cs="Times New Roman"/>
          <w:sz w:val="24"/>
          <w:szCs w:val="24"/>
        </w:rPr>
        <w:fldChar w:fldCharType="separate"/>
      </w:r>
      <w:r w:rsidR="00470BA3" w:rsidRPr="00470BA3">
        <w:rPr>
          <w:rFonts w:ascii="Times New Roman" w:hAnsi="Times New Roman" w:cs="Times New Roman"/>
          <w:color w:val="000000"/>
          <w:sz w:val="24"/>
          <w:vertAlign w:val="superscript"/>
        </w:rPr>
        <w:t>14</w:t>
      </w:r>
      <w:r w:rsidR="007D7435">
        <w:rPr>
          <w:rFonts w:ascii="Times New Roman" w:hAnsi="Times New Roman" w:cs="Times New Roman"/>
          <w:sz w:val="24"/>
          <w:szCs w:val="24"/>
        </w:rPr>
        <w:fldChar w:fldCharType="end"/>
      </w:r>
      <w:r w:rsidR="00D91198" w:rsidRPr="00F84011">
        <w:rPr>
          <w:rFonts w:ascii="Times New Roman" w:hAnsi="Times New Roman" w:cs="Times New Roman"/>
          <w:sz w:val="24"/>
          <w:szCs w:val="24"/>
        </w:rPr>
        <w:t xml:space="preserve"> </w:t>
      </w:r>
      <w:r w:rsidR="00CC799F" w:rsidRPr="00F84011">
        <w:rPr>
          <w:rFonts w:ascii="Times New Roman" w:hAnsi="Times New Roman" w:cs="Times New Roman"/>
          <w:sz w:val="24"/>
          <w:szCs w:val="24"/>
        </w:rPr>
        <w:t>For</w:t>
      </w:r>
      <w:r w:rsidR="00CC799F" w:rsidRPr="00CC799F">
        <w:rPr>
          <w:rFonts w:ascii="Times New Roman" w:hAnsi="Times New Roman" w:cs="Times New Roman"/>
          <w:sz w:val="24"/>
          <w:szCs w:val="24"/>
        </w:rPr>
        <w:t xml:space="preserve"> over three decades the nutrition community has quoted the </w:t>
      </w:r>
      <w:r w:rsidR="007137E3">
        <w:rPr>
          <w:rFonts w:ascii="Times New Roman" w:hAnsi="Times New Roman" w:cs="Times New Roman"/>
          <w:sz w:val="24"/>
          <w:szCs w:val="24"/>
        </w:rPr>
        <w:t>number</w:t>
      </w:r>
      <w:r w:rsidR="00CC799F" w:rsidRPr="00CC799F">
        <w:rPr>
          <w:rFonts w:ascii="Times New Roman" w:hAnsi="Times New Roman" w:cs="Times New Roman"/>
          <w:sz w:val="24"/>
          <w:szCs w:val="24"/>
        </w:rPr>
        <w:t xml:space="preserve"> of </w:t>
      </w:r>
      <w:r w:rsidR="007137E3">
        <w:rPr>
          <w:rFonts w:ascii="Times New Roman" w:hAnsi="Times New Roman" w:cs="Times New Roman"/>
          <w:sz w:val="24"/>
          <w:szCs w:val="24"/>
        </w:rPr>
        <w:t xml:space="preserve">people affected by </w:t>
      </w:r>
      <w:r w:rsidR="00EF3C72">
        <w:rPr>
          <w:rFonts w:ascii="Times New Roman" w:hAnsi="Times New Roman" w:cs="Times New Roman"/>
          <w:sz w:val="24"/>
          <w:szCs w:val="24"/>
        </w:rPr>
        <w:t>MNDs</w:t>
      </w:r>
      <w:r w:rsidR="00CC799F" w:rsidRPr="00CC799F">
        <w:rPr>
          <w:rFonts w:ascii="Times New Roman" w:hAnsi="Times New Roman" w:cs="Times New Roman"/>
          <w:sz w:val="24"/>
          <w:szCs w:val="24"/>
        </w:rPr>
        <w:t xml:space="preserve"> </w:t>
      </w:r>
      <w:r w:rsidR="00AA4063">
        <w:rPr>
          <w:rFonts w:ascii="Times New Roman" w:hAnsi="Times New Roman" w:cs="Times New Roman"/>
          <w:sz w:val="24"/>
          <w:szCs w:val="24"/>
        </w:rPr>
        <w:t xml:space="preserve">worldwide </w:t>
      </w:r>
      <w:r w:rsidR="007137E3">
        <w:rPr>
          <w:rFonts w:ascii="Times New Roman" w:hAnsi="Times New Roman" w:cs="Times New Roman"/>
          <w:sz w:val="24"/>
          <w:szCs w:val="24"/>
        </w:rPr>
        <w:t>at</w:t>
      </w:r>
      <w:r w:rsidR="00CC799F" w:rsidRPr="00CC799F">
        <w:rPr>
          <w:rFonts w:ascii="Times New Roman" w:hAnsi="Times New Roman" w:cs="Times New Roman"/>
          <w:sz w:val="24"/>
          <w:szCs w:val="24"/>
        </w:rPr>
        <w:t xml:space="preserve"> approximately 2 billion people.</w:t>
      </w:r>
      <w:r w:rsidR="00CC799F" w:rsidRPr="00CC799F">
        <w:rPr>
          <w:rFonts w:ascii="Times New Roman" w:hAnsi="Times New Roman" w:cs="Times New Roman"/>
          <w:sz w:val="24"/>
          <w:szCs w:val="24"/>
        </w:rPr>
        <w:fldChar w:fldCharType="begin"/>
      </w:r>
      <w:r w:rsidR="00470BA3">
        <w:rPr>
          <w:rFonts w:ascii="Times New Roman" w:hAnsi="Times New Roman" w:cs="Times New Roman"/>
          <w:sz w:val="24"/>
          <w:szCs w:val="24"/>
        </w:rPr>
        <w:instrText xml:space="preserve"> ADDIN ZOTERO_ITEM CSL_CITATION {"citationID":"KsL8Mvp9","properties":{"formattedCitation":"\\super 15\\nosupersub{}","plainCitation":"15","noteIndex":0},"citationItems":[{"id":3191,"uris":["http://zotero.org/users/2850877/items/LFYZA2WA"],"uri":["http://zotero.org/users/2850877/items/LFYZA2WA"],"itemData":{"id":3191,"type":"report","source":"Google Scholar","title":"National strategies for overcoming micronutrient malnutrition","URL":"https://apps.who.int/iris/bitstream/handle/10665/170502/EB89_27_eng.pdf;sequence=1","author":[{"literal":"World Health Organization"}],"accessed":{"date-parts":[["2022",1,19]]},"issued":{"date-parts":[["1991"]]}}}],"schema":"https://github.com/citation-style-language/schema/raw/master/csl-citation.json"} </w:instrText>
      </w:r>
      <w:r w:rsidR="00CC799F" w:rsidRPr="00CC799F">
        <w:rPr>
          <w:rFonts w:ascii="Times New Roman" w:hAnsi="Times New Roman" w:cs="Times New Roman"/>
          <w:sz w:val="24"/>
          <w:szCs w:val="24"/>
        </w:rPr>
        <w:fldChar w:fldCharType="separate"/>
      </w:r>
      <w:r w:rsidR="00470BA3" w:rsidRPr="00470BA3">
        <w:rPr>
          <w:rFonts w:ascii="Times New Roman" w:hAnsi="Times New Roman" w:cs="Times New Roman"/>
          <w:color w:val="000000"/>
          <w:sz w:val="24"/>
          <w:vertAlign w:val="superscript"/>
        </w:rPr>
        <w:t>15</w:t>
      </w:r>
      <w:r w:rsidR="00CC799F" w:rsidRPr="00CC799F">
        <w:rPr>
          <w:rFonts w:ascii="Times New Roman" w:hAnsi="Times New Roman" w:cs="Times New Roman"/>
          <w:sz w:val="24"/>
          <w:szCs w:val="24"/>
          <w:lang w:val="en-GB"/>
        </w:rPr>
        <w:fldChar w:fldCharType="end"/>
      </w:r>
      <w:r w:rsidR="00CC799F" w:rsidRPr="00CC799F">
        <w:rPr>
          <w:rFonts w:ascii="Times New Roman" w:hAnsi="Times New Roman" w:cs="Times New Roman"/>
          <w:sz w:val="24"/>
          <w:szCs w:val="24"/>
        </w:rPr>
        <w:t xml:space="preserve"> While the original source of this estimate is often uncited in reports, it </w:t>
      </w:r>
      <w:r w:rsidR="004F5509">
        <w:rPr>
          <w:rFonts w:ascii="Times New Roman" w:hAnsi="Times New Roman" w:cs="Times New Roman"/>
          <w:sz w:val="24"/>
          <w:szCs w:val="24"/>
        </w:rPr>
        <w:t>is</w:t>
      </w:r>
      <w:r w:rsidR="00117E6D" w:rsidRPr="00CC799F">
        <w:rPr>
          <w:rFonts w:ascii="Times New Roman" w:hAnsi="Times New Roman" w:cs="Times New Roman"/>
          <w:sz w:val="24"/>
          <w:szCs w:val="24"/>
        </w:rPr>
        <w:t xml:space="preserve"> </w:t>
      </w:r>
      <w:r w:rsidR="00CC799F" w:rsidRPr="00CC799F">
        <w:rPr>
          <w:rFonts w:ascii="Times New Roman" w:hAnsi="Times New Roman" w:cs="Times New Roman"/>
          <w:sz w:val="24"/>
          <w:szCs w:val="24"/>
        </w:rPr>
        <w:t>based on the estimated number of people with anemia.</w:t>
      </w:r>
      <w:r w:rsidR="00DC6D8A" w:rsidRPr="00CC799F">
        <w:rPr>
          <w:rFonts w:ascii="Times New Roman" w:hAnsi="Times New Roman" w:cs="Times New Roman"/>
          <w:sz w:val="24"/>
          <w:szCs w:val="24"/>
        </w:rPr>
        <w:fldChar w:fldCharType="begin"/>
      </w:r>
      <w:r w:rsidR="00DC6D8A">
        <w:rPr>
          <w:rFonts w:ascii="Times New Roman" w:hAnsi="Times New Roman" w:cs="Times New Roman"/>
          <w:sz w:val="24"/>
          <w:szCs w:val="24"/>
        </w:rPr>
        <w:instrText xml:space="preserve"> ADDIN ZOTERO_ITEM CSL_CITATION {"citationID":"KsL8Mvp9","properties":{"formattedCitation":"\\super 15\\nosupersub{}","plainCitation":"15","noteIndex":0},"citationItems":[{"id":3191,"uris":["http://zotero.org/users/2850877/items/LFYZA2WA"],"uri":["http://zotero.org/users/2850877/items/LFYZA2WA"],"itemData":{"id":3191,"type":"report","source":"Google Scholar","title":"National strategies for overcoming micronutrient malnutrition","URL":"https://apps.who.int/iris/bitstream/handle/10665/170502/EB89_27_eng.pdf;sequence=1","author":[{"literal":"World Health Organization"}],"accessed":{"date-parts":[["2022",1,19]]},"issued":{"date-parts":[["1991"]]}}}],"schema":"https://github.com/citation-style-language/schema/raw/master/csl-citation.json"} </w:instrText>
      </w:r>
      <w:r w:rsidR="00DC6D8A" w:rsidRPr="00CC799F">
        <w:rPr>
          <w:rFonts w:ascii="Times New Roman" w:hAnsi="Times New Roman" w:cs="Times New Roman"/>
          <w:sz w:val="24"/>
          <w:szCs w:val="24"/>
        </w:rPr>
        <w:fldChar w:fldCharType="separate"/>
      </w:r>
      <w:r w:rsidR="00DC6D8A" w:rsidRPr="00470BA3">
        <w:rPr>
          <w:rFonts w:ascii="Times New Roman" w:hAnsi="Times New Roman" w:cs="Times New Roman"/>
          <w:color w:val="000000"/>
          <w:sz w:val="24"/>
          <w:vertAlign w:val="superscript"/>
        </w:rPr>
        <w:t>15</w:t>
      </w:r>
      <w:r w:rsidR="00DC6D8A" w:rsidRPr="00CC799F">
        <w:rPr>
          <w:rFonts w:ascii="Times New Roman" w:hAnsi="Times New Roman" w:cs="Times New Roman"/>
          <w:sz w:val="24"/>
          <w:szCs w:val="24"/>
          <w:lang w:val="en-GB"/>
        </w:rPr>
        <w:fldChar w:fldCharType="end"/>
      </w:r>
      <w:r w:rsidR="00CC799F" w:rsidRPr="00CC799F">
        <w:rPr>
          <w:rFonts w:ascii="Times New Roman" w:hAnsi="Times New Roman" w:cs="Times New Roman"/>
          <w:sz w:val="24"/>
          <w:szCs w:val="24"/>
        </w:rPr>
        <w:t xml:space="preserve"> However, anemia is not synonymous with MNDs. Some </w:t>
      </w:r>
      <w:r w:rsidR="00C54EF9">
        <w:rPr>
          <w:rFonts w:ascii="Times New Roman" w:hAnsi="Times New Roman" w:cs="Times New Roman"/>
          <w:sz w:val="24"/>
          <w:szCs w:val="24"/>
        </w:rPr>
        <w:t>MNDs</w:t>
      </w:r>
      <w:r w:rsidR="00CC799F" w:rsidRPr="00CC799F">
        <w:rPr>
          <w:rFonts w:ascii="Times New Roman" w:hAnsi="Times New Roman" w:cs="Times New Roman"/>
          <w:sz w:val="24"/>
          <w:szCs w:val="24"/>
        </w:rPr>
        <w:t xml:space="preserve"> cause anemia while others do</w:t>
      </w:r>
      <w:r w:rsidR="005B4849">
        <w:rPr>
          <w:rFonts w:ascii="Times New Roman" w:hAnsi="Times New Roman" w:cs="Times New Roman"/>
          <w:sz w:val="24"/>
          <w:szCs w:val="24"/>
        </w:rPr>
        <w:t xml:space="preserve"> not</w:t>
      </w:r>
      <w:r w:rsidR="00CC799F" w:rsidRPr="00CC799F">
        <w:rPr>
          <w:rFonts w:ascii="Times New Roman" w:hAnsi="Times New Roman" w:cs="Times New Roman"/>
          <w:sz w:val="24"/>
          <w:szCs w:val="24"/>
        </w:rPr>
        <w:t xml:space="preserve">, and there are causes of anemia </w:t>
      </w:r>
      <w:r w:rsidR="00D44803">
        <w:rPr>
          <w:rFonts w:ascii="Times New Roman" w:hAnsi="Times New Roman" w:cs="Times New Roman"/>
          <w:sz w:val="24"/>
          <w:szCs w:val="24"/>
        </w:rPr>
        <w:t xml:space="preserve">that are </w:t>
      </w:r>
      <w:r w:rsidR="00CC799F" w:rsidRPr="00CC799F">
        <w:rPr>
          <w:rFonts w:ascii="Times New Roman" w:hAnsi="Times New Roman" w:cs="Times New Roman"/>
          <w:sz w:val="24"/>
          <w:szCs w:val="24"/>
        </w:rPr>
        <w:t>unrelated to micronutrient status.</w:t>
      </w:r>
      <w:r w:rsidR="00E27B2D">
        <w:rPr>
          <w:rFonts w:ascii="Times New Roman" w:hAnsi="Times New Roman" w:cs="Times New Roman"/>
          <w:sz w:val="24"/>
          <w:szCs w:val="24"/>
        </w:rPr>
        <w:fldChar w:fldCharType="begin"/>
      </w:r>
      <w:r w:rsidR="00470BA3">
        <w:rPr>
          <w:rFonts w:ascii="Times New Roman" w:hAnsi="Times New Roman" w:cs="Times New Roman"/>
          <w:sz w:val="24"/>
          <w:szCs w:val="24"/>
        </w:rPr>
        <w:instrText xml:space="preserve"> ADDIN ZOTERO_ITEM CSL_CITATION {"citationID":"7oi8GJGq","properties":{"formattedCitation":"\\super 16\\nosupersub{}","plainCitation":"16","noteIndex":0},"citationItems":[{"id":2676,"uris":["http://zotero.org/users/2850877/items/6TLLQASL"],"uri":["http://zotero.org/users/2850877/items/6TLLQASL"],"itemData":{"id":2676,"type":"article-journal","abstract":"Anemia affects a third of the world's population and contributes to increased morbidity and mortality, decreased work productivity, and impaired neurological development. Understanding anemia's varied and complex etiology is crucial for developing effective interventions that address the context-specific causes of anemia and for monitoring anemia control programs. We outline definitions and classifications of anemia, describe the biological mechanisms through which anemia develops, and review the variety of conditions that contribute to anemia development. We emphasize the risk factors most prevalent in low- and middle-income countries, including nutritional deficiencies, infection/inflammation, and genetic hemoglobin disorders. Recent work has furthered our understanding of anemia's complex etiology, including the proportion of anemia caused by iron deficiency (ID) and the role of inflammation and infection. Accumulating evidence indicates that the proportion of anemia due to ID differs by population group, geographical setting, infectious disease burden, and the prevalence of other anemia causes. Further research is needed to explore the role of additional nutritional deficiencies, the contribution of infectious and chronic disease, as well as the importance of genetic hemoglobin disorders in certain populations.","container-title":"Annals of the New York Academy of Sciences","DOI":"10.1111/nyas.14092","ISSN":"1749-6632","issue":"1","language":"en","note":"_eprint: https://nyaspubs.onlinelibrary.wiley.com/doi/pdf/10.1111/nyas.14092","page":"15-31","source":"Wiley Online Library","title":"Anemia epidemiology, pathophysiology, and etiology in low- and middle-income countries","volume":"1450","author":[{"family":"Chaparro","given":"Camila M."},{"family":"Suchdev","given":"Parminder S."}],"issued":{"date-parts":[["2019"]]}}}],"schema":"https://github.com/citation-style-language/schema/raw/master/csl-citation.json"} </w:instrText>
      </w:r>
      <w:r w:rsidR="00E27B2D">
        <w:rPr>
          <w:rFonts w:ascii="Times New Roman" w:hAnsi="Times New Roman" w:cs="Times New Roman"/>
          <w:sz w:val="24"/>
          <w:szCs w:val="24"/>
        </w:rPr>
        <w:fldChar w:fldCharType="separate"/>
      </w:r>
      <w:r w:rsidR="00470BA3" w:rsidRPr="00470BA3">
        <w:rPr>
          <w:rFonts w:ascii="Times New Roman" w:hAnsi="Times New Roman" w:cs="Times New Roman"/>
          <w:color w:val="000000"/>
          <w:sz w:val="24"/>
          <w:vertAlign w:val="superscript"/>
        </w:rPr>
        <w:t>16</w:t>
      </w:r>
      <w:r w:rsidR="00E27B2D">
        <w:rPr>
          <w:rFonts w:ascii="Times New Roman" w:hAnsi="Times New Roman" w:cs="Times New Roman"/>
          <w:sz w:val="24"/>
          <w:szCs w:val="24"/>
        </w:rPr>
        <w:fldChar w:fldCharType="end"/>
      </w:r>
    </w:p>
    <w:p w14:paraId="50BAE05A" w14:textId="77777777" w:rsidR="00CC799F" w:rsidRDefault="00CC799F" w:rsidP="00D27405">
      <w:pPr>
        <w:rPr>
          <w:rFonts w:ascii="Times New Roman" w:hAnsi="Times New Roman" w:cs="Times New Roman"/>
          <w:sz w:val="24"/>
          <w:szCs w:val="24"/>
          <w:lang w:val="en-GB"/>
        </w:rPr>
      </w:pPr>
    </w:p>
    <w:p w14:paraId="6DE12386" w14:textId="44F50C5A" w:rsidR="00D27405" w:rsidRDefault="00150761" w:rsidP="00382A09">
      <w:pPr>
        <w:rPr>
          <w:rFonts w:ascii="Times New Roman" w:hAnsi="Times New Roman" w:cs="Times New Roman"/>
          <w:sz w:val="24"/>
          <w:szCs w:val="24"/>
          <w:lang w:val="en-GB"/>
        </w:rPr>
      </w:pPr>
      <w:r>
        <w:rPr>
          <w:rFonts w:ascii="Times New Roman" w:hAnsi="Times New Roman" w:cs="Times New Roman"/>
          <w:sz w:val="24"/>
          <w:szCs w:val="24"/>
          <w:lang w:val="en-GB"/>
        </w:rPr>
        <w:t xml:space="preserve">Robust </w:t>
      </w:r>
      <w:r w:rsidR="00181AB6">
        <w:rPr>
          <w:rFonts w:ascii="Times New Roman" w:hAnsi="Times New Roman" w:cs="Times New Roman"/>
          <w:sz w:val="24"/>
          <w:szCs w:val="24"/>
          <w:lang w:val="en-GB"/>
        </w:rPr>
        <w:t>g</w:t>
      </w:r>
      <w:r w:rsidR="00D27405" w:rsidRPr="00D27405">
        <w:rPr>
          <w:rFonts w:ascii="Times New Roman" w:hAnsi="Times New Roman" w:cs="Times New Roman"/>
          <w:sz w:val="24"/>
          <w:szCs w:val="24"/>
          <w:lang w:val="en-GB"/>
        </w:rPr>
        <w:t xml:space="preserve">lobal </w:t>
      </w:r>
      <w:r w:rsidR="00B177A1">
        <w:rPr>
          <w:rFonts w:ascii="Times New Roman" w:hAnsi="Times New Roman" w:cs="Times New Roman"/>
          <w:sz w:val="24"/>
          <w:szCs w:val="24"/>
          <w:lang w:val="en-GB"/>
        </w:rPr>
        <w:t xml:space="preserve">and regional </w:t>
      </w:r>
      <w:r w:rsidR="00D27405" w:rsidRPr="00D27405">
        <w:rPr>
          <w:rFonts w:ascii="Times New Roman" w:hAnsi="Times New Roman" w:cs="Times New Roman"/>
          <w:sz w:val="24"/>
          <w:szCs w:val="24"/>
          <w:lang w:val="en-GB"/>
        </w:rPr>
        <w:t>estimates</w:t>
      </w:r>
      <w:r w:rsidR="00962C85">
        <w:rPr>
          <w:rFonts w:ascii="Times New Roman" w:hAnsi="Times New Roman" w:cs="Times New Roman"/>
          <w:sz w:val="24"/>
          <w:szCs w:val="24"/>
          <w:lang w:val="en-GB"/>
        </w:rPr>
        <w:t xml:space="preserve"> with </w:t>
      </w:r>
      <w:r w:rsidR="002005E6">
        <w:rPr>
          <w:rFonts w:ascii="Times New Roman" w:hAnsi="Times New Roman" w:cs="Times New Roman"/>
          <w:sz w:val="24"/>
          <w:szCs w:val="24"/>
          <w:lang w:val="en-GB"/>
        </w:rPr>
        <w:t>transparent</w:t>
      </w:r>
      <w:r w:rsidR="00962C85">
        <w:rPr>
          <w:rFonts w:ascii="Times New Roman" w:hAnsi="Times New Roman" w:cs="Times New Roman"/>
          <w:sz w:val="24"/>
          <w:szCs w:val="24"/>
          <w:lang w:val="en-GB"/>
        </w:rPr>
        <w:t xml:space="preserve"> methods</w:t>
      </w:r>
      <w:r w:rsidR="00D27405" w:rsidRPr="00D27405">
        <w:rPr>
          <w:rFonts w:ascii="Times New Roman" w:hAnsi="Times New Roman" w:cs="Times New Roman"/>
          <w:sz w:val="24"/>
          <w:szCs w:val="24"/>
          <w:lang w:val="en-GB"/>
        </w:rPr>
        <w:t xml:space="preserve"> of those </w:t>
      </w:r>
      <w:r w:rsidR="009F3E84">
        <w:rPr>
          <w:rFonts w:ascii="Times New Roman" w:hAnsi="Times New Roman" w:cs="Times New Roman"/>
          <w:sz w:val="24"/>
          <w:szCs w:val="24"/>
          <w:lang w:val="en-GB"/>
        </w:rPr>
        <w:t>experiencing</w:t>
      </w:r>
      <w:r w:rsidR="00C54EF9">
        <w:rPr>
          <w:rFonts w:ascii="Times New Roman" w:hAnsi="Times New Roman" w:cs="Times New Roman"/>
          <w:sz w:val="24"/>
          <w:szCs w:val="24"/>
          <w:lang w:val="en-GB"/>
        </w:rPr>
        <w:t xml:space="preserve"> </w:t>
      </w:r>
      <w:r w:rsidR="00D9739D">
        <w:rPr>
          <w:rFonts w:ascii="Times New Roman" w:hAnsi="Times New Roman" w:cs="Times New Roman"/>
          <w:sz w:val="24"/>
          <w:szCs w:val="24"/>
          <w:lang w:val="en-GB"/>
        </w:rPr>
        <w:t>MNDs</w:t>
      </w:r>
      <w:r w:rsidR="00C54EF9">
        <w:rPr>
          <w:rFonts w:ascii="Times New Roman" w:hAnsi="Times New Roman" w:cs="Times New Roman"/>
          <w:sz w:val="24"/>
          <w:szCs w:val="24"/>
          <w:lang w:val="en-GB"/>
        </w:rPr>
        <w:t xml:space="preserve"> </w:t>
      </w:r>
      <w:r>
        <w:rPr>
          <w:rFonts w:ascii="Times New Roman" w:hAnsi="Times New Roman" w:cs="Times New Roman"/>
          <w:sz w:val="24"/>
          <w:szCs w:val="24"/>
          <w:lang w:val="en-GB"/>
        </w:rPr>
        <w:t>are essential for</w:t>
      </w:r>
      <w:r w:rsidR="00D27405" w:rsidRPr="00D27405">
        <w:rPr>
          <w:rFonts w:ascii="Times New Roman" w:hAnsi="Times New Roman" w:cs="Times New Roman"/>
          <w:sz w:val="24"/>
          <w:szCs w:val="24"/>
          <w:lang w:val="en-GB"/>
        </w:rPr>
        <w:t xml:space="preserve"> tracking progress towards global goals, inform</w:t>
      </w:r>
      <w:r w:rsidR="00457D49">
        <w:rPr>
          <w:rFonts w:ascii="Times New Roman" w:hAnsi="Times New Roman" w:cs="Times New Roman"/>
          <w:sz w:val="24"/>
          <w:szCs w:val="24"/>
          <w:lang w:val="en-GB"/>
        </w:rPr>
        <w:t>ing</w:t>
      </w:r>
      <w:r w:rsidR="00D27405" w:rsidRPr="00D27405">
        <w:rPr>
          <w:rFonts w:ascii="Times New Roman" w:hAnsi="Times New Roman" w:cs="Times New Roman"/>
          <w:sz w:val="24"/>
          <w:szCs w:val="24"/>
          <w:lang w:val="en-GB"/>
        </w:rPr>
        <w:t xml:space="preserve"> funding and programmatic priorities, and support</w:t>
      </w:r>
      <w:r w:rsidR="0011101D">
        <w:rPr>
          <w:rFonts w:ascii="Times New Roman" w:hAnsi="Times New Roman" w:cs="Times New Roman"/>
          <w:sz w:val="24"/>
          <w:szCs w:val="24"/>
          <w:lang w:val="en-GB"/>
        </w:rPr>
        <w:t>ing</w:t>
      </w:r>
      <w:r w:rsidR="00D27405" w:rsidRPr="00D27405">
        <w:rPr>
          <w:rFonts w:ascii="Times New Roman" w:hAnsi="Times New Roman" w:cs="Times New Roman"/>
          <w:sz w:val="24"/>
          <w:szCs w:val="24"/>
          <w:lang w:val="en-GB"/>
        </w:rPr>
        <w:t xml:space="preserve"> advocacy efforts to drive these</w:t>
      </w:r>
      <w:r w:rsidR="00A84724">
        <w:rPr>
          <w:rFonts w:ascii="Times New Roman" w:hAnsi="Times New Roman" w:cs="Times New Roman"/>
          <w:sz w:val="24"/>
          <w:szCs w:val="24"/>
          <w:lang w:val="en-GB"/>
        </w:rPr>
        <w:t>.</w:t>
      </w:r>
      <w:r w:rsidR="00D27405" w:rsidRPr="00D27405">
        <w:rPr>
          <w:rFonts w:ascii="Times New Roman" w:hAnsi="Times New Roman" w:cs="Times New Roman"/>
          <w:sz w:val="24"/>
          <w:szCs w:val="24"/>
          <w:lang w:val="en-GB"/>
        </w:rPr>
        <w:fldChar w:fldCharType="begin"/>
      </w:r>
      <w:r w:rsidR="00470BA3">
        <w:rPr>
          <w:rFonts w:ascii="Times New Roman" w:hAnsi="Times New Roman" w:cs="Times New Roman"/>
          <w:sz w:val="24"/>
          <w:szCs w:val="24"/>
          <w:lang w:val="en-GB"/>
        </w:rPr>
        <w:instrText xml:space="preserve"> ADDIN ZOTERO_ITEM CSL_CITATION {"citationID":"nDLO7YHb","properties":{"formattedCitation":"\\super 17\\nosupersub{}","plainCitation":"17","noteIndex":0},"citationItems":[{"id":"2a68pk1S/PZowbpCE","uris":["http://zotero.org/users/6692154/items/IJMPLFUR"],"uri":["http://zotero.org/users/6692154/items/IJMPLFUR"],"itemData":{"id":607,"type":"article-journal","abstract":"In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 WHA indicators, providing inspiration and guidance for others. Beyond the WHA goals, nutrition needs to be more strongly represented in the Sustainable Development Goal (SDG) framework. At present, it is only explicitly 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 made explicit, nutrition spending targets should be established, and some key data gaps need to be filled. For example, many UN member states cannot report on their WHA progress and those that can often rely on data &amp;gt;5 y old. The world can accelerate malnutrition reduction substantially, but this will require stronger accountability mechanisms to hold all stakeholders to account.","container-title":"The Journal of Nutrition","DOI":"10.3945/jn.114.206078","ISSN":"0022-3166","issue":"4","journalAbbreviation":"The Journal of Nutrition","page":"663-671","title":"The Global Nutrition Report 2014: Actions and Accountability to Accelerate the World's Progress on Nutrition","volume":"145","author":[{"family":"Haddad","given":"Lawrence"},{"family":"Achadi","given":"Endang"},{"family":"Bendech","given":"Mohamed Ag"},{"family":"Ahuja","given":"Arti"},{"family":"Bhatia","given":"Komal"},{"family":"Bhutta","given":"Zulfiqar"},{"family":"Blössner","given":"Monika"},{"family":"Borghi","given":"Elaine"},{"family":"Colecraft","given":"Esi"},{"family":"Onis","given":"Mercedes","non-dropping-particle":"de"},{"family":"Eriksen","given":"Kamilla"},{"family":"Fanzo","given":"Jessica"},{"family":"Flores-Ayala","given":"Rafael"},{"family":"Fracassi","given":"Patrizia"},{"family":"Kimani-Murage","given":"Elizabeth"},{"family":"Nago Koukoubou","given":"Eunice"},{"family":"Krasevec","given":"Julia"},{"family":"Newby","given":"Holly"},{"family":"Nugent","given":"Rachel"},{"family":"Oenema","given":"Stineke"},{"family":"Martin-Prével","given":"Yves"},{"family":"Randel","given":"Judith"},{"family":"Requejo","given":"Jennifer"},{"family":"Shyam","given":"Tara"},{"family":"Udomkesmalee","given":"Emorn"},{"family":"Reddy","given":"K Srinath"}],"issued":{"date-parts":[["2015",4,1]]}}}],"schema":"https://github.com/citation-style-language/schema/raw/master/csl-citation.json"} </w:instrText>
      </w:r>
      <w:r w:rsidR="00D27405" w:rsidRPr="00D27405">
        <w:rPr>
          <w:rFonts w:ascii="Times New Roman" w:hAnsi="Times New Roman" w:cs="Times New Roman"/>
          <w:sz w:val="24"/>
          <w:szCs w:val="24"/>
          <w:lang w:val="en-GB"/>
        </w:rPr>
        <w:fldChar w:fldCharType="separate"/>
      </w:r>
      <w:r w:rsidR="00470BA3" w:rsidRPr="00470BA3">
        <w:rPr>
          <w:rFonts w:ascii="Times New Roman" w:hAnsi="Times New Roman" w:cs="Times New Roman"/>
          <w:color w:val="000000"/>
          <w:sz w:val="24"/>
          <w:vertAlign w:val="superscript"/>
        </w:rPr>
        <w:t>17</w:t>
      </w:r>
      <w:r w:rsidR="00D27405" w:rsidRPr="00D27405">
        <w:rPr>
          <w:rFonts w:ascii="Times New Roman" w:hAnsi="Times New Roman" w:cs="Times New Roman"/>
          <w:sz w:val="24"/>
          <w:szCs w:val="24"/>
        </w:rPr>
        <w:fldChar w:fldCharType="end"/>
      </w:r>
      <w:r w:rsidR="00D27405" w:rsidRPr="00D27405">
        <w:rPr>
          <w:rFonts w:ascii="Times New Roman" w:hAnsi="Times New Roman" w:cs="Times New Roman"/>
          <w:sz w:val="24"/>
          <w:szCs w:val="24"/>
          <w:lang w:val="en-GB"/>
        </w:rPr>
        <w:t xml:space="preserve"> </w:t>
      </w:r>
      <w:r w:rsidR="002F430E">
        <w:rPr>
          <w:rFonts w:ascii="Times New Roman" w:hAnsi="Times New Roman" w:cs="Times New Roman"/>
          <w:sz w:val="24"/>
          <w:szCs w:val="24"/>
          <w:lang w:val="en-GB"/>
        </w:rPr>
        <w:t>Estimates</w:t>
      </w:r>
      <w:r w:rsidR="00D27405" w:rsidRPr="00D27405">
        <w:rPr>
          <w:rFonts w:ascii="Times New Roman" w:hAnsi="Times New Roman" w:cs="Times New Roman"/>
          <w:sz w:val="24"/>
          <w:szCs w:val="24"/>
          <w:lang w:val="en-GB"/>
        </w:rPr>
        <w:t xml:space="preserve"> of the burden of MND</w:t>
      </w:r>
      <w:r w:rsidR="002071E4">
        <w:rPr>
          <w:rFonts w:ascii="Times New Roman" w:hAnsi="Times New Roman" w:cs="Times New Roman"/>
          <w:sz w:val="24"/>
          <w:szCs w:val="24"/>
          <w:lang w:val="en-GB"/>
        </w:rPr>
        <w:t>s</w:t>
      </w:r>
      <w:r w:rsidR="00D27405" w:rsidRPr="00D27405">
        <w:rPr>
          <w:rFonts w:ascii="Times New Roman" w:hAnsi="Times New Roman" w:cs="Times New Roman"/>
          <w:sz w:val="24"/>
          <w:szCs w:val="24"/>
          <w:lang w:val="en-GB"/>
        </w:rPr>
        <w:t xml:space="preserve"> face three main constraints</w:t>
      </w:r>
      <w:r w:rsidR="00B60276">
        <w:rPr>
          <w:rFonts w:ascii="Times New Roman" w:hAnsi="Times New Roman" w:cs="Times New Roman"/>
          <w:sz w:val="24"/>
          <w:szCs w:val="24"/>
          <w:lang w:val="en-GB"/>
        </w:rPr>
        <w:t>.</w:t>
      </w:r>
      <w:r w:rsidR="00B60276" w:rsidRPr="00D27405">
        <w:rPr>
          <w:rFonts w:ascii="Times New Roman" w:hAnsi="Times New Roman" w:cs="Times New Roman"/>
          <w:sz w:val="24"/>
          <w:szCs w:val="24"/>
          <w:lang w:val="en-GB"/>
        </w:rPr>
        <w:fldChar w:fldCharType="begin"/>
      </w:r>
      <w:r w:rsidR="00470BA3">
        <w:rPr>
          <w:rFonts w:ascii="Times New Roman" w:hAnsi="Times New Roman" w:cs="Times New Roman"/>
          <w:sz w:val="24"/>
          <w:szCs w:val="24"/>
          <w:lang w:val="en-GB"/>
        </w:rPr>
        <w:instrText xml:space="preserve"> ADDIN ZOTERO_ITEM CSL_CITATION {"citationID":"z30VOVlK","properties":{"formattedCitation":"\\super 18\\nosupersub{}","plainCitation":"18","noteIndex":0},"citationItems":[{"id":"2a68pk1S/B6EyuFpO","uris":["http://zotero.org/users/6692154/items/I5YS57CE"],"uri":["http://zotero.org/users/6692154/items/I5YS57CE"],"itemData":{"id":589,"type":"article-journal","abstract":"The present article reviews the strengths and weaknesses of the three main methods for estimating the prevalence of malnutrition in populations: self-reported hunger, estimates based on food supplies, and anthropometrics. Although far from flawless, anthropometrics is found to be the most reliable method and also the most useful for directing policy. The main form of malnutrition among adults is overweight, not only in developed countries, but also in almost all developing countries. Only in a few developing countries is adult underweight more prevalent. By the conventional anthropometric indicators, about one-quarter of all children below the age of 5 in the developing countries are stunted or underweight, and about 10% are wasted. The total burden of malnutrition among young children, as measured by the Composite Index of Anthropometric Failure, is considerably higher, about 60% in India, the country with the largest child population in the world.","container-title":"Annual Review of Nutrition","DOI":"10.1146/annurev-nutr-081810-160805","ISSN":"0199-9885","issue":"1","journalAbbreviation":"Annu. Rev. Nutr.","note":"publisher: Annual Reviews","page":"263-283","title":"How Many People Are Malnourished?","volume":"31","author":[{"family":"Svedberg","given":"Peter"}],"issued":{"date-parts":[["2011",8,21]]}}}],"schema":"https://github.com/citation-style-language/schema/raw/master/csl-citation.json"} </w:instrText>
      </w:r>
      <w:r w:rsidR="00B60276" w:rsidRPr="00D27405">
        <w:rPr>
          <w:rFonts w:ascii="Times New Roman" w:hAnsi="Times New Roman" w:cs="Times New Roman"/>
          <w:sz w:val="24"/>
          <w:szCs w:val="24"/>
          <w:lang w:val="en-GB"/>
        </w:rPr>
        <w:fldChar w:fldCharType="separate"/>
      </w:r>
      <w:r w:rsidR="00470BA3" w:rsidRPr="00470BA3">
        <w:rPr>
          <w:rFonts w:ascii="Times New Roman" w:hAnsi="Times New Roman" w:cs="Times New Roman"/>
          <w:color w:val="000000"/>
          <w:sz w:val="24"/>
          <w:vertAlign w:val="superscript"/>
        </w:rPr>
        <w:t>18</w:t>
      </w:r>
      <w:r w:rsidR="00B60276" w:rsidRPr="00D27405">
        <w:rPr>
          <w:rFonts w:ascii="Times New Roman" w:hAnsi="Times New Roman" w:cs="Times New Roman"/>
          <w:sz w:val="24"/>
          <w:szCs w:val="24"/>
        </w:rPr>
        <w:fldChar w:fldCharType="end"/>
      </w:r>
      <w:r w:rsidR="00B60276" w:rsidRPr="00D27405">
        <w:rPr>
          <w:rFonts w:ascii="Times New Roman" w:hAnsi="Times New Roman" w:cs="Times New Roman"/>
          <w:sz w:val="24"/>
          <w:szCs w:val="24"/>
          <w:lang w:val="en-GB"/>
        </w:rPr>
        <w:t xml:space="preserve"> </w:t>
      </w:r>
      <w:r w:rsidR="00D27405" w:rsidRPr="00D27405">
        <w:rPr>
          <w:rFonts w:ascii="Times New Roman" w:hAnsi="Times New Roman" w:cs="Times New Roman"/>
          <w:sz w:val="24"/>
          <w:szCs w:val="24"/>
          <w:lang w:val="en-GB"/>
        </w:rPr>
        <w:t xml:space="preserve">First, </w:t>
      </w:r>
      <w:r w:rsidR="00E70468" w:rsidRPr="00D27405">
        <w:rPr>
          <w:rFonts w:ascii="Times New Roman" w:hAnsi="Times New Roman" w:cs="Times New Roman"/>
          <w:sz w:val="24"/>
          <w:szCs w:val="24"/>
          <w:lang w:val="en-GB"/>
        </w:rPr>
        <w:t>micronutrient status</w:t>
      </w:r>
      <w:r w:rsidR="008A4DF1">
        <w:rPr>
          <w:rFonts w:ascii="Times New Roman" w:hAnsi="Times New Roman" w:cs="Times New Roman"/>
          <w:sz w:val="24"/>
          <w:szCs w:val="24"/>
          <w:lang w:val="en-GB"/>
        </w:rPr>
        <w:t xml:space="preserve"> biomarker</w:t>
      </w:r>
      <w:r w:rsidR="00E70468" w:rsidRPr="00D27405">
        <w:rPr>
          <w:rFonts w:ascii="Times New Roman" w:hAnsi="Times New Roman" w:cs="Times New Roman"/>
          <w:sz w:val="24"/>
          <w:szCs w:val="24"/>
          <w:lang w:val="en-GB"/>
        </w:rPr>
        <w:t xml:space="preserve"> data that provide reliable population prevalence estimates remain </w:t>
      </w:r>
      <w:r w:rsidR="00E70468">
        <w:rPr>
          <w:rFonts w:ascii="Times New Roman" w:hAnsi="Times New Roman" w:cs="Times New Roman"/>
          <w:sz w:val="24"/>
          <w:szCs w:val="24"/>
          <w:lang w:val="en-GB"/>
        </w:rPr>
        <w:t>sparse</w:t>
      </w:r>
      <w:r w:rsidR="00A86BC0">
        <w:rPr>
          <w:rFonts w:ascii="Times New Roman" w:hAnsi="Times New Roman" w:cs="Times New Roman"/>
          <w:sz w:val="24"/>
          <w:szCs w:val="24"/>
          <w:lang w:val="en-GB"/>
        </w:rPr>
        <w:t>,</w:t>
      </w:r>
      <w:r w:rsidR="00E70468" w:rsidRPr="00D27405">
        <w:rPr>
          <w:rFonts w:ascii="Times New Roman" w:hAnsi="Times New Roman" w:cs="Times New Roman"/>
          <w:sz w:val="24"/>
          <w:szCs w:val="24"/>
          <w:lang w:val="en-GB"/>
        </w:rPr>
        <w:fldChar w:fldCharType="begin"/>
      </w:r>
      <w:r w:rsidR="00A20B24">
        <w:rPr>
          <w:rFonts w:ascii="Times New Roman" w:hAnsi="Times New Roman" w:cs="Times New Roman"/>
          <w:sz w:val="24"/>
          <w:szCs w:val="24"/>
          <w:lang w:val="en-GB"/>
        </w:rPr>
        <w:instrText xml:space="preserve"> ADDIN ZOTERO_ITEM CSL_CITATION {"citationID":"kxg1aRKk","properties":{"formattedCitation":"\\super 14\\nosupersub{}","plainCitation":"14","noteIndex":0},"citationItems":[{"id":3202,"uris":["http://zotero.org/users/2850877/items/E9S5CUZZ"],"uri":["http://zotero.org/users/2850877/items/E9S5CUZZ"],"itemData":{"id":3202,"type":"article-journal","abstract":"Micronutrient (MN) deficiencies can produce a broad array of adverse health and functional outcomes. Young, preschool children and women of reproductive age in low- and middle-income countries are most affected by these deficiencies, but the true magnitude of the problems and their related disease burdens remain uncertain because of the dearth of reliable biomarker information on population MN status. The reasons for this lack of information include a limited understanding by policy makers of the importance of MNs for human health and the usefulness of information on MN status for program planning and management; insufficient professional capacity to advocate for this information and design and implement related MN status surveys; high costs and logistical constraints involved in specimen collection, transport, storage, and laboratory analyses; poor access to adequately equipped and staffed laboratories to complete the analyses reliably; and inadequate capacity to interpret and apply this information for public health program design and evaluation. This report describes the current situation with regard to data availability, the reasons for the lack of relevant information, and the steps needed to correct this situation, including implementation of a multi-component MN Data Generation Initiative to advocate for critical data collection and provide related technical assistance, laboratory services, professional training, and financial support.","container-title":"The American Journal of Clinical Nutrition","DOI":"10.1093/ajcn/nqab173","ISSN":"0002-9165","issue":"3","journalAbbreviation":"The American Journal of Clinical Nutrition","page":"862-870","source":"Silverchair","title":"Increasing the availability and utilization of reliable data on population micronutrient (MN) status globally: the MN Data Generation Initiative","title-short":"Increasing the availability and utilization of reliable data on population micronutrient (MN) status globally","volume":"114","author":[{"family":"Brown","given":"Kenneth H"},{"family":"Moore","given":"Sophie E"},{"family":"Hess","given":"Sonja Y"},{"family":"McDonald","given":"Christine M"},{"family":"Jones","given":"Kerry S"},{"family":"Meadows","given":"Sarah R"},{"family":"Manger","given":"Mari S"},{"family":"Coates","given":"Jennifer"},{"family":"Alayon","given":"Silvia"},{"family":"Osendarp","given":"Saskia J M"}],"issued":{"date-parts":[["2021",9,1]]}}}],"schema":"https://github.com/citation-style-language/schema/raw/master/csl-citation.json"} </w:instrText>
      </w:r>
      <w:r w:rsidR="00E70468" w:rsidRPr="00D27405">
        <w:rPr>
          <w:rFonts w:ascii="Times New Roman" w:hAnsi="Times New Roman" w:cs="Times New Roman"/>
          <w:sz w:val="24"/>
          <w:szCs w:val="24"/>
          <w:lang w:val="en-GB"/>
        </w:rPr>
        <w:fldChar w:fldCharType="separate"/>
      </w:r>
      <w:r w:rsidR="00A20B24" w:rsidRPr="00A20B24">
        <w:rPr>
          <w:rFonts w:ascii="Times New Roman" w:hAnsi="Times New Roman" w:cs="Times New Roman"/>
          <w:color w:val="000000"/>
          <w:sz w:val="24"/>
          <w:vertAlign w:val="superscript"/>
        </w:rPr>
        <w:t>14</w:t>
      </w:r>
      <w:r w:rsidR="00E70468" w:rsidRPr="00D27405">
        <w:rPr>
          <w:rFonts w:ascii="Times New Roman" w:hAnsi="Times New Roman" w:cs="Times New Roman"/>
          <w:sz w:val="24"/>
          <w:szCs w:val="24"/>
        </w:rPr>
        <w:fldChar w:fldCharType="end"/>
      </w:r>
      <w:r w:rsidR="0018716B">
        <w:rPr>
          <w:rFonts w:ascii="Times New Roman" w:hAnsi="Times New Roman" w:cs="Times New Roman"/>
          <w:sz w:val="24"/>
          <w:szCs w:val="24"/>
        </w:rPr>
        <w:t xml:space="preserve"> and smaller non-representative studies have limited value for estimating burden and identifying priority population subgroups.</w:t>
      </w:r>
      <w:r w:rsidR="00E70468" w:rsidRPr="00D27405">
        <w:rPr>
          <w:rFonts w:ascii="Times New Roman" w:hAnsi="Times New Roman" w:cs="Times New Roman"/>
          <w:sz w:val="24"/>
          <w:szCs w:val="24"/>
          <w:lang w:val="en-GB"/>
        </w:rPr>
        <w:t xml:space="preserve"> </w:t>
      </w:r>
      <w:r w:rsidR="0087201F">
        <w:rPr>
          <w:rFonts w:ascii="Times New Roman" w:hAnsi="Times New Roman" w:cs="Times New Roman"/>
          <w:sz w:val="24"/>
          <w:szCs w:val="24"/>
          <w:lang w:val="en-GB"/>
        </w:rPr>
        <w:t xml:space="preserve">Limited and often outdated data </w:t>
      </w:r>
      <w:r w:rsidR="00E00F6D">
        <w:rPr>
          <w:rFonts w:ascii="Times New Roman" w:hAnsi="Times New Roman" w:cs="Times New Roman"/>
          <w:sz w:val="24"/>
          <w:szCs w:val="24"/>
          <w:lang w:val="en-GB"/>
        </w:rPr>
        <w:t>are</w:t>
      </w:r>
      <w:r w:rsidR="0087201F">
        <w:rPr>
          <w:rFonts w:ascii="Times New Roman" w:hAnsi="Times New Roman" w:cs="Times New Roman"/>
          <w:sz w:val="24"/>
          <w:szCs w:val="24"/>
          <w:lang w:val="en-GB"/>
        </w:rPr>
        <w:t xml:space="preserve"> available for </w:t>
      </w:r>
      <w:r w:rsidR="00E90FC6">
        <w:rPr>
          <w:rFonts w:ascii="Times New Roman" w:hAnsi="Times New Roman" w:cs="Times New Roman"/>
          <w:sz w:val="24"/>
          <w:szCs w:val="24"/>
          <w:lang w:val="en-GB"/>
        </w:rPr>
        <w:t>preschool-age</w:t>
      </w:r>
      <w:r w:rsidR="00E70468" w:rsidRPr="00D27405">
        <w:rPr>
          <w:rFonts w:ascii="Times New Roman" w:hAnsi="Times New Roman" w:cs="Times New Roman"/>
          <w:sz w:val="24"/>
          <w:szCs w:val="24"/>
          <w:lang w:val="en-GB"/>
        </w:rPr>
        <w:t xml:space="preserve"> children</w:t>
      </w:r>
      <w:r w:rsidR="00E90FC6">
        <w:rPr>
          <w:rFonts w:ascii="Times New Roman" w:hAnsi="Times New Roman" w:cs="Times New Roman"/>
          <w:sz w:val="24"/>
          <w:szCs w:val="24"/>
          <w:lang w:val="en-GB"/>
        </w:rPr>
        <w:t xml:space="preserve"> (PSC)</w:t>
      </w:r>
      <w:r w:rsidR="00E70468" w:rsidRPr="00D27405">
        <w:rPr>
          <w:rFonts w:ascii="Times New Roman" w:hAnsi="Times New Roman" w:cs="Times New Roman"/>
          <w:sz w:val="24"/>
          <w:szCs w:val="24"/>
          <w:lang w:val="en-GB"/>
        </w:rPr>
        <w:t xml:space="preserve"> and </w:t>
      </w:r>
      <w:r w:rsidR="00E90FC6">
        <w:rPr>
          <w:rFonts w:ascii="Times New Roman" w:hAnsi="Times New Roman" w:cs="Times New Roman"/>
          <w:sz w:val="24"/>
          <w:szCs w:val="24"/>
          <w:lang w:val="en-GB"/>
        </w:rPr>
        <w:t xml:space="preserve">non-pregnant </w:t>
      </w:r>
      <w:r w:rsidR="00B01FBC">
        <w:rPr>
          <w:rFonts w:ascii="Times New Roman" w:hAnsi="Times New Roman" w:cs="Times New Roman"/>
          <w:sz w:val="24"/>
          <w:szCs w:val="24"/>
          <w:lang w:val="en-GB"/>
        </w:rPr>
        <w:t xml:space="preserve">adolescent girls and </w:t>
      </w:r>
      <w:r w:rsidR="00E70468" w:rsidRPr="00D27405">
        <w:rPr>
          <w:rFonts w:ascii="Times New Roman" w:hAnsi="Times New Roman" w:cs="Times New Roman"/>
          <w:sz w:val="24"/>
          <w:szCs w:val="24"/>
          <w:lang w:val="en-GB"/>
        </w:rPr>
        <w:t>women of reproductive age</w:t>
      </w:r>
      <w:r w:rsidR="00E90FC6">
        <w:rPr>
          <w:rFonts w:ascii="Times New Roman" w:hAnsi="Times New Roman" w:cs="Times New Roman"/>
          <w:sz w:val="24"/>
          <w:szCs w:val="24"/>
          <w:lang w:val="en-GB"/>
        </w:rPr>
        <w:t xml:space="preserve"> (NPW)</w:t>
      </w:r>
      <w:r w:rsidR="00E70468">
        <w:rPr>
          <w:rFonts w:ascii="Times New Roman" w:hAnsi="Times New Roman" w:cs="Times New Roman"/>
          <w:sz w:val="24"/>
          <w:szCs w:val="24"/>
          <w:lang w:val="en-GB"/>
        </w:rPr>
        <w:t xml:space="preserve">, </w:t>
      </w:r>
      <w:r w:rsidR="0087201F">
        <w:rPr>
          <w:rFonts w:ascii="Times New Roman" w:hAnsi="Times New Roman" w:cs="Times New Roman"/>
          <w:sz w:val="24"/>
          <w:szCs w:val="24"/>
          <w:lang w:val="en-GB"/>
        </w:rPr>
        <w:t xml:space="preserve">but </w:t>
      </w:r>
      <w:r w:rsidR="00E70468">
        <w:rPr>
          <w:rFonts w:ascii="Times New Roman" w:hAnsi="Times New Roman" w:cs="Times New Roman"/>
          <w:sz w:val="24"/>
          <w:szCs w:val="24"/>
          <w:lang w:val="en-GB"/>
        </w:rPr>
        <w:t xml:space="preserve">even less data </w:t>
      </w:r>
      <w:proofErr w:type="gramStart"/>
      <w:r w:rsidR="00E70468">
        <w:rPr>
          <w:rFonts w:ascii="Times New Roman" w:hAnsi="Times New Roman" w:cs="Times New Roman"/>
          <w:sz w:val="24"/>
          <w:szCs w:val="24"/>
          <w:lang w:val="en-GB"/>
        </w:rPr>
        <w:t>are</w:t>
      </w:r>
      <w:proofErr w:type="gramEnd"/>
      <w:r w:rsidR="00E70468">
        <w:rPr>
          <w:rFonts w:ascii="Times New Roman" w:hAnsi="Times New Roman" w:cs="Times New Roman"/>
          <w:sz w:val="24"/>
          <w:szCs w:val="24"/>
          <w:lang w:val="en-GB"/>
        </w:rPr>
        <w:t xml:space="preserve"> collected on school-age children, adolescent boys, pregnant women, men, and the elderly</w:t>
      </w:r>
      <w:r w:rsidR="00E70468" w:rsidRPr="00382A09">
        <w:rPr>
          <w:rFonts w:ascii="Times New Roman" w:hAnsi="Times New Roman" w:cs="Times New Roman"/>
          <w:sz w:val="24"/>
          <w:szCs w:val="24"/>
          <w:lang w:val="en-GB"/>
        </w:rPr>
        <w:t>.</w:t>
      </w:r>
      <w:r w:rsidR="00A878B9">
        <w:rPr>
          <w:rFonts w:ascii="Times New Roman" w:hAnsi="Times New Roman" w:cs="Times New Roman"/>
          <w:sz w:val="24"/>
          <w:szCs w:val="24"/>
          <w:lang w:val="en-GB"/>
        </w:rPr>
        <w:t xml:space="preserve"> Second, </w:t>
      </w:r>
      <w:r w:rsidR="00D27405" w:rsidRPr="00D27405">
        <w:rPr>
          <w:rFonts w:ascii="Times New Roman" w:hAnsi="Times New Roman" w:cs="Times New Roman"/>
          <w:sz w:val="24"/>
          <w:szCs w:val="24"/>
          <w:lang w:val="en-GB"/>
        </w:rPr>
        <w:t xml:space="preserve">recommendations on </w:t>
      </w:r>
      <w:r w:rsidR="009806AF">
        <w:rPr>
          <w:rFonts w:ascii="Times New Roman" w:hAnsi="Times New Roman" w:cs="Times New Roman"/>
          <w:sz w:val="24"/>
          <w:szCs w:val="24"/>
          <w:lang w:val="en-GB"/>
        </w:rPr>
        <w:t>appropriate</w:t>
      </w:r>
      <w:r w:rsidR="00D27405" w:rsidRPr="00D27405">
        <w:rPr>
          <w:rFonts w:ascii="Times New Roman" w:hAnsi="Times New Roman" w:cs="Times New Roman"/>
          <w:sz w:val="24"/>
          <w:szCs w:val="24"/>
          <w:lang w:val="en-GB"/>
        </w:rPr>
        <w:t xml:space="preserve"> micronutrient </w:t>
      </w:r>
      <w:r w:rsidR="003B1DA7">
        <w:rPr>
          <w:rFonts w:ascii="Times New Roman" w:hAnsi="Times New Roman" w:cs="Times New Roman"/>
          <w:sz w:val="24"/>
          <w:szCs w:val="24"/>
          <w:lang w:val="en-GB"/>
        </w:rPr>
        <w:t xml:space="preserve">status </w:t>
      </w:r>
      <w:r w:rsidR="00D27405" w:rsidRPr="00D27405">
        <w:rPr>
          <w:rFonts w:ascii="Times New Roman" w:hAnsi="Times New Roman" w:cs="Times New Roman"/>
          <w:sz w:val="24"/>
          <w:szCs w:val="24"/>
          <w:lang w:val="en-GB"/>
        </w:rPr>
        <w:t xml:space="preserve">biomarkers </w:t>
      </w:r>
      <w:r w:rsidR="005E2127">
        <w:rPr>
          <w:rFonts w:ascii="Times New Roman" w:hAnsi="Times New Roman" w:cs="Times New Roman"/>
          <w:sz w:val="24"/>
          <w:szCs w:val="24"/>
          <w:lang w:val="en-GB"/>
        </w:rPr>
        <w:t xml:space="preserve">and </w:t>
      </w:r>
      <w:r w:rsidR="00C60AFA">
        <w:rPr>
          <w:rFonts w:ascii="Times New Roman" w:hAnsi="Times New Roman" w:cs="Times New Roman"/>
          <w:sz w:val="24"/>
          <w:szCs w:val="24"/>
          <w:lang w:val="en-GB"/>
        </w:rPr>
        <w:t xml:space="preserve">standardization of field and laboratory methodologies </w:t>
      </w:r>
      <w:r w:rsidR="00B304D9" w:rsidRPr="00D27405">
        <w:rPr>
          <w:rFonts w:ascii="Times New Roman" w:hAnsi="Times New Roman" w:cs="Times New Roman"/>
          <w:sz w:val="24"/>
          <w:szCs w:val="24"/>
          <w:lang w:val="en-GB"/>
        </w:rPr>
        <w:t>ha</w:t>
      </w:r>
      <w:r w:rsidR="00B304D9">
        <w:rPr>
          <w:rFonts w:ascii="Times New Roman" w:hAnsi="Times New Roman" w:cs="Times New Roman"/>
          <w:sz w:val="24"/>
          <w:szCs w:val="24"/>
          <w:lang w:val="en-GB"/>
        </w:rPr>
        <w:t>ve</w:t>
      </w:r>
      <w:r w:rsidR="00B304D9" w:rsidRPr="00D27405">
        <w:rPr>
          <w:rFonts w:ascii="Times New Roman" w:hAnsi="Times New Roman" w:cs="Times New Roman"/>
          <w:sz w:val="24"/>
          <w:szCs w:val="24"/>
          <w:lang w:val="en-GB"/>
        </w:rPr>
        <w:t xml:space="preserve"> </w:t>
      </w:r>
      <w:r w:rsidR="00D27405" w:rsidRPr="00D27405">
        <w:rPr>
          <w:rFonts w:ascii="Times New Roman" w:hAnsi="Times New Roman" w:cs="Times New Roman"/>
          <w:sz w:val="24"/>
          <w:szCs w:val="24"/>
          <w:lang w:val="en-GB"/>
        </w:rPr>
        <w:t>been published</w:t>
      </w:r>
      <w:r w:rsidR="00091986">
        <w:rPr>
          <w:rFonts w:ascii="Times New Roman" w:hAnsi="Times New Roman" w:cs="Times New Roman"/>
          <w:sz w:val="24"/>
          <w:szCs w:val="24"/>
          <w:lang w:val="en-GB"/>
        </w:rPr>
        <w:t>.</w:t>
      </w:r>
      <w:r w:rsidR="00A22219">
        <w:rPr>
          <w:rFonts w:ascii="Times New Roman" w:hAnsi="Times New Roman" w:cs="Times New Roman"/>
          <w:sz w:val="24"/>
          <w:szCs w:val="24"/>
          <w:lang w:val="en-GB"/>
        </w:rPr>
        <w:fldChar w:fldCharType="begin"/>
      </w:r>
      <w:r w:rsidR="00A20B24">
        <w:rPr>
          <w:rFonts w:ascii="Times New Roman" w:hAnsi="Times New Roman" w:cs="Times New Roman"/>
          <w:sz w:val="24"/>
          <w:szCs w:val="24"/>
          <w:lang w:val="en-GB"/>
        </w:rPr>
        <w:instrText xml:space="preserve"> ADDIN ZOTERO_ITEM CSL_CITATION {"citationID":"5EgwHF10","properties":{"formattedCitation":"\\super 19\\nosupersub{}","plainCitation":"19","noteIndex":0},"citationItems":[{"id":3207,"uris":["http://zotero.org/users/2850877/items/7SMWF52V"],"uri":["http://zotero.org/users/2850877/items/7SMWF52V"],"itemData":{"id":3207,"type":"report","event-place":"Geneva, Switzerland","note":"publisher: World Health Organization","publisher-place":"Geneva, Switzerland","source":"Google Scholar","title":"Micronutrient survey manual","author":[{"literal":"Centers for Disease Control and Prevention"},{"literal":"World Health Organization"},{"literal":"Nutritional International"},{"literal":"UNICEF"}],"issued":{"date-parts":[["2020"]]}}}],"schema":"https://github.com/citation-style-language/schema/raw/master/csl-citation.json"} </w:instrText>
      </w:r>
      <w:r w:rsidR="00A22219">
        <w:rPr>
          <w:rFonts w:ascii="Times New Roman" w:hAnsi="Times New Roman" w:cs="Times New Roman"/>
          <w:sz w:val="24"/>
          <w:szCs w:val="24"/>
          <w:lang w:val="en-GB"/>
        </w:rPr>
        <w:fldChar w:fldCharType="separate"/>
      </w:r>
      <w:r w:rsidR="00A20B24" w:rsidRPr="00A20B24">
        <w:rPr>
          <w:rFonts w:ascii="Times New Roman" w:hAnsi="Times New Roman" w:cs="Times New Roman"/>
          <w:color w:val="000000"/>
          <w:sz w:val="24"/>
          <w:vertAlign w:val="superscript"/>
        </w:rPr>
        <w:t>19</w:t>
      </w:r>
      <w:r w:rsidR="00A22219">
        <w:rPr>
          <w:rFonts w:ascii="Times New Roman" w:hAnsi="Times New Roman" w:cs="Times New Roman"/>
          <w:sz w:val="24"/>
          <w:szCs w:val="24"/>
          <w:lang w:val="en-GB"/>
        </w:rPr>
        <w:fldChar w:fldCharType="end"/>
      </w:r>
      <w:r w:rsidR="00091986">
        <w:rPr>
          <w:rFonts w:ascii="Times New Roman" w:hAnsi="Times New Roman" w:cs="Times New Roman"/>
          <w:sz w:val="24"/>
          <w:szCs w:val="24"/>
          <w:lang w:val="en-GB"/>
        </w:rPr>
        <w:t xml:space="preserve"> Yet</w:t>
      </w:r>
      <w:r w:rsidR="00D27405" w:rsidRPr="00D27405">
        <w:rPr>
          <w:rFonts w:ascii="Times New Roman" w:hAnsi="Times New Roman" w:cs="Times New Roman"/>
          <w:sz w:val="24"/>
          <w:szCs w:val="24"/>
          <w:lang w:val="en-GB"/>
        </w:rPr>
        <w:t xml:space="preserve"> </w:t>
      </w:r>
      <w:r w:rsidR="002B6C83">
        <w:rPr>
          <w:rFonts w:ascii="Times New Roman" w:hAnsi="Times New Roman" w:cs="Times New Roman"/>
          <w:sz w:val="24"/>
          <w:szCs w:val="24"/>
          <w:lang w:val="en-GB"/>
        </w:rPr>
        <w:t xml:space="preserve">published studies report </w:t>
      </w:r>
      <w:r w:rsidR="00571727">
        <w:rPr>
          <w:rFonts w:ascii="Times New Roman" w:hAnsi="Times New Roman" w:cs="Times New Roman"/>
          <w:sz w:val="24"/>
          <w:szCs w:val="24"/>
          <w:lang w:val="en-GB"/>
        </w:rPr>
        <w:t xml:space="preserve">on </w:t>
      </w:r>
      <w:r w:rsidR="002B6C83">
        <w:rPr>
          <w:rFonts w:ascii="Times New Roman" w:hAnsi="Times New Roman" w:cs="Times New Roman"/>
          <w:sz w:val="24"/>
          <w:szCs w:val="24"/>
          <w:lang w:val="en-GB"/>
        </w:rPr>
        <w:t xml:space="preserve">a variety </w:t>
      </w:r>
      <w:r w:rsidR="00E00F6D">
        <w:rPr>
          <w:rFonts w:ascii="Times New Roman" w:hAnsi="Times New Roman" w:cs="Times New Roman"/>
          <w:sz w:val="24"/>
          <w:szCs w:val="24"/>
          <w:lang w:val="en-GB"/>
        </w:rPr>
        <w:t xml:space="preserve">of </w:t>
      </w:r>
      <w:r w:rsidR="002B6C83">
        <w:rPr>
          <w:rFonts w:ascii="Times New Roman" w:hAnsi="Times New Roman" w:cs="Times New Roman"/>
          <w:sz w:val="24"/>
          <w:szCs w:val="24"/>
          <w:lang w:val="en-GB"/>
        </w:rPr>
        <w:t xml:space="preserve">field </w:t>
      </w:r>
      <w:r w:rsidR="00FD4ABA">
        <w:rPr>
          <w:rFonts w:ascii="Times New Roman" w:hAnsi="Times New Roman" w:cs="Times New Roman"/>
          <w:sz w:val="24"/>
          <w:szCs w:val="24"/>
          <w:lang w:val="en-GB"/>
        </w:rPr>
        <w:t>methods</w:t>
      </w:r>
      <w:r w:rsidR="009151DE">
        <w:rPr>
          <w:rFonts w:ascii="Times New Roman" w:hAnsi="Times New Roman" w:cs="Times New Roman"/>
          <w:sz w:val="24"/>
          <w:szCs w:val="24"/>
          <w:lang w:val="en-GB"/>
        </w:rPr>
        <w:t>,</w:t>
      </w:r>
      <w:r w:rsidR="000E01FB">
        <w:rPr>
          <w:rFonts w:ascii="Times New Roman" w:hAnsi="Times New Roman" w:cs="Times New Roman"/>
          <w:sz w:val="24"/>
          <w:szCs w:val="24"/>
          <w:lang w:val="en-GB"/>
        </w:rPr>
        <w:t xml:space="preserve"> </w:t>
      </w:r>
      <w:r w:rsidR="009151DE">
        <w:rPr>
          <w:rFonts w:ascii="Times New Roman" w:hAnsi="Times New Roman" w:cs="Times New Roman"/>
          <w:sz w:val="24"/>
          <w:szCs w:val="24"/>
          <w:lang w:val="en-GB"/>
        </w:rPr>
        <w:t xml:space="preserve">biomarkers, </w:t>
      </w:r>
      <w:r w:rsidR="000E01FB">
        <w:rPr>
          <w:rFonts w:ascii="Times New Roman" w:hAnsi="Times New Roman" w:cs="Times New Roman"/>
          <w:sz w:val="24"/>
          <w:szCs w:val="24"/>
          <w:lang w:val="en-GB"/>
        </w:rPr>
        <w:t>differ</w:t>
      </w:r>
      <w:r w:rsidR="00415EC1">
        <w:rPr>
          <w:rFonts w:ascii="Times New Roman" w:hAnsi="Times New Roman" w:cs="Times New Roman"/>
          <w:sz w:val="24"/>
          <w:szCs w:val="24"/>
          <w:lang w:val="en-GB"/>
        </w:rPr>
        <w:t>ent</w:t>
      </w:r>
      <w:r w:rsidR="009151DE">
        <w:rPr>
          <w:rFonts w:ascii="Times New Roman" w:hAnsi="Times New Roman" w:cs="Times New Roman"/>
          <w:sz w:val="24"/>
          <w:szCs w:val="24"/>
          <w:lang w:val="en-GB"/>
        </w:rPr>
        <w:t xml:space="preserve"> </w:t>
      </w:r>
      <w:r w:rsidR="000E01FB">
        <w:rPr>
          <w:rFonts w:ascii="Times New Roman" w:hAnsi="Times New Roman" w:cs="Times New Roman"/>
          <w:sz w:val="24"/>
          <w:szCs w:val="24"/>
          <w:lang w:val="en-GB"/>
        </w:rPr>
        <w:t xml:space="preserve">assays </w:t>
      </w:r>
      <w:r w:rsidR="009151DE">
        <w:rPr>
          <w:rFonts w:ascii="Times New Roman" w:hAnsi="Times New Roman" w:cs="Times New Roman"/>
          <w:sz w:val="24"/>
          <w:szCs w:val="24"/>
          <w:lang w:val="en-GB"/>
        </w:rPr>
        <w:t xml:space="preserve">for the same </w:t>
      </w:r>
      <w:r w:rsidR="00FC190D">
        <w:rPr>
          <w:rFonts w:ascii="Times New Roman" w:hAnsi="Times New Roman" w:cs="Times New Roman"/>
          <w:sz w:val="24"/>
          <w:szCs w:val="24"/>
          <w:lang w:val="en-GB"/>
        </w:rPr>
        <w:t>biomarker</w:t>
      </w:r>
      <w:r w:rsidR="009151DE">
        <w:rPr>
          <w:rFonts w:ascii="Times New Roman" w:hAnsi="Times New Roman" w:cs="Times New Roman"/>
          <w:sz w:val="24"/>
          <w:szCs w:val="24"/>
          <w:lang w:val="en-GB"/>
        </w:rPr>
        <w:t xml:space="preserve">, </w:t>
      </w:r>
      <w:r w:rsidR="00F94F09">
        <w:rPr>
          <w:rFonts w:ascii="Times New Roman" w:hAnsi="Times New Roman" w:cs="Times New Roman"/>
          <w:sz w:val="24"/>
          <w:szCs w:val="24"/>
          <w:lang w:val="en-GB"/>
        </w:rPr>
        <w:t>different approaches to adjust</w:t>
      </w:r>
      <w:r w:rsidR="000E01FB">
        <w:rPr>
          <w:rFonts w:ascii="Times New Roman" w:hAnsi="Times New Roman" w:cs="Times New Roman"/>
          <w:sz w:val="24"/>
          <w:szCs w:val="24"/>
          <w:lang w:val="en-GB"/>
        </w:rPr>
        <w:t xml:space="preserve"> for inflammation</w:t>
      </w:r>
      <w:r w:rsidR="003C2737">
        <w:rPr>
          <w:rFonts w:ascii="Times New Roman" w:hAnsi="Times New Roman" w:cs="Times New Roman"/>
          <w:sz w:val="24"/>
          <w:szCs w:val="24"/>
          <w:lang w:val="en-GB"/>
        </w:rPr>
        <w:t xml:space="preserve">, </w:t>
      </w:r>
      <w:r w:rsidR="00091986">
        <w:rPr>
          <w:rFonts w:ascii="Times New Roman" w:hAnsi="Times New Roman" w:cs="Times New Roman"/>
          <w:sz w:val="24"/>
          <w:szCs w:val="24"/>
          <w:lang w:val="en-GB"/>
        </w:rPr>
        <w:t xml:space="preserve">and </w:t>
      </w:r>
      <w:r w:rsidR="009151DE">
        <w:rPr>
          <w:rFonts w:ascii="Times New Roman" w:hAnsi="Times New Roman" w:cs="Times New Roman"/>
          <w:sz w:val="24"/>
          <w:szCs w:val="24"/>
          <w:lang w:val="en-GB"/>
        </w:rPr>
        <w:t xml:space="preserve">varying </w:t>
      </w:r>
      <w:r w:rsidR="00F64630">
        <w:rPr>
          <w:rFonts w:ascii="Times New Roman" w:hAnsi="Times New Roman" w:cs="Times New Roman"/>
          <w:sz w:val="24"/>
          <w:szCs w:val="24"/>
          <w:lang w:val="en-GB"/>
        </w:rPr>
        <w:t>cut-offs</w:t>
      </w:r>
      <w:r w:rsidR="00380E94">
        <w:rPr>
          <w:rFonts w:ascii="Times New Roman" w:hAnsi="Times New Roman" w:cs="Times New Roman"/>
          <w:sz w:val="24"/>
          <w:szCs w:val="24"/>
          <w:lang w:val="en-GB"/>
        </w:rPr>
        <w:t xml:space="preserve"> </w:t>
      </w:r>
      <w:r w:rsidR="009151DE">
        <w:rPr>
          <w:rFonts w:ascii="Times New Roman" w:hAnsi="Times New Roman" w:cs="Times New Roman"/>
          <w:sz w:val="24"/>
          <w:szCs w:val="24"/>
          <w:lang w:val="en-GB"/>
        </w:rPr>
        <w:t>to define</w:t>
      </w:r>
      <w:r w:rsidR="000E01FB">
        <w:rPr>
          <w:rFonts w:ascii="Times New Roman" w:hAnsi="Times New Roman" w:cs="Times New Roman"/>
          <w:sz w:val="24"/>
          <w:szCs w:val="24"/>
          <w:lang w:val="en-GB"/>
        </w:rPr>
        <w:t xml:space="preserve"> deficiency</w:t>
      </w:r>
      <w:r w:rsidR="00C8261F">
        <w:rPr>
          <w:rFonts w:ascii="Times New Roman" w:hAnsi="Times New Roman" w:cs="Times New Roman"/>
          <w:sz w:val="24"/>
          <w:szCs w:val="24"/>
          <w:lang w:val="en-GB"/>
        </w:rPr>
        <w:t>,</w:t>
      </w:r>
      <w:r w:rsidR="00091986">
        <w:rPr>
          <w:rFonts w:ascii="Times New Roman" w:hAnsi="Times New Roman" w:cs="Times New Roman"/>
          <w:sz w:val="24"/>
          <w:szCs w:val="24"/>
          <w:lang w:val="en-GB"/>
        </w:rPr>
        <w:t xml:space="preserve"> all of </w:t>
      </w:r>
      <w:r w:rsidR="00B36105">
        <w:rPr>
          <w:rFonts w:ascii="Times New Roman" w:hAnsi="Times New Roman" w:cs="Times New Roman"/>
          <w:sz w:val="24"/>
          <w:szCs w:val="24"/>
          <w:lang w:val="en-GB"/>
        </w:rPr>
        <w:t>which limit the comparability of their results</w:t>
      </w:r>
      <w:r w:rsidR="000E01FB">
        <w:rPr>
          <w:rFonts w:ascii="Times New Roman" w:hAnsi="Times New Roman" w:cs="Times New Roman"/>
          <w:sz w:val="24"/>
          <w:szCs w:val="24"/>
          <w:lang w:val="en-GB"/>
        </w:rPr>
        <w:t xml:space="preserve">. </w:t>
      </w:r>
      <w:r w:rsidR="00D27405" w:rsidRPr="00D27405">
        <w:rPr>
          <w:rFonts w:ascii="Times New Roman" w:hAnsi="Times New Roman" w:cs="Times New Roman"/>
          <w:sz w:val="24"/>
          <w:szCs w:val="24"/>
          <w:lang w:val="en-GB"/>
        </w:rPr>
        <w:t xml:space="preserve">The </w:t>
      </w:r>
      <w:r w:rsidR="008E1331">
        <w:rPr>
          <w:rFonts w:ascii="Times New Roman" w:hAnsi="Times New Roman" w:cs="Times New Roman"/>
          <w:sz w:val="24"/>
          <w:szCs w:val="24"/>
          <w:lang w:val="en-GB"/>
        </w:rPr>
        <w:t>third</w:t>
      </w:r>
      <w:r w:rsidR="00D27405" w:rsidRPr="00D27405">
        <w:rPr>
          <w:rFonts w:ascii="Times New Roman" w:hAnsi="Times New Roman" w:cs="Times New Roman"/>
          <w:sz w:val="24"/>
          <w:szCs w:val="24"/>
          <w:lang w:val="en-GB"/>
        </w:rPr>
        <w:t xml:space="preserve"> </w:t>
      </w:r>
      <w:r w:rsidR="00F97A14">
        <w:rPr>
          <w:rFonts w:ascii="Times New Roman" w:hAnsi="Times New Roman" w:cs="Times New Roman"/>
          <w:sz w:val="24"/>
          <w:szCs w:val="24"/>
          <w:lang w:val="en-GB"/>
        </w:rPr>
        <w:t xml:space="preserve">challenge </w:t>
      </w:r>
      <w:r w:rsidR="00D27405" w:rsidRPr="00D27405">
        <w:rPr>
          <w:rFonts w:ascii="Times New Roman" w:hAnsi="Times New Roman" w:cs="Times New Roman"/>
          <w:sz w:val="24"/>
          <w:szCs w:val="24"/>
          <w:lang w:val="en-GB"/>
        </w:rPr>
        <w:t>is that there are 38 known essential nutrients</w:t>
      </w:r>
      <w:r w:rsidR="001305AA">
        <w:rPr>
          <w:rFonts w:ascii="Times New Roman" w:hAnsi="Times New Roman" w:cs="Times New Roman"/>
          <w:sz w:val="24"/>
          <w:szCs w:val="24"/>
          <w:lang w:val="en-GB"/>
        </w:rPr>
        <w:t>,</w:t>
      </w:r>
      <w:r w:rsidR="00D27405" w:rsidRPr="00D27405">
        <w:rPr>
          <w:rFonts w:ascii="Times New Roman" w:hAnsi="Times New Roman" w:cs="Times New Roman"/>
          <w:sz w:val="24"/>
          <w:szCs w:val="24"/>
          <w:lang w:val="en-GB"/>
        </w:rPr>
        <w:fldChar w:fldCharType="begin"/>
      </w:r>
      <w:r w:rsidR="00A20B24">
        <w:rPr>
          <w:rFonts w:ascii="Times New Roman" w:hAnsi="Times New Roman" w:cs="Times New Roman"/>
          <w:sz w:val="24"/>
          <w:szCs w:val="24"/>
          <w:lang w:val="en-GB"/>
        </w:rPr>
        <w:instrText xml:space="preserve"> ADDIN ZOTERO_ITEM CSL_CITATION {"citationID":"fnRWW1Qh","properties":{"formattedCitation":"\\super 20\\nosupersub{}","plainCitation":"20","noteIndex":0},"citationItems":[{"id":"2a68pk1S/nfyXc1WN","uris":["http://zotero.org/users/6692154/items/GRFPG8SU"],"uri":["http://zotero.org/users/6692154/items/GRFPG8SU"],"itemData":{"id":608,"type":"article-journal","container-title":"The American Journal of Clinical Nutrition","DOI":"10.1093/ajcn/35.5.1112","ISSN":"0002-9165","issue":"5","journalAbbreviation":"The American Journal of Clinical Nutrition","page":"1112-1116","title":"Deficiencies of essential and conditionally essential nutrients","volume":"35","author":[{"family":"Chipponi","given":"J X"},{"family":"Bleier","given":"J C"},{"family":"Santi","given":"M T"},{"family":"Rudman","given":"D"}],"issued":{"date-parts":[["1982",5,1]]}}}],"schema":"https://github.com/citation-style-language/schema/raw/master/csl-citation.json"} </w:instrText>
      </w:r>
      <w:r w:rsidR="00D27405" w:rsidRPr="00D27405">
        <w:rPr>
          <w:rFonts w:ascii="Times New Roman" w:hAnsi="Times New Roman" w:cs="Times New Roman"/>
          <w:sz w:val="24"/>
          <w:szCs w:val="24"/>
          <w:lang w:val="en-GB"/>
        </w:rPr>
        <w:fldChar w:fldCharType="separate"/>
      </w:r>
      <w:r w:rsidR="00A20B24" w:rsidRPr="00A20B24">
        <w:rPr>
          <w:rFonts w:ascii="Times New Roman" w:hAnsi="Times New Roman" w:cs="Times New Roman"/>
          <w:color w:val="000000"/>
          <w:sz w:val="24"/>
          <w:vertAlign w:val="superscript"/>
        </w:rPr>
        <w:t>20</w:t>
      </w:r>
      <w:r w:rsidR="00D27405" w:rsidRPr="00D27405">
        <w:rPr>
          <w:rFonts w:ascii="Times New Roman" w:hAnsi="Times New Roman" w:cs="Times New Roman"/>
          <w:sz w:val="24"/>
          <w:szCs w:val="24"/>
        </w:rPr>
        <w:fldChar w:fldCharType="end"/>
      </w:r>
      <w:r w:rsidR="00D27405" w:rsidRPr="00D27405">
        <w:rPr>
          <w:rFonts w:ascii="Times New Roman" w:hAnsi="Times New Roman" w:cs="Times New Roman"/>
          <w:sz w:val="24"/>
          <w:szCs w:val="24"/>
          <w:lang w:val="en-GB"/>
        </w:rPr>
        <w:t xml:space="preserve"> </w:t>
      </w:r>
      <w:r w:rsidR="00CE4115" w:rsidRPr="00CE4115">
        <w:rPr>
          <w:rFonts w:ascii="Times New Roman" w:hAnsi="Times New Roman" w:cs="Times New Roman"/>
          <w:sz w:val="24"/>
          <w:szCs w:val="24"/>
          <w:lang w:val="en-GB"/>
        </w:rPr>
        <w:t>although status data of only a few of these are collected in representative surveys</w:t>
      </w:r>
      <w:r w:rsidR="008E1331">
        <w:rPr>
          <w:rFonts w:ascii="Times New Roman" w:hAnsi="Times New Roman" w:cs="Times New Roman"/>
          <w:sz w:val="24"/>
          <w:szCs w:val="24"/>
          <w:lang w:val="en-GB"/>
        </w:rPr>
        <w:t>.</w:t>
      </w:r>
      <w:r w:rsidR="00355009">
        <w:rPr>
          <w:rFonts w:ascii="Times New Roman" w:hAnsi="Times New Roman" w:cs="Times New Roman"/>
          <w:sz w:val="24"/>
          <w:szCs w:val="24"/>
          <w:lang w:val="en-GB"/>
        </w:rPr>
        <w:fldChar w:fldCharType="begin"/>
      </w:r>
      <w:r w:rsidR="00A20B24">
        <w:rPr>
          <w:rFonts w:ascii="Times New Roman" w:hAnsi="Times New Roman" w:cs="Times New Roman"/>
          <w:sz w:val="24"/>
          <w:szCs w:val="24"/>
          <w:lang w:val="en-GB"/>
        </w:rPr>
        <w:instrText xml:space="preserve"> ADDIN ZOTERO_ITEM CSL_CITATION {"citationID":"yDOqeXVf","properties":{"formattedCitation":"\\super 21\\nosupersub{}","plainCitation":"21","noteIndex":0},"citationItems":[{"id":2920,"uris":["http://zotero.org/users/2850877/items/L8A6Z9GM"],"uri":["http://zotero.org/users/2850877/items/L8A6Z9GM"],"itemData":{"id":2920,"type":"webpage","abstract":"The Vitamin and Mineral Nutrition Information System (VMNIS), formerly known as the Micronutrient Deficiency Information System (MDIS), was established in 1991 following a request by the World Health Assembly to strengthen surveillance of micronutrient deficiencies at the global level.","language":"en","title":"Vitamin and Mineral Nutrition Information System (VMNIS)","URL":"https://www.who.int/teams/nutrition-and-food-safety/databases/vitamin-and-mineral-nutrition-information-system","author":[{"literal":"WHO"}],"accessed":{"date-parts":[["2021",6,13]]}}}],"schema":"https://github.com/citation-style-language/schema/raw/master/csl-citation.json"} </w:instrText>
      </w:r>
      <w:r w:rsidR="00355009">
        <w:rPr>
          <w:rFonts w:ascii="Times New Roman" w:hAnsi="Times New Roman" w:cs="Times New Roman"/>
          <w:sz w:val="24"/>
          <w:szCs w:val="24"/>
          <w:lang w:val="en-GB"/>
        </w:rPr>
        <w:fldChar w:fldCharType="separate"/>
      </w:r>
      <w:r w:rsidR="00A20B24" w:rsidRPr="00A20B24">
        <w:rPr>
          <w:rFonts w:ascii="Times New Roman" w:hAnsi="Times New Roman" w:cs="Times New Roman"/>
          <w:color w:val="000000"/>
          <w:sz w:val="24"/>
          <w:vertAlign w:val="superscript"/>
        </w:rPr>
        <w:t>21</w:t>
      </w:r>
      <w:r w:rsidR="00355009">
        <w:rPr>
          <w:rFonts w:ascii="Times New Roman" w:hAnsi="Times New Roman" w:cs="Times New Roman"/>
          <w:sz w:val="24"/>
          <w:szCs w:val="24"/>
          <w:lang w:val="en-GB"/>
        </w:rPr>
        <w:fldChar w:fldCharType="end"/>
      </w:r>
      <w:r w:rsidR="00CE4115" w:rsidRPr="00CE4115">
        <w:rPr>
          <w:rFonts w:ascii="Times New Roman" w:hAnsi="Times New Roman" w:cs="Times New Roman"/>
          <w:sz w:val="24"/>
          <w:szCs w:val="24"/>
          <w:lang w:val="en-GB"/>
        </w:rPr>
        <w:t xml:space="preserve"> </w:t>
      </w:r>
      <w:r w:rsidR="00D27405" w:rsidRPr="00D27405">
        <w:rPr>
          <w:rFonts w:ascii="Times New Roman" w:hAnsi="Times New Roman" w:cs="Times New Roman"/>
          <w:sz w:val="24"/>
          <w:szCs w:val="24"/>
          <w:lang w:val="en-GB"/>
        </w:rPr>
        <w:t xml:space="preserve">We also know that </w:t>
      </w:r>
      <w:r w:rsidR="0024750A">
        <w:rPr>
          <w:rFonts w:ascii="Times New Roman" w:hAnsi="Times New Roman" w:cs="Times New Roman"/>
          <w:sz w:val="24"/>
          <w:szCs w:val="24"/>
          <w:lang w:val="en-GB"/>
        </w:rPr>
        <w:t>MNDs</w:t>
      </w:r>
      <w:r w:rsidR="00D27405" w:rsidRPr="00D27405">
        <w:rPr>
          <w:rFonts w:ascii="Times New Roman" w:hAnsi="Times New Roman" w:cs="Times New Roman"/>
          <w:sz w:val="24"/>
          <w:szCs w:val="24"/>
          <w:lang w:val="en-GB"/>
        </w:rPr>
        <w:t xml:space="preserve"> </w:t>
      </w:r>
      <w:r w:rsidR="00A17CF0">
        <w:rPr>
          <w:rFonts w:ascii="Times New Roman" w:hAnsi="Times New Roman" w:cs="Times New Roman"/>
          <w:sz w:val="24"/>
          <w:szCs w:val="24"/>
          <w:lang w:val="en-GB"/>
        </w:rPr>
        <w:t>do not</w:t>
      </w:r>
      <w:r w:rsidR="00F14F90">
        <w:rPr>
          <w:rFonts w:ascii="Times New Roman" w:hAnsi="Times New Roman" w:cs="Times New Roman"/>
          <w:sz w:val="24"/>
          <w:szCs w:val="24"/>
          <w:lang w:val="en-GB"/>
        </w:rPr>
        <w:t xml:space="preserve"> always</w:t>
      </w:r>
      <w:r w:rsidR="00A17CF0">
        <w:rPr>
          <w:rFonts w:ascii="Times New Roman" w:hAnsi="Times New Roman" w:cs="Times New Roman"/>
          <w:sz w:val="24"/>
          <w:szCs w:val="24"/>
          <w:lang w:val="en-GB"/>
        </w:rPr>
        <w:t xml:space="preserve"> occur</w:t>
      </w:r>
      <w:r w:rsidR="00D27405" w:rsidRPr="00D27405">
        <w:rPr>
          <w:rFonts w:ascii="Times New Roman" w:hAnsi="Times New Roman" w:cs="Times New Roman"/>
          <w:sz w:val="24"/>
          <w:szCs w:val="24"/>
          <w:lang w:val="en-GB"/>
        </w:rPr>
        <w:t xml:space="preserve"> alone</w:t>
      </w:r>
      <w:r w:rsidR="00940260">
        <w:rPr>
          <w:rFonts w:ascii="Times New Roman" w:hAnsi="Times New Roman" w:cs="Times New Roman"/>
          <w:sz w:val="24"/>
          <w:szCs w:val="24"/>
          <w:lang w:val="en-GB"/>
        </w:rPr>
        <w:t>,</w:t>
      </w:r>
      <w:r w:rsidR="00D27405" w:rsidRPr="00D27405">
        <w:rPr>
          <w:rFonts w:ascii="Times New Roman" w:hAnsi="Times New Roman" w:cs="Times New Roman"/>
          <w:sz w:val="24"/>
          <w:szCs w:val="24"/>
          <w:lang w:val="en-GB"/>
        </w:rPr>
        <w:fldChar w:fldCharType="begin"/>
      </w:r>
      <w:r w:rsidR="00A20B24">
        <w:rPr>
          <w:rFonts w:ascii="Times New Roman" w:hAnsi="Times New Roman" w:cs="Times New Roman"/>
          <w:sz w:val="24"/>
          <w:szCs w:val="24"/>
          <w:lang w:val="en-GB"/>
        </w:rPr>
        <w:instrText xml:space="preserve"> ADDIN ZOTERO_ITEM CSL_CITATION {"citationID":"zL4adwIO","properties":{"formattedCitation":"\\super 1,22\\nosupersub{}","plainCitation":"1,22","noteIndex":0},"citationItems":[{"id":2922,"uris":["http://zotero.org/users/2850877/items/D4R8AIVP"],"uri":["http://zotero.org/users/2850877/items/D4R8AIVP"],"itemData":{"id":2922,"type":"article-journal","abstract":"Micronutrients are essential to sustain life and for optimal physiological function. Widespread global micronutrient deficiencies (MNDs) exist, with pregnant women and their children under 5 years at the highest risk. Iron, iodine, folate, vitamin A, and zinc deficiencies are the most widespread MNDs, and all these MNDs are common contributors to poor growth, intellectual impairments, perinatal complications, and increased risk of morbidity and mortality. Iron deficiency is the most common MND worldwide and leads to microcytic anemia, decreased capacity for work, as well as impaired immune and endocrine function. Iodine deficiency disorder is also widespread and results in goiter, mental retardation, or reduced cognitive function. Adequate zinc is necessary for optimal immune function, and deficiency is associated with an increased incidence of diarrhea and acute respiratory infections, major causes of death in those &lt;5 years of age. Folic acid taken in early pregnancy can prevent neural tube defects. Folate is essential for DNA synthesis and repair, and deficiency results in macrocytic anemia. Vitamin A deficiency is the leading cause of blindness worldwide and also impairs immune function and cell differentiation. Single MNDs rarely occur alone; often, multiple MNDs coexist. The long-term consequences of MNDs are not only seen at the individual level but also have deleterious impacts on the economic development and human capital at the country level. Perhaps of greatest concern is the cycle of MNDs that persists over generations and the intergenerational consequences of MNDs that we are only beginning to understand. Prevention of MNDs is critical and traditionally has been accomplished through supplementation, fortification, and food-based approaches including diversification. It is widely accepted that intervention in the first 1,000 days is critical to break the cycle of malnutrition; however, a coordinated, sustainable commitment to scaling up nutrition at the global level is still needed. Understanding the epidemiology of MNDs is critical to understand what intervention strategies will work best under different conditions.","container-title":"Annals of Nutrition and Metabolism","DOI":"10.1159/000371618","ISSN":"0250-6807, 1421-9697","issue":"Suppl. 2","journalAbbreviation":"ANM","language":"english","note":"publisher: Karger Publishers\nPMID: 26045325","page":"22-33","source":"www.karger.com","title":"The Epidemiology of Global Micronutrient Deficiencies","volume":"66","author":[{"family":"Bailey","given":"Regan L."},{"family":"Jr","given":"Keith P. West"},{"family":"Black","given":"Robert E."}],"issued":{"date-parts":[["2015"]]}}},{"id":"2a68pk1S/nU8arrJf","uris":["http://zotero.org/users/6692154/items/3FDJHARB"],"uri":["http://zotero.org/users/6692154/items/3FDJHARB"],"itemData":{"id":603,"type":"article-journal","abstract":"Recent estimates indicate that globally over two billion people are at risk for vitamin A, iodine, and/or iron deficiency, in spite of recent efforts in the prevention and control of these deficiencies. The prevalence is especially high in Southeast Asia and sub-Saharan Africa, and pregnant women and young children are at greatest risk. Other micronutrient deficiencies of public health concern include zinc, folate, and the B vitamins. However, there is limited data on the actual prevalence of these deficiencies. Finally, in many settings, more than one micronutrient deficiency exists, suggesting the need for simple approaches that evaluate and address multiple micronutrient malnutrition.","container-title":"Nutrition Reviews","DOI":"10.1301/00296640260130731","ISSN":"0029-6643","issue":"suppl_5","journalAbbreviation":"Nutrition Reviews","page":"S46-S52","title":"Prevalence of Micronutrient Malnutrition Worldwide","volume":"60","author":[{"family":"Ramakrishnan","given":"Usha"}],"issued":{"date-parts":[["2002",5,1]]}}}],"schema":"https://github.com/citation-style-language/schema/raw/master/csl-citation.json"} </w:instrText>
      </w:r>
      <w:r w:rsidR="00D27405" w:rsidRPr="00D27405">
        <w:rPr>
          <w:rFonts w:ascii="Times New Roman" w:hAnsi="Times New Roman" w:cs="Times New Roman"/>
          <w:sz w:val="24"/>
          <w:szCs w:val="24"/>
          <w:lang w:val="en-GB"/>
        </w:rPr>
        <w:fldChar w:fldCharType="separate"/>
      </w:r>
      <w:r w:rsidR="00A20B24" w:rsidRPr="00A20B24">
        <w:rPr>
          <w:rFonts w:ascii="Times New Roman" w:hAnsi="Times New Roman" w:cs="Times New Roman"/>
          <w:color w:val="000000"/>
          <w:sz w:val="24"/>
          <w:vertAlign w:val="superscript"/>
        </w:rPr>
        <w:t>1,22</w:t>
      </w:r>
      <w:r w:rsidR="00D27405" w:rsidRPr="00D27405">
        <w:rPr>
          <w:rFonts w:ascii="Times New Roman" w:hAnsi="Times New Roman" w:cs="Times New Roman"/>
          <w:sz w:val="24"/>
          <w:szCs w:val="24"/>
        </w:rPr>
        <w:fldChar w:fldCharType="end"/>
      </w:r>
      <w:r w:rsidR="00D27405" w:rsidRPr="00D27405">
        <w:rPr>
          <w:rFonts w:ascii="Times New Roman" w:hAnsi="Times New Roman" w:cs="Times New Roman"/>
          <w:sz w:val="24"/>
          <w:szCs w:val="24"/>
          <w:lang w:val="en-GB"/>
        </w:rPr>
        <w:t xml:space="preserve"> yet </w:t>
      </w:r>
      <w:r w:rsidR="006B11B8">
        <w:rPr>
          <w:rFonts w:ascii="Times New Roman" w:hAnsi="Times New Roman" w:cs="Times New Roman"/>
          <w:sz w:val="24"/>
          <w:szCs w:val="24"/>
          <w:lang w:val="en-GB"/>
        </w:rPr>
        <w:t xml:space="preserve">standardized </w:t>
      </w:r>
      <w:r w:rsidR="00D27405" w:rsidRPr="00D27405">
        <w:rPr>
          <w:rFonts w:ascii="Times New Roman" w:hAnsi="Times New Roman" w:cs="Times New Roman"/>
          <w:sz w:val="24"/>
          <w:szCs w:val="24"/>
          <w:lang w:val="en-GB"/>
        </w:rPr>
        <w:t xml:space="preserve">methods to account for this co-existence when </w:t>
      </w:r>
      <w:r w:rsidR="00532719">
        <w:rPr>
          <w:rFonts w:ascii="Times New Roman" w:hAnsi="Times New Roman" w:cs="Times New Roman"/>
          <w:sz w:val="24"/>
          <w:szCs w:val="24"/>
          <w:lang w:val="en-GB"/>
        </w:rPr>
        <w:t>estimating</w:t>
      </w:r>
      <w:r w:rsidR="00D27405" w:rsidRPr="00D27405">
        <w:rPr>
          <w:rFonts w:ascii="Times New Roman" w:hAnsi="Times New Roman" w:cs="Times New Roman"/>
          <w:sz w:val="24"/>
          <w:szCs w:val="24"/>
          <w:lang w:val="en-GB"/>
        </w:rPr>
        <w:t xml:space="preserve"> the </w:t>
      </w:r>
      <w:r w:rsidR="00A86F9F">
        <w:rPr>
          <w:rFonts w:ascii="Times New Roman" w:hAnsi="Times New Roman" w:cs="Times New Roman"/>
          <w:sz w:val="24"/>
          <w:szCs w:val="24"/>
          <w:lang w:val="en-GB"/>
        </w:rPr>
        <w:t xml:space="preserve">number </w:t>
      </w:r>
      <w:r w:rsidR="00D27405" w:rsidRPr="00D27405">
        <w:rPr>
          <w:rFonts w:ascii="Times New Roman" w:hAnsi="Times New Roman" w:cs="Times New Roman"/>
          <w:sz w:val="24"/>
          <w:szCs w:val="24"/>
          <w:lang w:val="en-GB"/>
        </w:rPr>
        <w:t xml:space="preserve">affected have not been </w:t>
      </w:r>
      <w:r w:rsidR="006B11B8">
        <w:rPr>
          <w:rFonts w:ascii="Times New Roman" w:hAnsi="Times New Roman" w:cs="Times New Roman"/>
          <w:sz w:val="24"/>
          <w:szCs w:val="24"/>
          <w:lang w:val="en-GB"/>
        </w:rPr>
        <w:t>proposed</w:t>
      </w:r>
      <w:r w:rsidR="00D27405" w:rsidRPr="00D27405">
        <w:rPr>
          <w:rFonts w:ascii="Times New Roman" w:hAnsi="Times New Roman" w:cs="Times New Roman"/>
          <w:sz w:val="24"/>
          <w:szCs w:val="24"/>
          <w:lang w:val="en-GB"/>
        </w:rPr>
        <w:t xml:space="preserve">. </w:t>
      </w:r>
    </w:p>
    <w:p w14:paraId="3E68FE4B" w14:textId="77777777" w:rsidR="00D27405" w:rsidRPr="00D27405" w:rsidRDefault="00D27405" w:rsidP="00D27405">
      <w:pPr>
        <w:rPr>
          <w:rFonts w:ascii="Times New Roman" w:hAnsi="Times New Roman" w:cs="Times New Roman"/>
          <w:sz w:val="24"/>
          <w:szCs w:val="24"/>
          <w:lang w:val="en-GB"/>
        </w:rPr>
      </w:pPr>
    </w:p>
    <w:p w14:paraId="711CC9EE" w14:textId="76FE2D60" w:rsidR="00D27405" w:rsidRPr="00D27405" w:rsidRDefault="00D27405" w:rsidP="00D27405">
      <w:pPr>
        <w:rPr>
          <w:rFonts w:ascii="Times New Roman" w:hAnsi="Times New Roman" w:cs="Times New Roman"/>
          <w:sz w:val="24"/>
          <w:szCs w:val="24"/>
          <w:lang w:val="en-GB"/>
        </w:rPr>
      </w:pPr>
      <w:r w:rsidRPr="00D27405">
        <w:rPr>
          <w:rFonts w:ascii="Times New Roman" w:hAnsi="Times New Roman" w:cs="Times New Roman"/>
          <w:sz w:val="24"/>
          <w:szCs w:val="24"/>
          <w:lang w:val="en-GB"/>
        </w:rPr>
        <w:t>Our primary objective for this study was to estimat</w:t>
      </w:r>
      <w:r w:rsidR="00FB1D27">
        <w:rPr>
          <w:rFonts w:ascii="Times New Roman" w:hAnsi="Times New Roman" w:cs="Times New Roman"/>
          <w:sz w:val="24"/>
          <w:szCs w:val="24"/>
          <w:lang w:val="en-GB"/>
        </w:rPr>
        <w:t>e</w:t>
      </w:r>
      <w:r w:rsidR="00181AB6">
        <w:rPr>
          <w:rFonts w:ascii="Times New Roman" w:hAnsi="Times New Roman" w:cs="Times New Roman"/>
          <w:sz w:val="24"/>
          <w:szCs w:val="24"/>
          <w:lang w:val="en-GB"/>
        </w:rPr>
        <w:t xml:space="preserve"> </w:t>
      </w:r>
      <w:r w:rsidRPr="00D27405">
        <w:rPr>
          <w:rFonts w:ascii="Times New Roman" w:hAnsi="Times New Roman" w:cs="Times New Roman"/>
          <w:sz w:val="24"/>
          <w:szCs w:val="24"/>
          <w:lang w:val="en-GB"/>
        </w:rPr>
        <w:t xml:space="preserve">the global </w:t>
      </w:r>
      <w:r w:rsidR="00445C40">
        <w:rPr>
          <w:rFonts w:ascii="Times New Roman" w:hAnsi="Times New Roman" w:cs="Times New Roman"/>
          <w:sz w:val="24"/>
          <w:szCs w:val="24"/>
          <w:lang w:val="en-GB"/>
        </w:rPr>
        <w:t xml:space="preserve">and regional </w:t>
      </w:r>
      <w:r w:rsidRPr="00D27405">
        <w:rPr>
          <w:rFonts w:ascii="Times New Roman" w:hAnsi="Times New Roman" w:cs="Times New Roman"/>
          <w:sz w:val="24"/>
          <w:szCs w:val="24"/>
          <w:lang w:val="en-GB"/>
        </w:rPr>
        <w:t xml:space="preserve">prevalence of </w:t>
      </w:r>
      <w:r w:rsidR="0012622A">
        <w:rPr>
          <w:rFonts w:ascii="Times New Roman" w:hAnsi="Times New Roman" w:cs="Times New Roman"/>
          <w:sz w:val="24"/>
          <w:szCs w:val="24"/>
          <w:lang w:val="en-GB"/>
        </w:rPr>
        <w:t xml:space="preserve">deficiencies in </w:t>
      </w:r>
      <w:r w:rsidR="00086880">
        <w:rPr>
          <w:rFonts w:ascii="Times New Roman" w:hAnsi="Times New Roman" w:cs="Times New Roman"/>
          <w:sz w:val="24"/>
          <w:szCs w:val="24"/>
          <w:lang w:val="en-GB"/>
        </w:rPr>
        <w:t>one</w:t>
      </w:r>
      <w:r w:rsidR="000A5F30">
        <w:rPr>
          <w:rFonts w:ascii="Times New Roman" w:hAnsi="Times New Roman" w:cs="Times New Roman"/>
          <w:sz w:val="24"/>
          <w:szCs w:val="24"/>
          <w:lang w:val="en-GB"/>
        </w:rPr>
        <w:t xml:space="preserve"> </w:t>
      </w:r>
      <w:r w:rsidR="00E34342">
        <w:rPr>
          <w:rFonts w:ascii="Times New Roman" w:hAnsi="Times New Roman" w:cs="Times New Roman"/>
          <w:sz w:val="24"/>
          <w:szCs w:val="24"/>
          <w:lang w:val="en-GB"/>
        </w:rPr>
        <w:t xml:space="preserve">or </w:t>
      </w:r>
      <w:r w:rsidR="00086880">
        <w:rPr>
          <w:rFonts w:ascii="Times New Roman" w:hAnsi="Times New Roman" w:cs="Times New Roman"/>
          <w:sz w:val="24"/>
          <w:szCs w:val="24"/>
          <w:lang w:val="en-GB"/>
        </w:rPr>
        <w:t>more</w:t>
      </w:r>
      <w:r w:rsidR="0012622A">
        <w:rPr>
          <w:rFonts w:ascii="Times New Roman" w:hAnsi="Times New Roman" w:cs="Times New Roman"/>
          <w:sz w:val="24"/>
          <w:szCs w:val="24"/>
          <w:lang w:val="en-GB"/>
        </w:rPr>
        <w:t xml:space="preserve"> micronutrients among</w:t>
      </w:r>
      <w:r w:rsidRPr="00D27405">
        <w:rPr>
          <w:rFonts w:ascii="Times New Roman" w:hAnsi="Times New Roman" w:cs="Times New Roman"/>
          <w:sz w:val="24"/>
          <w:szCs w:val="24"/>
          <w:lang w:val="en-GB"/>
        </w:rPr>
        <w:t xml:space="preserve"> </w:t>
      </w:r>
      <w:r w:rsidR="00B01FBC">
        <w:rPr>
          <w:rFonts w:ascii="Times New Roman" w:hAnsi="Times New Roman" w:cs="Times New Roman"/>
          <w:sz w:val="24"/>
          <w:szCs w:val="24"/>
          <w:lang w:val="en-GB"/>
        </w:rPr>
        <w:t>PSC</w:t>
      </w:r>
      <w:r w:rsidR="00CA03E6" w:rsidRPr="00D27405">
        <w:rPr>
          <w:rFonts w:ascii="Times New Roman" w:hAnsi="Times New Roman" w:cs="Times New Roman"/>
          <w:sz w:val="24"/>
          <w:szCs w:val="24"/>
          <w:lang w:val="en-GB"/>
        </w:rPr>
        <w:t xml:space="preserve"> </w:t>
      </w:r>
      <w:r w:rsidR="00CA03E6">
        <w:rPr>
          <w:rFonts w:ascii="Times New Roman" w:hAnsi="Times New Roman" w:cs="Times New Roman"/>
          <w:sz w:val="24"/>
          <w:szCs w:val="24"/>
          <w:lang w:val="en-GB"/>
        </w:rPr>
        <w:t xml:space="preserve">(primarily 6–59 months) and </w:t>
      </w:r>
      <w:r w:rsidR="000F2E4B">
        <w:rPr>
          <w:rFonts w:ascii="Times New Roman" w:hAnsi="Times New Roman" w:cs="Times New Roman"/>
          <w:sz w:val="24"/>
          <w:szCs w:val="24"/>
          <w:lang w:val="en-GB"/>
        </w:rPr>
        <w:t>NPW</w:t>
      </w:r>
      <w:r w:rsidRPr="00D27405">
        <w:rPr>
          <w:rFonts w:ascii="Times New Roman" w:hAnsi="Times New Roman" w:cs="Times New Roman"/>
          <w:sz w:val="24"/>
          <w:szCs w:val="24"/>
          <w:lang w:val="en-GB"/>
        </w:rPr>
        <w:t xml:space="preserve"> (</w:t>
      </w:r>
      <w:r w:rsidR="008F2993">
        <w:rPr>
          <w:rFonts w:ascii="Times New Roman" w:hAnsi="Times New Roman" w:cs="Times New Roman"/>
          <w:sz w:val="24"/>
          <w:szCs w:val="24"/>
          <w:lang w:val="en-GB"/>
        </w:rPr>
        <w:t xml:space="preserve">primarily </w:t>
      </w:r>
      <w:r w:rsidRPr="00D27405">
        <w:rPr>
          <w:rFonts w:ascii="Times New Roman" w:hAnsi="Times New Roman" w:cs="Times New Roman"/>
          <w:sz w:val="24"/>
          <w:szCs w:val="24"/>
          <w:lang w:val="en-GB"/>
        </w:rPr>
        <w:t>15</w:t>
      </w:r>
      <w:r w:rsidR="00136B47">
        <w:rPr>
          <w:rFonts w:ascii="Times New Roman" w:hAnsi="Times New Roman" w:cs="Times New Roman"/>
          <w:sz w:val="24"/>
          <w:szCs w:val="24"/>
          <w:lang w:val="en-GB"/>
        </w:rPr>
        <w:t>–</w:t>
      </w:r>
      <w:r w:rsidRPr="00D27405">
        <w:rPr>
          <w:rFonts w:ascii="Times New Roman" w:hAnsi="Times New Roman" w:cs="Times New Roman"/>
          <w:sz w:val="24"/>
          <w:szCs w:val="24"/>
          <w:lang w:val="en-GB"/>
        </w:rPr>
        <w:t>49 years) by reanalysing</w:t>
      </w:r>
      <w:r w:rsidR="00DE1D5C">
        <w:rPr>
          <w:rFonts w:ascii="Times New Roman" w:hAnsi="Times New Roman" w:cs="Times New Roman"/>
          <w:sz w:val="24"/>
          <w:szCs w:val="24"/>
          <w:lang w:val="en-GB"/>
        </w:rPr>
        <w:t xml:space="preserve"> and pooling</w:t>
      </w:r>
      <w:r w:rsidRPr="00D27405">
        <w:rPr>
          <w:rFonts w:ascii="Times New Roman" w:hAnsi="Times New Roman" w:cs="Times New Roman"/>
          <w:sz w:val="24"/>
          <w:szCs w:val="24"/>
          <w:lang w:val="en-GB"/>
        </w:rPr>
        <w:t xml:space="preserve"> </w:t>
      </w:r>
      <w:r w:rsidR="00140095">
        <w:rPr>
          <w:rFonts w:ascii="Times New Roman" w:hAnsi="Times New Roman" w:cs="Times New Roman"/>
          <w:sz w:val="24"/>
          <w:szCs w:val="24"/>
          <w:lang w:val="en-GB"/>
        </w:rPr>
        <w:t xml:space="preserve">individual-level </w:t>
      </w:r>
      <w:r w:rsidR="00BC78B4">
        <w:rPr>
          <w:rFonts w:ascii="Times New Roman" w:hAnsi="Times New Roman" w:cs="Times New Roman"/>
          <w:sz w:val="24"/>
          <w:szCs w:val="24"/>
          <w:lang w:val="en-GB"/>
        </w:rPr>
        <w:t xml:space="preserve">micronutrient status </w:t>
      </w:r>
      <w:r w:rsidR="001750AA">
        <w:rPr>
          <w:rFonts w:ascii="Times New Roman" w:hAnsi="Times New Roman" w:cs="Times New Roman"/>
          <w:sz w:val="24"/>
          <w:szCs w:val="24"/>
          <w:lang w:val="en-GB"/>
        </w:rPr>
        <w:t xml:space="preserve">biomarker </w:t>
      </w:r>
      <w:r w:rsidRPr="00D27405">
        <w:rPr>
          <w:rFonts w:ascii="Times New Roman" w:hAnsi="Times New Roman" w:cs="Times New Roman"/>
          <w:sz w:val="24"/>
          <w:szCs w:val="24"/>
          <w:lang w:val="en-GB"/>
        </w:rPr>
        <w:t xml:space="preserve">data from </w:t>
      </w:r>
      <w:r w:rsidR="00E9774A">
        <w:rPr>
          <w:rFonts w:ascii="Times New Roman" w:hAnsi="Times New Roman" w:cs="Times New Roman"/>
          <w:sz w:val="24"/>
          <w:szCs w:val="24"/>
          <w:lang w:val="en-GB"/>
        </w:rPr>
        <w:t>nationally-representative, population-based</w:t>
      </w:r>
      <w:r w:rsidRPr="00D27405">
        <w:rPr>
          <w:rFonts w:ascii="Times New Roman" w:hAnsi="Times New Roman" w:cs="Times New Roman"/>
          <w:sz w:val="24"/>
          <w:szCs w:val="24"/>
          <w:lang w:val="en-GB"/>
        </w:rPr>
        <w:t xml:space="preserve"> surveys that met </w:t>
      </w:r>
      <w:r w:rsidR="000A5F30">
        <w:rPr>
          <w:rFonts w:ascii="Times New Roman" w:hAnsi="Times New Roman" w:cs="Times New Roman"/>
          <w:sz w:val="24"/>
          <w:szCs w:val="24"/>
          <w:lang w:val="en-GB"/>
        </w:rPr>
        <w:t>pre-determined</w:t>
      </w:r>
      <w:r w:rsidR="000A5F30" w:rsidRPr="00D27405">
        <w:rPr>
          <w:rFonts w:ascii="Times New Roman" w:hAnsi="Times New Roman" w:cs="Times New Roman"/>
          <w:sz w:val="24"/>
          <w:szCs w:val="24"/>
          <w:lang w:val="en-GB"/>
        </w:rPr>
        <w:t xml:space="preserve"> </w:t>
      </w:r>
      <w:r w:rsidRPr="00D27405">
        <w:rPr>
          <w:rFonts w:ascii="Times New Roman" w:hAnsi="Times New Roman" w:cs="Times New Roman"/>
          <w:sz w:val="24"/>
          <w:szCs w:val="24"/>
          <w:lang w:val="en-GB"/>
        </w:rPr>
        <w:t>inclusion criteria</w:t>
      </w:r>
      <w:r w:rsidR="00A800CA">
        <w:rPr>
          <w:rFonts w:ascii="Times New Roman" w:hAnsi="Times New Roman" w:cs="Times New Roman"/>
          <w:sz w:val="24"/>
          <w:szCs w:val="24"/>
          <w:lang w:val="en-GB"/>
        </w:rPr>
        <w:t>,</w:t>
      </w:r>
      <w:r w:rsidR="00A800CA" w:rsidRPr="00A800CA">
        <w:t xml:space="preserve"> </w:t>
      </w:r>
      <w:r w:rsidR="00A800CA" w:rsidRPr="00A800CA">
        <w:rPr>
          <w:rFonts w:ascii="Times New Roman" w:hAnsi="Times New Roman" w:cs="Times New Roman"/>
          <w:sz w:val="24"/>
          <w:szCs w:val="24"/>
          <w:lang w:val="en-GB"/>
        </w:rPr>
        <w:t xml:space="preserve">using a </w:t>
      </w:r>
      <w:r w:rsidR="00326557">
        <w:rPr>
          <w:rFonts w:ascii="Times New Roman" w:hAnsi="Times New Roman" w:cs="Times New Roman"/>
          <w:sz w:val="24"/>
          <w:szCs w:val="24"/>
          <w:lang w:val="en-GB"/>
        </w:rPr>
        <w:t>transparent</w:t>
      </w:r>
      <w:r w:rsidR="00A800CA" w:rsidRPr="00A800CA">
        <w:rPr>
          <w:rFonts w:ascii="Times New Roman" w:hAnsi="Times New Roman" w:cs="Times New Roman"/>
          <w:sz w:val="24"/>
          <w:szCs w:val="24"/>
          <w:lang w:val="en-GB"/>
        </w:rPr>
        <w:t xml:space="preserve"> set of definitions for deficiency and defined </w:t>
      </w:r>
      <w:r w:rsidR="00A800CA" w:rsidRPr="00A800CA">
        <w:rPr>
          <w:rFonts w:ascii="Times New Roman" w:hAnsi="Times New Roman" w:cs="Times New Roman"/>
          <w:sz w:val="24"/>
          <w:szCs w:val="24"/>
          <w:lang w:val="en-GB"/>
        </w:rPr>
        <w:lastRenderedPageBreak/>
        <w:t>methods to adjust for inflammation and assay used</w:t>
      </w:r>
      <w:r w:rsidRPr="00D27405">
        <w:rPr>
          <w:rFonts w:ascii="Times New Roman" w:hAnsi="Times New Roman" w:cs="Times New Roman"/>
          <w:sz w:val="24"/>
          <w:szCs w:val="24"/>
          <w:lang w:val="en-GB"/>
        </w:rPr>
        <w:t xml:space="preserve">. This estimation of the </w:t>
      </w:r>
      <w:r w:rsidR="00025D92">
        <w:rPr>
          <w:rFonts w:ascii="Times New Roman" w:hAnsi="Times New Roman" w:cs="Times New Roman"/>
          <w:sz w:val="24"/>
          <w:szCs w:val="24"/>
          <w:lang w:val="en-GB"/>
        </w:rPr>
        <w:t xml:space="preserve">global </w:t>
      </w:r>
      <w:r w:rsidR="00EC6965">
        <w:rPr>
          <w:rFonts w:ascii="Times New Roman" w:hAnsi="Times New Roman" w:cs="Times New Roman"/>
          <w:sz w:val="24"/>
          <w:szCs w:val="24"/>
          <w:lang w:val="en-GB"/>
        </w:rPr>
        <w:t xml:space="preserve">and regional </w:t>
      </w:r>
      <w:r w:rsidR="00854966">
        <w:rPr>
          <w:rFonts w:ascii="Times New Roman" w:hAnsi="Times New Roman" w:cs="Times New Roman"/>
          <w:sz w:val="24"/>
          <w:szCs w:val="24"/>
          <w:lang w:val="en-GB"/>
        </w:rPr>
        <w:t>prevalence</w:t>
      </w:r>
      <w:r w:rsidRPr="00D27405">
        <w:rPr>
          <w:rFonts w:ascii="Times New Roman" w:hAnsi="Times New Roman" w:cs="Times New Roman"/>
          <w:sz w:val="24"/>
          <w:szCs w:val="24"/>
          <w:lang w:val="en-GB"/>
        </w:rPr>
        <w:t xml:space="preserve"> of MND</w:t>
      </w:r>
      <w:r w:rsidR="00854966">
        <w:rPr>
          <w:rFonts w:ascii="Times New Roman" w:hAnsi="Times New Roman" w:cs="Times New Roman"/>
          <w:sz w:val="24"/>
          <w:szCs w:val="24"/>
          <w:lang w:val="en-GB"/>
        </w:rPr>
        <w:t>s among PSC</w:t>
      </w:r>
      <w:r w:rsidR="00B441F4">
        <w:rPr>
          <w:rFonts w:ascii="Times New Roman" w:hAnsi="Times New Roman" w:cs="Times New Roman"/>
          <w:sz w:val="24"/>
          <w:szCs w:val="24"/>
          <w:lang w:val="en-GB"/>
        </w:rPr>
        <w:t xml:space="preserve"> and NPW</w:t>
      </w:r>
      <w:r w:rsidRPr="00D27405">
        <w:rPr>
          <w:rFonts w:ascii="Times New Roman" w:hAnsi="Times New Roman" w:cs="Times New Roman"/>
          <w:sz w:val="24"/>
          <w:szCs w:val="24"/>
          <w:lang w:val="en-GB"/>
        </w:rPr>
        <w:t xml:space="preserve"> </w:t>
      </w:r>
      <w:r w:rsidR="00E9774A">
        <w:rPr>
          <w:rFonts w:ascii="Times New Roman" w:hAnsi="Times New Roman" w:cs="Times New Roman"/>
          <w:sz w:val="24"/>
          <w:szCs w:val="24"/>
          <w:lang w:val="en-GB"/>
        </w:rPr>
        <w:t>will</w:t>
      </w:r>
      <w:r w:rsidR="00E9774A" w:rsidRPr="00D27405">
        <w:rPr>
          <w:rFonts w:ascii="Times New Roman" w:hAnsi="Times New Roman" w:cs="Times New Roman"/>
          <w:sz w:val="24"/>
          <w:szCs w:val="24"/>
          <w:lang w:val="en-GB"/>
        </w:rPr>
        <w:t xml:space="preserve"> </w:t>
      </w:r>
      <w:r w:rsidRPr="00D27405">
        <w:rPr>
          <w:rFonts w:ascii="Times New Roman" w:hAnsi="Times New Roman" w:cs="Times New Roman"/>
          <w:sz w:val="24"/>
          <w:szCs w:val="24"/>
          <w:lang w:val="en-GB"/>
        </w:rPr>
        <w:t xml:space="preserve">permit replication and updates of these estimates as </w:t>
      </w:r>
      <w:r w:rsidR="00DE1D5C">
        <w:rPr>
          <w:rFonts w:ascii="Times New Roman" w:hAnsi="Times New Roman" w:cs="Times New Roman"/>
          <w:sz w:val="24"/>
          <w:szCs w:val="24"/>
          <w:lang w:val="en-GB"/>
        </w:rPr>
        <w:t xml:space="preserve">additional </w:t>
      </w:r>
      <w:r w:rsidRPr="00D27405">
        <w:rPr>
          <w:rFonts w:ascii="Times New Roman" w:hAnsi="Times New Roman" w:cs="Times New Roman"/>
          <w:sz w:val="24"/>
          <w:szCs w:val="24"/>
          <w:lang w:val="en-GB"/>
        </w:rPr>
        <w:t>survey data become available.</w:t>
      </w:r>
    </w:p>
    <w:p w14:paraId="12BAD60A" w14:textId="77777777" w:rsidR="00FC4407" w:rsidRDefault="00FC4407">
      <w:pPr>
        <w:rPr>
          <w:rFonts w:ascii="Times New Roman" w:hAnsi="Times New Roman" w:cs="Times New Roman"/>
          <w:sz w:val="24"/>
          <w:szCs w:val="24"/>
        </w:rPr>
      </w:pPr>
    </w:p>
    <w:p w14:paraId="08AB38FE" w14:textId="24B1F768" w:rsidR="00FC4407" w:rsidRPr="000D48EC" w:rsidRDefault="00FC4407">
      <w:pPr>
        <w:rPr>
          <w:rFonts w:ascii="Times New Roman" w:hAnsi="Times New Roman" w:cs="Times New Roman"/>
          <w:b/>
          <w:bCs/>
          <w:sz w:val="24"/>
          <w:szCs w:val="24"/>
        </w:rPr>
      </w:pPr>
      <w:r w:rsidRPr="000D48EC">
        <w:rPr>
          <w:rFonts w:ascii="Times New Roman" w:hAnsi="Times New Roman" w:cs="Times New Roman"/>
          <w:b/>
          <w:bCs/>
          <w:sz w:val="24"/>
          <w:szCs w:val="24"/>
        </w:rPr>
        <w:t>Methods</w:t>
      </w:r>
    </w:p>
    <w:p w14:paraId="31BA94E5" w14:textId="2C572EF1" w:rsidR="000F783C" w:rsidRDefault="00F24F28" w:rsidP="00F2226A">
      <w:pPr>
        <w:rPr>
          <w:rFonts w:ascii="Times New Roman" w:hAnsi="Times New Roman" w:cs="Times New Roman"/>
          <w:sz w:val="24"/>
          <w:szCs w:val="24"/>
          <w:lang w:val="en-GB"/>
        </w:rPr>
      </w:pPr>
      <w:r>
        <w:rPr>
          <w:rFonts w:ascii="Times New Roman" w:hAnsi="Times New Roman" w:cs="Times New Roman"/>
          <w:sz w:val="24"/>
          <w:szCs w:val="24"/>
          <w:lang w:val="en-GB"/>
        </w:rPr>
        <w:t>Included d</w:t>
      </w:r>
      <w:r w:rsidR="00193E35">
        <w:rPr>
          <w:rFonts w:ascii="Times New Roman" w:hAnsi="Times New Roman" w:cs="Times New Roman"/>
          <w:sz w:val="24"/>
          <w:szCs w:val="24"/>
          <w:lang w:val="en-GB"/>
        </w:rPr>
        <w:t>ata were collected between 2005</w:t>
      </w:r>
      <w:r w:rsidR="005D2C3E">
        <w:rPr>
          <w:rFonts w:ascii="Times New Roman" w:hAnsi="Times New Roman" w:cs="Times New Roman"/>
          <w:sz w:val="24"/>
          <w:szCs w:val="24"/>
          <w:lang w:val="en-GB"/>
        </w:rPr>
        <w:t>–</w:t>
      </w:r>
      <w:r w:rsidR="00193E35">
        <w:rPr>
          <w:rFonts w:ascii="Times New Roman" w:hAnsi="Times New Roman" w:cs="Times New Roman"/>
          <w:sz w:val="24"/>
          <w:szCs w:val="24"/>
          <w:lang w:val="en-GB"/>
        </w:rPr>
        <w:t>2019</w:t>
      </w:r>
      <w:r w:rsidR="00F2226A">
        <w:rPr>
          <w:rFonts w:ascii="Times New Roman" w:hAnsi="Times New Roman" w:cs="Times New Roman"/>
          <w:sz w:val="24"/>
          <w:szCs w:val="24"/>
          <w:lang w:val="en-GB"/>
        </w:rPr>
        <w:t>, which we grouped into</w:t>
      </w:r>
      <w:r w:rsidR="00401FCB">
        <w:rPr>
          <w:rFonts w:ascii="Times New Roman" w:hAnsi="Times New Roman" w:cs="Times New Roman"/>
          <w:sz w:val="24"/>
          <w:szCs w:val="24"/>
          <w:lang w:val="en-GB"/>
        </w:rPr>
        <w:t xml:space="preserve"> </w:t>
      </w:r>
      <w:r w:rsidR="00D04CE8">
        <w:rPr>
          <w:rFonts w:ascii="Times New Roman" w:hAnsi="Times New Roman" w:cs="Times New Roman"/>
          <w:sz w:val="24"/>
          <w:szCs w:val="24"/>
          <w:lang w:val="en-GB"/>
        </w:rPr>
        <w:t>six geographic regions</w:t>
      </w:r>
      <w:r w:rsidR="006E6F60">
        <w:rPr>
          <w:rFonts w:ascii="Times New Roman" w:hAnsi="Times New Roman" w:cs="Times New Roman"/>
          <w:sz w:val="24"/>
          <w:szCs w:val="24"/>
          <w:lang w:val="en-GB"/>
        </w:rPr>
        <w:t xml:space="preserve"> of </w:t>
      </w:r>
      <w:r w:rsidR="000A66D4">
        <w:rPr>
          <w:rFonts w:ascii="Times New Roman" w:hAnsi="Times New Roman" w:cs="Times New Roman"/>
          <w:sz w:val="24"/>
          <w:szCs w:val="24"/>
          <w:lang w:val="en-GB"/>
        </w:rPr>
        <w:t>l</w:t>
      </w:r>
      <w:r w:rsidR="006E6F60">
        <w:rPr>
          <w:rFonts w:ascii="Times New Roman" w:hAnsi="Times New Roman" w:cs="Times New Roman"/>
          <w:sz w:val="24"/>
          <w:szCs w:val="24"/>
          <w:lang w:val="en-GB"/>
        </w:rPr>
        <w:t>ow-</w:t>
      </w:r>
      <w:r w:rsidR="000A66D4">
        <w:rPr>
          <w:rFonts w:ascii="Times New Roman" w:hAnsi="Times New Roman" w:cs="Times New Roman"/>
          <w:sz w:val="24"/>
          <w:szCs w:val="24"/>
          <w:lang w:val="en-GB"/>
        </w:rPr>
        <w:t xml:space="preserve"> </w:t>
      </w:r>
      <w:r w:rsidR="006E6F60">
        <w:rPr>
          <w:rFonts w:ascii="Times New Roman" w:hAnsi="Times New Roman" w:cs="Times New Roman"/>
          <w:sz w:val="24"/>
          <w:szCs w:val="24"/>
          <w:lang w:val="en-GB"/>
        </w:rPr>
        <w:t>and</w:t>
      </w:r>
      <w:r w:rsidR="000A66D4">
        <w:rPr>
          <w:rFonts w:ascii="Times New Roman" w:hAnsi="Times New Roman" w:cs="Times New Roman"/>
          <w:sz w:val="24"/>
          <w:szCs w:val="24"/>
          <w:lang w:val="en-GB"/>
        </w:rPr>
        <w:t xml:space="preserve"> m</w:t>
      </w:r>
      <w:r w:rsidR="00B2402D">
        <w:rPr>
          <w:rFonts w:ascii="Times New Roman" w:hAnsi="Times New Roman" w:cs="Times New Roman"/>
          <w:sz w:val="24"/>
          <w:szCs w:val="24"/>
          <w:lang w:val="en-GB"/>
        </w:rPr>
        <w:t>iddle</w:t>
      </w:r>
      <w:r w:rsidR="006E6F60">
        <w:rPr>
          <w:rFonts w:ascii="Times New Roman" w:hAnsi="Times New Roman" w:cs="Times New Roman"/>
          <w:sz w:val="24"/>
          <w:szCs w:val="24"/>
          <w:lang w:val="en-GB"/>
        </w:rPr>
        <w:t>-</w:t>
      </w:r>
      <w:r w:rsidR="000A66D4">
        <w:rPr>
          <w:rFonts w:ascii="Times New Roman" w:hAnsi="Times New Roman" w:cs="Times New Roman"/>
          <w:sz w:val="24"/>
          <w:szCs w:val="24"/>
          <w:lang w:val="en-GB"/>
        </w:rPr>
        <w:t>i</w:t>
      </w:r>
      <w:r w:rsidR="006E6F60">
        <w:rPr>
          <w:rFonts w:ascii="Times New Roman" w:hAnsi="Times New Roman" w:cs="Times New Roman"/>
          <w:sz w:val="24"/>
          <w:szCs w:val="24"/>
          <w:lang w:val="en-GB"/>
        </w:rPr>
        <w:t xml:space="preserve">ncome </w:t>
      </w:r>
      <w:r w:rsidR="000A66D4">
        <w:rPr>
          <w:rFonts w:ascii="Times New Roman" w:hAnsi="Times New Roman" w:cs="Times New Roman"/>
          <w:sz w:val="24"/>
          <w:szCs w:val="24"/>
          <w:lang w:val="en-GB"/>
        </w:rPr>
        <w:t>c</w:t>
      </w:r>
      <w:r w:rsidR="006E6F60">
        <w:rPr>
          <w:rFonts w:ascii="Times New Roman" w:hAnsi="Times New Roman" w:cs="Times New Roman"/>
          <w:sz w:val="24"/>
          <w:szCs w:val="24"/>
          <w:lang w:val="en-GB"/>
        </w:rPr>
        <w:t>ountries (LMIC)</w:t>
      </w:r>
      <w:r w:rsidR="003E54CA">
        <w:rPr>
          <w:rFonts w:ascii="Times New Roman" w:hAnsi="Times New Roman" w:cs="Times New Roman"/>
          <w:sz w:val="24"/>
          <w:szCs w:val="24"/>
          <w:lang w:val="en-GB"/>
        </w:rPr>
        <w:t>;</w:t>
      </w:r>
      <w:r w:rsidR="006E6F60">
        <w:rPr>
          <w:rFonts w:ascii="Times New Roman" w:hAnsi="Times New Roman" w:cs="Times New Roman"/>
          <w:sz w:val="24"/>
          <w:szCs w:val="24"/>
          <w:lang w:val="en-GB"/>
        </w:rPr>
        <w:t xml:space="preserve"> </w:t>
      </w:r>
      <w:r w:rsidR="003E54CA">
        <w:rPr>
          <w:rFonts w:ascii="Times New Roman" w:hAnsi="Times New Roman" w:cs="Times New Roman"/>
          <w:sz w:val="24"/>
          <w:szCs w:val="24"/>
          <w:lang w:val="en-GB"/>
        </w:rPr>
        <w:t>w</w:t>
      </w:r>
      <w:r w:rsidR="006E6F60">
        <w:rPr>
          <w:rFonts w:ascii="Times New Roman" w:hAnsi="Times New Roman" w:cs="Times New Roman"/>
          <w:sz w:val="24"/>
          <w:szCs w:val="24"/>
          <w:lang w:val="en-GB"/>
        </w:rPr>
        <w:t xml:space="preserve">e included </w:t>
      </w:r>
      <w:r w:rsidR="00D04CE8">
        <w:rPr>
          <w:rFonts w:ascii="Times New Roman" w:hAnsi="Times New Roman" w:cs="Times New Roman"/>
          <w:sz w:val="24"/>
          <w:szCs w:val="24"/>
          <w:lang w:val="en-GB"/>
        </w:rPr>
        <w:t>high-income countries in a seventh group</w:t>
      </w:r>
      <w:r w:rsidR="00FB6E3B">
        <w:rPr>
          <w:rFonts w:ascii="Times New Roman" w:hAnsi="Times New Roman" w:cs="Times New Roman"/>
          <w:sz w:val="24"/>
          <w:szCs w:val="24"/>
          <w:lang w:val="en-GB"/>
        </w:rPr>
        <w:t xml:space="preserve">. For simplicity we </w:t>
      </w:r>
      <w:r w:rsidR="00D04CE8">
        <w:rPr>
          <w:rFonts w:ascii="Times New Roman" w:hAnsi="Times New Roman" w:cs="Times New Roman"/>
          <w:sz w:val="24"/>
          <w:szCs w:val="24"/>
          <w:lang w:val="en-GB"/>
        </w:rPr>
        <w:t>refer</w:t>
      </w:r>
      <w:r w:rsidR="00FB6E3B">
        <w:rPr>
          <w:rFonts w:ascii="Times New Roman" w:hAnsi="Times New Roman" w:cs="Times New Roman"/>
          <w:sz w:val="24"/>
          <w:szCs w:val="24"/>
          <w:lang w:val="en-GB"/>
        </w:rPr>
        <w:t xml:space="preserve"> hereafter </w:t>
      </w:r>
      <w:r w:rsidR="00040454">
        <w:rPr>
          <w:rFonts w:ascii="Times New Roman" w:hAnsi="Times New Roman" w:cs="Times New Roman"/>
          <w:sz w:val="24"/>
          <w:szCs w:val="24"/>
          <w:lang w:val="en-GB"/>
        </w:rPr>
        <w:t xml:space="preserve">to these groupings </w:t>
      </w:r>
      <w:r w:rsidR="00D04CE8">
        <w:rPr>
          <w:rFonts w:ascii="Times New Roman" w:hAnsi="Times New Roman" w:cs="Times New Roman"/>
          <w:sz w:val="24"/>
          <w:szCs w:val="24"/>
          <w:lang w:val="en-GB"/>
        </w:rPr>
        <w:t>as regions</w:t>
      </w:r>
      <w:r w:rsidR="00FB6E3B">
        <w:rPr>
          <w:rFonts w:ascii="Times New Roman" w:hAnsi="Times New Roman" w:cs="Times New Roman"/>
          <w:sz w:val="24"/>
          <w:szCs w:val="24"/>
          <w:lang w:val="en-GB"/>
        </w:rPr>
        <w:t xml:space="preserve"> (see further detail</w:t>
      </w:r>
      <w:r w:rsidR="001578AC">
        <w:rPr>
          <w:rFonts w:ascii="Times New Roman" w:hAnsi="Times New Roman" w:cs="Times New Roman"/>
          <w:sz w:val="24"/>
          <w:szCs w:val="24"/>
          <w:lang w:val="en-GB"/>
        </w:rPr>
        <w:t xml:space="preserve">s on regions and included datasets in </w:t>
      </w:r>
      <w:r w:rsidR="006A6E19">
        <w:rPr>
          <w:rFonts w:ascii="Times New Roman" w:hAnsi="Times New Roman" w:cs="Times New Roman"/>
          <w:sz w:val="24"/>
          <w:szCs w:val="24"/>
          <w:lang w:val="en-GB"/>
        </w:rPr>
        <w:t>appendix</w:t>
      </w:r>
      <w:r w:rsidR="006F4FF4">
        <w:rPr>
          <w:rFonts w:ascii="Times New Roman" w:hAnsi="Times New Roman" w:cs="Times New Roman"/>
          <w:sz w:val="24"/>
          <w:szCs w:val="24"/>
          <w:lang w:val="en-GB"/>
        </w:rPr>
        <w:t xml:space="preserve"> </w:t>
      </w:r>
      <w:r w:rsidR="006A6E19">
        <w:rPr>
          <w:rFonts w:ascii="Times New Roman" w:hAnsi="Times New Roman" w:cs="Times New Roman"/>
          <w:sz w:val="24"/>
          <w:szCs w:val="24"/>
          <w:lang w:val="en-GB"/>
        </w:rPr>
        <w:t>Table</w:t>
      </w:r>
      <w:r w:rsidR="006F4FF4">
        <w:rPr>
          <w:rFonts w:ascii="Times New Roman" w:hAnsi="Times New Roman" w:cs="Times New Roman"/>
          <w:sz w:val="24"/>
          <w:szCs w:val="24"/>
          <w:lang w:val="en-GB"/>
        </w:rPr>
        <w:t>s</w:t>
      </w:r>
      <w:r w:rsidR="006A6E19">
        <w:rPr>
          <w:rFonts w:ascii="Times New Roman" w:hAnsi="Times New Roman" w:cs="Times New Roman"/>
          <w:sz w:val="24"/>
          <w:szCs w:val="24"/>
          <w:lang w:val="en-GB"/>
        </w:rPr>
        <w:t xml:space="preserve"> 1</w:t>
      </w:r>
      <w:r w:rsidR="006C00CE">
        <w:rPr>
          <w:rFonts w:ascii="Times New Roman" w:hAnsi="Times New Roman" w:cs="Times New Roman"/>
          <w:sz w:val="24"/>
          <w:szCs w:val="24"/>
          <w:lang w:val="en-GB"/>
        </w:rPr>
        <w:t>–</w:t>
      </w:r>
      <w:r w:rsidR="006F4FF4">
        <w:rPr>
          <w:rFonts w:ascii="Times New Roman" w:hAnsi="Times New Roman" w:cs="Times New Roman"/>
          <w:sz w:val="24"/>
          <w:szCs w:val="24"/>
          <w:lang w:val="en-GB"/>
        </w:rPr>
        <w:t>2</w:t>
      </w:r>
      <w:r w:rsidR="00D04CE8">
        <w:rPr>
          <w:rFonts w:ascii="Times New Roman" w:hAnsi="Times New Roman" w:cs="Times New Roman"/>
          <w:sz w:val="24"/>
          <w:szCs w:val="24"/>
          <w:lang w:val="en-GB"/>
        </w:rPr>
        <w:t xml:space="preserve">). </w:t>
      </w:r>
      <w:r w:rsidR="00FB4607" w:rsidRPr="00FB4607">
        <w:rPr>
          <w:rFonts w:ascii="Times New Roman" w:hAnsi="Times New Roman" w:cs="Times New Roman"/>
          <w:sz w:val="24"/>
          <w:szCs w:val="24"/>
          <w:lang w:val="en-GB"/>
        </w:rPr>
        <w:t xml:space="preserve">Our analysis focused on </w:t>
      </w:r>
      <w:r w:rsidR="009B03E8">
        <w:rPr>
          <w:rFonts w:ascii="Times New Roman" w:hAnsi="Times New Roman" w:cs="Times New Roman"/>
          <w:sz w:val="24"/>
          <w:szCs w:val="24"/>
          <w:lang w:val="en-GB"/>
        </w:rPr>
        <w:t xml:space="preserve">PSC and </w:t>
      </w:r>
      <w:r w:rsidR="006E6F60">
        <w:rPr>
          <w:rFonts w:ascii="Times New Roman" w:hAnsi="Times New Roman" w:cs="Times New Roman"/>
          <w:sz w:val="24"/>
          <w:szCs w:val="24"/>
          <w:lang w:val="en-GB"/>
        </w:rPr>
        <w:t xml:space="preserve">NPW </w:t>
      </w:r>
      <w:r w:rsidR="00FB4607" w:rsidRPr="00FB4607">
        <w:rPr>
          <w:rFonts w:ascii="Times New Roman" w:hAnsi="Times New Roman" w:cs="Times New Roman"/>
          <w:sz w:val="24"/>
          <w:szCs w:val="24"/>
          <w:lang w:val="en-GB"/>
        </w:rPr>
        <w:t xml:space="preserve">because </w:t>
      </w:r>
      <w:r w:rsidR="00281BDE">
        <w:rPr>
          <w:rFonts w:ascii="Times New Roman" w:hAnsi="Times New Roman" w:cs="Times New Roman"/>
          <w:sz w:val="24"/>
          <w:szCs w:val="24"/>
          <w:lang w:val="en-GB"/>
        </w:rPr>
        <w:t xml:space="preserve">more </w:t>
      </w:r>
      <w:r w:rsidR="00FB4607" w:rsidRPr="00FB4607">
        <w:rPr>
          <w:rFonts w:ascii="Times New Roman" w:hAnsi="Times New Roman" w:cs="Times New Roman"/>
          <w:sz w:val="24"/>
          <w:szCs w:val="24"/>
          <w:lang w:val="en-GB"/>
        </w:rPr>
        <w:t xml:space="preserve">data on micronutrient status </w:t>
      </w:r>
      <w:r w:rsidR="00281BDE">
        <w:rPr>
          <w:rFonts w:ascii="Times New Roman" w:hAnsi="Times New Roman" w:cs="Times New Roman"/>
          <w:sz w:val="24"/>
          <w:szCs w:val="24"/>
          <w:lang w:val="en-GB"/>
        </w:rPr>
        <w:t>are available</w:t>
      </w:r>
      <w:r w:rsidR="00FB4607" w:rsidRPr="00FB4607">
        <w:rPr>
          <w:rFonts w:ascii="Times New Roman" w:hAnsi="Times New Roman" w:cs="Times New Roman"/>
          <w:sz w:val="24"/>
          <w:szCs w:val="24"/>
          <w:lang w:val="en-GB"/>
        </w:rPr>
        <w:t xml:space="preserve"> for </w:t>
      </w:r>
      <w:r w:rsidR="00414188">
        <w:rPr>
          <w:rFonts w:ascii="Times New Roman" w:hAnsi="Times New Roman" w:cs="Times New Roman"/>
          <w:sz w:val="24"/>
          <w:szCs w:val="24"/>
          <w:lang w:val="en-GB"/>
        </w:rPr>
        <w:t>these groups</w:t>
      </w:r>
      <w:r w:rsidR="00FB4607" w:rsidRPr="00FB4607">
        <w:rPr>
          <w:rFonts w:ascii="Times New Roman" w:hAnsi="Times New Roman" w:cs="Times New Roman"/>
          <w:sz w:val="24"/>
          <w:szCs w:val="24"/>
          <w:lang w:val="en-GB"/>
        </w:rPr>
        <w:t xml:space="preserve">, and previous evidence suggests </w:t>
      </w:r>
      <w:r w:rsidR="006E6F60" w:rsidRPr="00FB4607">
        <w:rPr>
          <w:rFonts w:ascii="Times New Roman" w:hAnsi="Times New Roman" w:cs="Times New Roman"/>
          <w:sz w:val="24"/>
          <w:szCs w:val="24"/>
          <w:lang w:val="en-GB"/>
        </w:rPr>
        <w:t>th</w:t>
      </w:r>
      <w:r w:rsidR="006E6F60">
        <w:rPr>
          <w:rFonts w:ascii="Times New Roman" w:hAnsi="Times New Roman" w:cs="Times New Roman"/>
          <w:sz w:val="24"/>
          <w:szCs w:val="24"/>
          <w:lang w:val="en-GB"/>
        </w:rPr>
        <w:t>ese</w:t>
      </w:r>
      <w:r w:rsidR="006E6F60" w:rsidRPr="00FB4607">
        <w:rPr>
          <w:rFonts w:ascii="Times New Roman" w:hAnsi="Times New Roman" w:cs="Times New Roman"/>
          <w:sz w:val="24"/>
          <w:szCs w:val="24"/>
          <w:lang w:val="en-GB"/>
        </w:rPr>
        <w:t xml:space="preserve"> </w:t>
      </w:r>
      <w:r w:rsidR="00FB4607" w:rsidRPr="00FB4607">
        <w:rPr>
          <w:rFonts w:ascii="Times New Roman" w:hAnsi="Times New Roman" w:cs="Times New Roman"/>
          <w:sz w:val="24"/>
          <w:szCs w:val="24"/>
          <w:lang w:val="en-GB"/>
        </w:rPr>
        <w:t>groups bear high burden</w:t>
      </w:r>
      <w:r w:rsidR="00BD00C2">
        <w:rPr>
          <w:rFonts w:ascii="Times New Roman" w:hAnsi="Times New Roman" w:cs="Times New Roman"/>
          <w:sz w:val="24"/>
          <w:szCs w:val="24"/>
          <w:lang w:val="en-GB"/>
        </w:rPr>
        <w:t>s</w:t>
      </w:r>
      <w:r w:rsidR="00FB4607" w:rsidRPr="00FB4607">
        <w:rPr>
          <w:rFonts w:ascii="Times New Roman" w:hAnsi="Times New Roman" w:cs="Times New Roman"/>
          <w:sz w:val="24"/>
          <w:szCs w:val="24"/>
          <w:lang w:val="en-GB"/>
        </w:rPr>
        <w:t xml:space="preserve"> of deficiency.</w:t>
      </w:r>
      <w:r w:rsidR="00402955" w:rsidRPr="00D27405">
        <w:rPr>
          <w:rFonts w:ascii="Times New Roman" w:hAnsi="Times New Roman" w:cs="Times New Roman"/>
          <w:sz w:val="24"/>
          <w:szCs w:val="24"/>
          <w:lang w:val="en-GB"/>
        </w:rPr>
        <w:fldChar w:fldCharType="begin"/>
      </w:r>
      <w:r w:rsidR="001D108C">
        <w:rPr>
          <w:rFonts w:ascii="Times New Roman" w:hAnsi="Times New Roman" w:cs="Times New Roman"/>
          <w:sz w:val="24"/>
          <w:szCs w:val="24"/>
          <w:lang w:val="en-GB"/>
        </w:rPr>
        <w:instrText xml:space="preserve"> ADDIN ZOTERO_ITEM CSL_CITATION {"citationID":"nkuS3iGj","properties":{"formattedCitation":"\\super 14\\nosupersub{}","plainCitation":"14","noteIndex":0},"citationItems":[{"id":3202,"uris":["http://zotero.org/users/2850877/items/E9S5CUZZ"],"uri":["http://zotero.org/users/2850877/items/E9S5CUZZ"],"itemData":{"id":3202,"type":"article-journal","abstract":"Micronutrient (MN) deficiencies can produce a broad array of adverse health and functional outcomes. Young, preschool children and women of reproductive age in low- and middle-income countries are most affected by these deficiencies, but the true magnitude of the problems and their related disease burdens remain uncertain because of the dearth of reliable biomarker information on population MN status. The reasons for this lack of information include a limited understanding by policy makers of the importance of MNs for human health and the usefulness of information on MN status for program planning and management; insufficient professional capacity to advocate for this information and design and implement related MN status surveys; high costs and logistical constraints involved in specimen collection, transport, storage, and laboratory analyses; poor access to adequately equipped and staffed laboratories to complete the analyses reliably; and inadequate capacity to interpret and apply this information for public health program design and evaluation. This report describes the current situation with regard to data availability, the reasons for the lack of relevant information, and the steps needed to correct this situation, including implementation of a multi-component MN Data Generation Initiative to advocate for critical data collection and provide related technical assistance, laboratory services, professional training, and financial support.","container-title":"The American Journal of Clinical Nutrition","DOI":"10.1093/ajcn/nqab173","ISSN":"0002-9165","issue":"3","journalAbbreviation":"The American Journal of Clinical Nutrition","page":"862-870","source":"Silverchair","title":"Increasing the availability and utilization of reliable data on population micronutrient (MN) status globally: the MN Data Generation Initiative","title-short":"Increasing the availability and utilization of reliable data on population micronutrient (MN) status globally","volume":"114","author":[{"family":"Brown","given":"Kenneth H"},{"family":"Moore","given":"Sophie E"},{"family":"Hess","given":"Sonja Y"},{"family":"McDonald","given":"Christine M"},{"family":"Jones","given":"Kerry S"},{"family":"Meadows","given":"Sarah R"},{"family":"Manger","given":"Mari S"},{"family":"Coates","given":"Jennifer"},{"family":"Alayon","given":"Silvia"},{"family":"Osendarp","given":"Saskia J M"}],"issued":{"date-parts":[["2021",9,1]]}}}],"schema":"https://github.com/citation-style-language/schema/raw/master/csl-citation.json"} </w:instrText>
      </w:r>
      <w:r w:rsidR="00402955" w:rsidRPr="00D27405">
        <w:rPr>
          <w:rFonts w:ascii="Times New Roman" w:hAnsi="Times New Roman" w:cs="Times New Roman"/>
          <w:sz w:val="24"/>
          <w:szCs w:val="24"/>
          <w:lang w:val="en-GB"/>
        </w:rPr>
        <w:fldChar w:fldCharType="separate"/>
      </w:r>
      <w:r w:rsidR="00402955" w:rsidRPr="00A20B24">
        <w:rPr>
          <w:rFonts w:ascii="Times New Roman" w:hAnsi="Times New Roman" w:cs="Times New Roman"/>
          <w:color w:val="000000"/>
          <w:sz w:val="24"/>
          <w:vertAlign w:val="superscript"/>
        </w:rPr>
        <w:t>14</w:t>
      </w:r>
      <w:r w:rsidR="00402955" w:rsidRPr="00D27405">
        <w:rPr>
          <w:rFonts w:ascii="Times New Roman" w:hAnsi="Times New Roman" w:cs="Times New Roman"/>
          <w:sz w:val="24"/>
          <w:szCs w:val="24"/>
        </w:rPr>
        <w:fldChar w:fldCharType="end"/>
      </w:r>
    </w:p>
    <w:p w14:paraId="46096F5F" w14:textId="77777777" w:rsidR="000F783C" w:rsidRDefault="000F783C" w:rsidP="00FB4607">
      <w:pPr>
        <w:rPr>
          <w:rFonts w:ascii="Times New Roman" w:hAnsi="Times New Roman" w:cs="Times New Roman"/>
          <w:sz w:val="24"/>
          <w:szCs w:val="24"/>
          <w:lang w:val="en-GB"/>
        </w:rPr>
      </w:pPr>
    </w:p>
    <w:p w14:paraId="7398896A" w14:textId="5F4A7222" w:rsidR="00FB4607" w:rsidRDefault="00FB4607" w:rsidP="00FB4607">
      <w:pPr>
        <w:rPr>
          <w:rFonts w:ascii="Times New Roman" w:hAnsi="Times New Roman" w:cs="Times New Roman"/>
          <w:sz w:val="24"/>
          <w:szCs w:val="24"/>
          <w:lang w:val="en-GB"/>
        </w:rPr>
      </w:pPr>
      <w:r w:rsidRPr="00FB4607">
        <w:rPr>
          <w:rFonts w:ascii="Times New Roman" w:hAnsi="Times New Roman" w:cs="Times New Roman"/>
          <w:sz w:val="24"/>
          <w:szCs w:val="24"/>
          <w:lang w:val="en-GB"/>
        </w:rPr>
        <w:t>Our analysis followed seven steps:</w:t>
      </w:r>
    </w:p>
    <w:p w14:paraId="77F368B7" w14:textId="77777777" w:rsidR="006E6F60" w:rsidRPr="00FB4607" w:rsidRDefault="006E6F60" w:rsidP="00FB4607">
      <w:pPr>
        <w:rPr>
          <w:rFonts w:ascii="Times New Roman" w:hAnsi="Times New Roman" w:cs="Times New Roman"/>
          <w:sz w:val="24"/>
          <w:szCs w:val="24"/>
          <w:lang w:val="en-GB"/>
        </w:rPr>
      </w:pPr>
    </w:p>
    <w:p w14:paraId="3DDCA96F" w14:textId="62A1D5A0" w:rsidR="00FB4607" w:rsidRPr="00CB6FCA" w:rsidRDefault="00FB4607" w:rsidP="00CB6FCA">
      <w:pPr>
        <w:pStyle w:val="ListParagraph"/>
        <w:numPr>
          <w:ilvl w:val="0"/>
          <w:numId w:val="19"/>
        </w:numPr>
        <w:rPr>
          <w:rFonts w:ascii="Times New Roman" w:hAnsi="Times New Roman" w:cs="Times New Roman"/>
          <w:sz w:val="24"/>
          <w:szCs w:val="24"/>
          <w:lang w:val="en-GB"/>
        </w:rPr>
      </w:pPr>
      <w:r w:rsidRPr="00730C23">
        <w:rPr>
          <w:rFonts w:ascii="Times New Roman" w:hAnsi="Times New Roman" w:cs="Times New Roman"/>
          <w:sz w:val="24"/>
          <w:szCs w:val="24"/>
          <w:lang w:val="en-GB"/>
        </w:rPr>
        <w:t xml:space="preserve">Establish </w:t>
      </w:r>
      <w:r w:rsidR="00D2250F" w:rsidRPr="00730C23">
        <w:rPr>
          <w:rFonts w:ascii="Times New Roman" w:hAnsi="Times New Roman" w:cs="Times New Roman"/>
          <w:sz w:val="24"/>
          <w:szCs w:val="24"/>
          <w:lang w:val="en-GB"/>
        </w:rPr>
        <w:t>consensus on</w:t>
      </w:r>
      <w:r w:rsidRPr="00730C23">
        <w:rPr>
          <w:rFonts w:ascii="Times New Roman" w:hAnsi="Times New Roman" w:cs="Times New Roman"/>
          <w:sz w:val="24"/>
          <w:szCs w:val="24"/>
          <w:lang w:val="en-GB"/>
        </w:rPr>
        <w:t xml:space="preserve"> a set of sentinel micronutrients</w:t>
      </w:r>
      <w:r w:rsidR="00F27D02" w:rsidRPr="00730C23">
        <w:rPr>
          <w:rFonts w:ascii="Times New Roman" w:hAnsi="Times New Roman" w:cs="Times New Roman"/>
          <w:sz w:val="24"/>
          <w:szCs w:val="24"/>
          <w:lang w:val="en-GB"/>
        </w:rPr>
        <w:t xml:space="preserve">, </w:t>
      </w:r>
      <w:r w:rsidR="008E746C" w:rsidRPr="00730C23">
        <w:rPr>
          <w:rFonts w:ascii="Times New Roman" w:hAnsi="Times New Roman" w:cs="Times New Roman"/>
          <w:sz w:val="24"/>
          <w:szCs w:val="24"/>
          <w:lang w:val="en-GB"/>
        </w:rPr>
        <w:t xml:space="preserve">and their biomarkers </w:t>
      </w:r>
      <w:r w:rsidRPr="00730C23">
        <w:rPr>
          <w:rFonts w:ascii="Times New Roman" w:hAnsi="Times New Roman" w:cs="Times New Roman"/>
          <w:sz w:val="24"/>
          <w:szCs w:val="24"/>
          <w:lang w:val="en-GB"/>
        </w:rPr>
        <w:t>that should be included in the analysis</w:t>
      </w:r>
      <w:r w:rsidRPr="00CB6FCA">
        <w:rPr>
          <w:rFonts w:ascii="Times New Roman" w:hAnsi="Times New Roman" w:cs="Times New Roman"/>
          <w:sz w:val="24"/>
          <w:szCs w:val="24"/>
          <w:lang w:val="en-GB"/>
        </w:rPr>
        <w:t>;</w:t>
      </w:r>
    </w:p>
    <w:p w14:paraId="555CDFF7" w14:textId="2D2A447B" w:rsidR="00FB4607" w:rsidRPr="00066E6D" w:rsidRDefault="00FB4607" w:rsidP="00066E6D">
      <w:pPr>
        <w:pStyle w:val="ListParagraph"/>
        <w:numPr>
          <w:ilvl w:val="0"/>
          <w:numId w:val="19"/>
        </w:numPr>
        <w:rPr>
          <w:rFonts w:ascii="Times New Roman" w:hAnsi="Times New Roman" w:cs="Times New Roman"/>
          <w:sz w:val="24"/>
          <w:szCs w:val="24"/>
          <w:lang w:val="en-GB"/>
        </w:rPr>
      </w:pPr>
      <w:r w:rsidRPr="00066E6D">
        <w:rPr>
          <w:rFonts w:ascii="Times New Roman" w:hAnsi="Times New Roman" w:cs="Times New Roman"/>
          <w:sz w:val="24"/>
          <w:szCs w:val="24"/>
          <w:lang w:val="en-GB"/>
        </w:rPr>
        <w:t>Identif</w:t>
      </w:r>
      <w:r w:rsidR="00A52D67">
        <w:rPr>
          <w:rFonts w:ascii="Times New Roman" w:hAnsi="Times New Roman" w:cs="Times New Roman"/>
          <w:sz w:val="24"/>
          <w:szCs w:val="24"/>
          <w:lang w:val="en-GB"/>
        </w:rPr>
        <w:t>y</w:t>
      </w:r>
      <w:r w:rsidRPr="00066E6D">
        <w:rPr>
          <w:rFonts w:ascii="Times New Roman" w:hAnsi="Times New Roman" w:cs="Times New Roman"/>
          <w:sz w:val="24"/>
          <w:szCs w:val="24"/>
          <w:lang w:val="en-GB"/>
        </w:rPr>
        <w:t>,</w:t>
      </w:r>
      <w:r w:rsidR="00A52D67">
        <w:rPr>
          <w:rFonts w:ascii="Times New Roman" w:hAnsi="Times New Roman" w:cs="Times New Roman"/>
          <w:sz w:val="24"/>
          <w:szCs w:val="24"/>
          <w:lang w:val="en-GB"/>
        </w:rPr>
        <w:t xml:space="preserve"> review,</w:t>
      </w:r>
      <w:r w:rsidRPr="00066E6D">
        <w:rPr>
          <w:rFonts w:ascii="Times New Roman" w:hAnsi="Times New Roman" w:cs="Times New Roman"/>
          <w:sz w:val="24"/>
          <w:szCs w:val="24"/>
          <w:lang w:val="en-GB"/>
        </w:rPr>
        <w:t xml:space="preserve"> access</w:t>
      </w:r>
      <w:r w:rsidR="00AB750A">
        <w:rPr>
          <w:rFonts w:ascii="Times New Roman" w:hAnsi="Times New Roman" w:cs="Times New Roman"/>
          <w:sz w:val="24"/>
          <w:szCs w:val="24"/>
          <w:lang w:val="en-GB"/>
        </w:rPr>
        <w:t>,</w:t>
      </w:r>
      <w:r w:rsidRPr="00066E6D">
        <w:rPr>
          <w:rFonts w:ascii="Times New Roman" w:hAnsi="Times New Roman" w:cs="Times New Roman"/>
          <w:sz w:val="24"/>
          <w:szCs w:val="24"/>
          <w:lang w:val="en-GB"/>
        </w:rPr>
        <w:t xml:space="preserve"> and </w:t>
      </w:r>
      <w:r w:rsidR="00506B4B">
        <w:rPr>
          <w:rFonts w:ascii="Times New Roman" w:hAnsi="Times New Roman" w:cs="Times New Roman"/>
          <w:sz w:val="24"/>
          <w:szCs w:val="24"/>
          <w:lang w:val="en-GB"/>
        </w:rPr>
        <w:t xml:space="preserve">assess </w:t>
      </w:r>
      <w:r w:rsidR="00B436DC">
        <w:rPr>
          <w:rFonts w:ascii="Times New Roman" w:hAnsi="Times New Roman" w:cs="Times New Roman"/>
          <w:sz w:val="24"/>
          <w:szCs w:val="24"/>
          <w:lang w:val="en-GB"/>
        </w:rPr>
        <w:t>population-based</w:t>
      </w:r>
      <w:r w:rsidRPr="00066E6D">
        <w:rPr>
          <w:rFonts w:ascii="Times New Roman" w:hAnsi="Times New Roman" w:cs="Times New Roman"/>
          <w:sz w:val="24"/>
          <w:szCs w:val="24"/>
          <w:lang w:val="en-GB"/>
        </w:rPr>
        <w:t xml:space="preserve"> individual-level biomarker data</w:t>
      </w:r>
      <w:r w:rsidR="00B436DC">
        <w:rPr>
          <w:rFonts w:ascii="Times New Roman" w:hAnsi="Times New Roman" w:cs="Times New Roman"/>
          <w:sz w:val="24"/>
          <w:szCs w:val="24"/>
          <w:lang w:val="en-GB"/>
        </w:rPr>
        <w:t xml:space="preserve">sets </w:t>
      </w:r>
      <w:r w:rsidRPr="00066E6D">
        <w:rPr>
          <w:rFonts w:ascii="Times New Roman" w:hAnsi="Times New Roman" w:cs="Times New Roman"/>
          <w:sz w:val="24"/>
          <w:szCs w:val="24"/>
          <w:lang w:val="en-GB"/>
        </w:rPr>
        <w:t xml:space="preserve">containing at least two of </w:t>
      </w:r>
      <w:r w:rsidR="00B436DC">
        <w:rPr>
          <w:rFonts w:ascii="Times New Roman" w:hAnsi="Times New Roman" w:cs="Times New Roman"/>
          <w:sz w:val="24"/>
          <w:szCs w:val="24"/>
          <w:lang w:val="en-GB"/>
        </w:rPr>
        <w:t xml:space="preserve">the </w:t>
      </w:r>
      <w:r w:rsidRPr="00066E6D">
        <w:rPr>
          <w:rFonts w:ascii="Times New Roman" w:hAnsi="Times New Roman" w:cs="Times New Roman"/>
          <w:sz w:val="24"/>
          <w:szCs w:val="24"/>
          <w:lang w:val="en-GB"/>
        </w:rPr>
        <w:t>six sentinel micronutrients;</w:t>
      </w:r>
    </w:p>
    <w:p w14:paraId="6708DBFF" w14:textId="2C7AAE52" w:rsidR="00FB4607" w:rsidRPr="00066E6D" w:rsidRDefault="00FB4607" w:rsidP="00066E6D">
      <w:pPr>
        <w:pStyle w:val="ListParagraph"/>
        <w:numPr>
          <w:ilvl w:val="0"/>
          <w:numId w:val="19"/>
        </w:numPr>
        <w:rPr>
          <w:rFonts w:ascii="Times New Roman" w:hAnsi="Times New Roman" w:cs="Times New Roman"/>
          <w:sz w:val="24"/>
          <w:szCs w:val="24"/>
          <w:lang w:val="en-GB"/>
        </w:rPr>
      </w:pPr>
      <w:r w:rsidRPr="00066E6D">
        <w:rPr>
          <w:rFonts w:ascii="Times New Roman" w:hAnsi="Times New Roman" w:cs="Times New Roman"/>
          <w:sz w:val="24"/>
          <w:szCs w:val="24"/>
          <w:lang w:val="en-GB"/>
        </w:rPr>
        <w:t>Adjust</w:t>
      </w:r>
      <w:r w:rsidR="000645C3">
        <w:rPr>
          <w:rFonts w:ascii="Times New Roman" w:hAnsi="Times New Roman" w:cs="Times New Roman"/>
          <w:sz w:val="24"/>
          <w:szCs w:val="24"/>
          <w:lang w:val="en-GB"/>
        </w:rPr>
        <w:t xml:space="preserve"> the</w:t>
      </w:r>
      <w:r w:rsidRPr="00066E6D">
        <w:rPr>
          <w:rFonts w:ascii="Times New Roman" w:hAnsi="Times New Roman" w:cs="Times New Roman"/>
          <w:sz w:val="24"/>
          <w:szCs w:val="24"/>
          <w:lang w:val="en-GB"/>
        </w:rPr>
        <w:t xml:space="preserve"> </w:t>
      </w:r>
      <w:r w:rsidR="005201FD">
        <w:rPr>
          <w:rFonts w:ascii="Times New Roman" w:hAnsi="Times New Roman" w:cs="Times New Roman"/>
          <w:sz w:val="24"/>
          <w:szCs w:val="24"/>
          <w:lang w:val="en-GB"/>
        </w:rPr>
        <w:t>micronutrient</w:t>
      </w:r>
      <w:r w:rsidR="003B1DA7">
        <w:rPr>
          <w:rFonts w:ascii="Times New Roman" w:hAnsi="Times New Roman" w:cs="Times New Roman"/>
          <w:sz w:val="24"/>
          <w:szCs w:val="24"/>
          <w:lang w:val="en-GB"/>
        </w:rPr>
        <w:t xml:space="preserve"> status biomarker</w:t>
      </w:r>
      <w:r w:rsidR="00251B9B">
        <w:rPr>
          <w:rFonts w:ascii="Times New Roman" w:hAnsi="Times New Roman" w:cs="Times New Roman"/>
          <w:sz w:val="24"/>
          <w:szCs w:val="24"/>
          <w:lang w:val="en-GB"/>
        </w:rPr>
        <w:t xml:space="preserve"> </w:t>
      </w:r>
      <w:r w:rsidRPr="00066E6D">
        <w:rPr>
          <w:rFonts w:ascii="Times New Roman" w:hAnsi="Times New Roman" w:cs="Times New Roman"/>
          <w:sz w:val="24"/>
          <w:szCs w:val="24"/>
          <w:lang w:val="en-GB"/>
        </w:rPr>
        <w:t>concentrations for inflammation</w:t>
      </w:r>
      <w:r w:rsidR="00C62E9C">
        <w:rPr>
          <w:rFonts w:ascii="Times New Roman" w:hAnsi="Times New Roman" w:cs="Times New Roman"/>
          <w:sz w:val="24"/>
          <w:szCs w:val="24"/>
          <w:lang w:val="en-GB"/>
        </w:rPr>
        <w:t>, where applicable,</w:t>
      </w:r>
      <w:r w:rsidRPr="00066E6D">
        <w:rPr>
          <w:rFonts w:ascii="Times New Roman" w:hAnsi="Times New Roman" w:cs="Times New Roman"/>
          <w:sz w:val="24"/>
          <w:szCs w:val="24"/>
          <w:lang w:val="en-GB"/>
        </w:rPr>
        <w:t xml:space="preserve"> using the </w:t>
      </w:r>
      <w:r w:rsidR="00F62B0D" w:rsidRPr="00F62B0D">
        <w:rPr>
          <w:rFonts w:ascii="Times New Roman" w:hAnsi="Times New Roman" w:cs="Times New Roman"/>
          <w:sz w:val="24"/>
          <w:szCs w:val="24"/>
          <w:lang w:val="en-GB"/>
        </w:rPr>
        <w:t xml:space="preserve">Biomarkers Reflecting Inflammation and Nutritional Determinants of </w:t>
      </w:r>
      <w:proofErr w:type="spellStart"/>
      <w:r w:rsidR="00F62B0D" w:rsidRPr="00F62B0D">
        <w:rPr>
          <w:rFonts w:ascii="Times New Roman" w:hAnsi="Times New Roman" w:cs="Times New Roman"/>
          <w:sz w:val="24"/>
          <w:szCs w:val="24"/>
          <w:lang w:val="en-GB"/>
        </w:rPr>
        <w:t>Anemia</w:t>
      </w:r>
      <w:proofErr w:type="spellEnd"/>
      <w:r w:rsidR="00F62B0D" w:rsidRPr="00F62B0D">
        <w:rPr>
          <w:rFonts w:ascii="Times New Roman" w:hAnsi="Times New Roman" w:cs="Times New Roman"/>
          <w:sz w:val="24"/>
          <w:szCs w:val="24"/>
          <w:lang w:val="en-GB"/>
        </w:rPr>
        <w:t xml:space="preserve"> </w:t>
      </w:r>
      <w:r w:rsidR="00F62B0D">
        <w:rPr>
          <w:rFonts w:ascii="Times New Roman" w:hAnsi="Times New Roman" w:cs="Times New Roman"/>
          <w:sz w:val="24"/>
          <w:szCs w:val="24"/>
          <w:lang w:val="en-GB"/>
        </w:rPr>
        <w:t>(</w:t>
      </w:r>
      <w:r w:rsidRPr="00066E6D">
        <w:rPr>
          <w:rFonts w:ascii="Times New Roman" w:hAnsi="Times New Roman" w:cs="Times New Roman"/>
          <w:sz w:val="24"/>
          <w:szCs w:val="24"/>
          <w:lang w:val="en-GB"/>
        </w:rPr>
        <w:t>BRINDA</w:t>
      </w:r>
      <w:r w:rsidR="00F62B0D">
        <w:rPr>
          <w:rFonts w:ascii="Times New Roman" w:hAnsi="Times New Roman" w:cs="Times New Roman"/>
          <w:sz w:val="24"/>
          <w:szCs w:val="24"/>
          <w:lang w:val="en-GB"/>
        </w:rPr>
        <w:t>)</w:t>
      </w:r>
      <w:r w:rsidRPr="00066E6D">
        <w:rPr>
          <w:rFonts w:ascii="Times New Roman" w:hAnsi="Times New Roman" w:cs="Times New Roman"/>
          <w:sz w:val="24"/>
          <w:szCs w:val="24"/>
          <w:lang w:val="en-GB"/>
        </w:rPr>
        <w:t xml:space="preserve"> approach and appl</w:t>
      </w:r>
      <w:r w:rsidR="004875F3">
        <w:rPr>
          <w:rFonts w:ascii="Times New Roman" w:hAnsi="Times New Roman" w:cs="Times New Roman"/>
          <w:sz w:val="24"/>
          <w:szCs w:val="24"/>
          <w:lang w:val="en-GB"/>
        </w:rPr>
        <w:t>y</w:t>
      </w:r>
      <w:r w:rsidRPr="00066E6D">
        <w:rPr>
          <w:rFonts w:ascii="Times New Roman" w:hAnsi="Times New Roman" w:cs="Times New Roman"/>
          <w:sz w:val="24"/>
          <w:szCs w:val="24"/>
          <w:lang w:val="en-GB"/>
        </w:rPr>
        <w:t xml:space="preserve"> thresholds to identify individuals with </w:t>
      </w:r>
      <w:r w:rsidR="00D86CFC">
        <w:rPr>
          <w:rFonts w:ascii="Times New Roman" w:hAnsi="Times New Roman" w:cs="Times New Roman"/>
          <w:sz w:val="24"/>
          <w:szCs w:val="24"/>
          <w:lang w:val="en-GB"/>
        </w:rPr>
        <w:t>deficiencies in each micronutrient</w:t>
      </w:r>
      <w:r w:rsidRPr="00066E6D">
        <w:rPr>
          <w:rFonts w:ascii="Times New Roman" w:hAnsi="Times New Roman" w:cs="Times New Roman"/>
          <w:sz w:val="24"/>
          <w:szCs w:val="24"/>
          <w:lang w:val="en-GB"/>
        </w:rPr>
        <w:t>;</w:t>
      </w:r>
    </w:p>
    <w:p w14:paraId="59ECBA99" w14:textId="0983FADE" w:rsidR="00FB4607" w:rsidRPr="00066E6D" w:rsidRDefault="00FB4607" w:rsidP="00066E6D">
      <w:pPr>
        <w:pStyle w:val="ListParagraph"/>
        <w:numPr>
          <w:ilvl w:val="0"/>
          <w:numId w:val="19"/>
        </w:numPr>
        <w:rPr>
          <w:rFonts w:ascii="Times New Roman" w:hAnsi="Times New Roman" w:cs="Times New Roman"/>
          <w:sz w:val="24"/>
          <w:szCs w:val="24"/>
          <w:lang w:val="en-GB"/>
        </w:rPr>
      </w:pPr>
      <w:r w:rsidRPr="00066E6D">
        <w:rPr>
          <w:rFonts w:ascii="Times New Roman" w:hAnsi="Times New Roman" w:cs="Times New Roman"/>
          <w:sz w:val="24"/>
          <w:szCs w:val="24"/>
          <w:lang w:val="en-GB"/>
        </w:rPr>
        <w:t>Identif</w:t>
      </w:r>
      <w:r w:rsidR="00F821C3">
        <w:rPr>
          <w:rFonts w:ascii="Times New Roman" w:hAnsi="Times New Roman" w:cs="Times New Roman"/>
          <w:sz w:val="24"/>
          <w:szCs w:val="24"/>
          <w:lang w:val="en-GB"/>
        </w:rPr>
        <w:t>y</w:t>
      </w:r>
      <w:r w:rsidRPr="00066E6D">
        <w:rPr>
          <w:rFonts w:ascii="Times New Roman" w:hAnsi="Times New Roman" w:cs="Times New Roman"/>
          <w:sz w:val="24"/>
          <w:szCs w:val="24"/>
          <w:lang w:val="en-GB"/>
        </w:rPr>
        <w:t xml:space="preserve"> three core micronutrients for </w:t>
      </w:r>
      <w:r w:rsidR="00BC4D40">
        <w:rPr>
          <w:rFonts w:ascii="Times New Roman" w:hAnsi="Times New Roman" w:cs="Times New Roman"/>
          <w:sz w:val="24"/>
          <w:szCs w:val="24"/>
          <w:lang w:val="en-GB"/>
        </w:rPr>
        <w:t xml:space="preserve">PSC and </w:t>
      </w:r>
      <w:r w:rsidR="00057C73">
        <w:rPr>
          <w:rFonts w:ascii="Times New Roman" w:hAnsi="Times New Roman" w:cs="Times New Roman"/>
          <w:sz w:val="24"/>
          <w:szCs w:val="24"/>
          <w:lang w:val="en-GB"/>
        </w:rPr>
        <w:t>NPW</w:t>
      </w:r>
      <w:r w:rsidRPr="00066E6D">
        <w:rPr>
          <w:rFonts w:ascii="Times New Roman" w:hAnsi="Times New Roman" w:cs="Times New Roman"/>
          <w:sz w:val="24"/>
          <w:szCs w:val="24"/>
          <w:lang w:val="en-GB"/>
        </w:rPr>
        <w:t>;</w:t>
      </w:r>
    </w:p>
    <w:p w14:paraId="69BF6E2D" w14:textId="26E2FBC2" w:rsidR="00FB4607" w:rsidRPr="00066E6D" w:rsidRDefault="00BA200E" w:rsidP="00066E6D">
      <w:pPr>
        <w:pStyle w:val="ListParagraph"/>
        <w:numPr>
          <w:ilvl w:val="0"/>
          <w:numId w:val="19"/>
        </w:numPr>
        <w:rPr>
          <w:rFonts w:ascii="Times New Roman" w:hAnsi="Times New Roman" w:cs="Times New Roman"/>
          <w:sz w:val="24"/>
          <w:szCs w:val="24"/>
          <w:lang w:val="en-GB"/>
        </w:rPr>
      </w:pPr>
      <w:r>
        <w:rPr>
          <w:rFonts w:ascii="Times New Roman" w:hAnsi="Times New Roman" w:cs="Times New Roman"/>
          <w:sz w:val="24"/>
          <w:szCs w:val="24"/>
          <w:lang w:val="en-GB"/>
        </w:rPr>
        <w:t xml:space="preserve">Include in the final analysis </w:t>
      </w:r>
      <w:r w:rsidR="00FB4607" w:rsidRPr="00066E6D">
        <w:rPr>
          <w:rFonts w:ascii="Times New Roman" w:hAnsi="Times New Roman" w:cs="Times New Roman"/>
          <w:sz w:val="24"/>
          <w:szCs w:val="24"/>
          <w:lang w:val="en-GB"/>
        </w:rPr>
        <w:t xml:space="preserve">data sources identified in step 2 that measure at least </w:t>
      </w:r>
      <w:r w:rsidR="00D335F1">
        <w:rPr>
          <w:rFonts w:ascii="Times New Roman" w:hAnsi="Times New Roman" w:cs="Times New Roman"/>
          <w:sz w:val="24"/>
          <w:szCs w:val="24"/>
          <w:lang w:val="en-GB"/>
        </w:rPr>
        <w:t>two</w:t>
      </w:r>
      <w:r w:rsidR="00FB4607" w:rsidRPr="00066E6D">
        <w:rPr>
          <w:rFonts w:ascii="Times New Roman" w:hAnsi="Times New Roman" w:cs="Times New Roman"/>
          <w:sz w:val="24"/>
          <w:szCs w:val="24"/>
          <w:lang w:val="en-GB"/>
        </w:rPr>
        <w:t xml:space="preserve"> of </w:t>
      </w:r>
      <w:r w:rsidR="001B6B82">
        <w:rPr>
          <w:rFonts w:ascii="Times New Roman" w:hAnsi="Times New Roman" w:cs="Times New Roman"/>
          <w:sz w:val="24"/>
          <w:szCs w:val="24"/>
          <w:lang w:val="en-GB"/>
        </w:rPr>
        <w:t xml:space="preserve">the </w:t>
      </w:r>
      <w:r w:rsidR="00D335F1">
        <w:rPr>
          <w:rFonts w:ascii="Times New Roman" w:hAnsi="Times New Roman" w:cs="Times New Roman"/>
          <w:sz w:val="24"/>
          <w:szCs w:val="24"/>
          <w:lang w:val="en-GB"/>
        </w:rPr>
        <w:t>three</w:t>
      </w:r>
      <w:r w:rsidR="00FB4607" w:rsidRPr="00066E6D">
        <w:rPr>
          <w:rFonts w:ascii="Times New Roman" w:hAnsi="Times New Roman" w:cs="Times New Roman"/>
          <w:sz w:val="24"/>
          <w:szCs w:val="24"/>
          <w:lang w:val="en-GB"/>
        </w:rPr>
        <w:t xml:space="preserve"> core micronutrients</w:t>
      </w:r>
      <w:r w:rsidR="00A74387">
        <w:rPr>
          <w:rFonts w:ascii="Times New Roman" w:hAnsi="Times New Roman" w:cs="Times New Roman"/>
          <w:sz w:val="24"/>
          <w:szCs w:val="24"/>
          <w:lang w:val="en-GB"/>
        </w:rPr>
        <w:t xml:space="preserve"> identified in step 4</w:t>
      </w:r>
      <w:r w:rsidR="00FB4607" w:rsidRPr="00066E6D">
        <w:rPr>
          <w:rFonts w:ascii="Times New Roman" w:hAnsi="Times New Roman" w:cs="Times New Roman"/>
          <w:sz w:val="24"/>
          <w:szCs w:val="24"/>
          <w:lang w:val="en-GB"/>
        </w:rPr>
        <w:t>;</w:t>
      </w:r>
    </w:p>
    <w:p w14:paraId="6FF29215" w14:textId="22675609" w:rsidR="00FB4607" w:rsidRPr="00A22219" w:rsidRDefault="00FB4607" w:rsidP="00066E6D">
      <w:pPr>
        <w:pStyle w:val="ListParagraph"/>
        <w:numPr>
          <w:ilvl w:val="0"/>
          <w:numId w:val="19"/>
        </w:numPr>
        <w:rPr>
          <w:rFonts w:ascii="Times New Roman" w:hAnsi="Times New Roman" w:cs="Times New Roman"/>
          <w:sz w:val="24"/>
          <w:szCs w:val="24"/>
          <w:lang w:val="en-GB"/>
        </w:rPr>
      </w:pPr>
      <w:r w:rsidRPr="00A22219">
        <w:rPr>
          <w:rFonts w:ascii="Times New Roman" w:hAnsi="Times New Roman"/>
          <w:sz w:val="24"/>
          <w:lang w:val="en-GB"/>
        </w:rPr>
        <w:t xml:space="preserve">Apply </w:t>
      </w:r>
      <w:r w:rsidR="004739BF" w:rsidRPr="00A22219">
        <w:rPr>
          <w:rFonts w:ascii="Times New Roman" w:hAnsi="Times New Roman"/>
          <w:sz w:val="24"/>
          <w:lang w:val="en-GB"/>
        </w:rPr>
        <w:t xml:space="preserve">regression </w:t>
      </w:r>
      <w:r w:rsidRPr="00A22219">
        <w:rPr>
          <w:rFonts w:ascii="Times New Roman" w:hAnsi="Times New Roman"/>
          <w:sz w:val="24"/>
          <w:lang w:val="en-GB"/>
        </w:rPr>
        <w:t>model</w:t>
      </w:r>
      <w:r w:rsidR="00525A3C" w:rsidRPr="00A22219">
        <w:rPr>
          <w:rFonts w:ascii="Times New Roman" w:hAnsi="Times New Roman"/>
          <w:sz w:val="24"/>
          <w:lang w:val="en-GB"/>
        </w:rPr>
        <w:t>s</w:t>
      </w:r>
      <w:r w:rsidRPr="00A22219">
        <w:rPr>
          <w:rFonts w:ascii="Times New Roman" w:hAnsi="Times New Roman"/>
          <w:sz w:val="24"/>
          <w:lang w:val="en-GB"/>
        </w:rPr>
        <w:t xml:space="preserve"> </w:t>
      </w:r>
      <w:r w:rsidR="00632395" w:rsidRPr="00A22219">
        <w:rPr>
          <w:rFonts w:ascii="Times New Roman" w:hAnsi="Times New Roman"/>
          <w:sz w:val="24"/>
          <w:lang w:val="en-GB"/>
        </w:rPr>
        <w:t xml:space="preserve">(details below and in appendix) </w:t>
      </w:r>
      <w:r w:rsidRPr="00A22219">
        <w:rPr>
          <w:rFonts w:ascii="Times New Roman" w:hAnsi="Times New Roman"/>
          <w:sz w:val="24"/>
          <w:lang w:val="en-GB"/>
        </w:rPr>
        <w:t xml:space="preserve">to estimate the prevalence of deficiency of the unmeasured micronutrient when only two of the </w:t>
      </w:r>
      <w:r w:rsidR="00F34A62">
        <w:rPr>
          <w:rFonts w:ascii="Times New Roman" w:hAnsi="Times New Roman"/>
          <w:sz w:val="24"/>
          <w:lang w:val="en-GB"/>
        </w:rPr>
        <w:t xml:space="preserve">three </w:t>
      </w:r>
      <w:r w:rsidRPr="00A22219">
        <w:rPr>
          <w:rFonts w:ascii="Times New Roman" w:hAnsi="Times New Roman"/>
          <w:sz w:val="24"/>
          <w:lang w:val="en-GB"/>
        </w:rPr>
        <w:t>core micronutrients were measured</w:t>
      </w:r>
      <w:r w:rsidRPr="00A22219">
        <w:rPr>
          <w:rFonts w:ascii="Times New Roman" w:hAnsi="Times New Roman" w:cs="Times New Roman"/>
          <w:sz w:val="24"/>
          <w:szCs w:val="24"/>
          <w:lang w:val="en-GB"/>
        </w:rPr>
        <w:t>; and</w:t>
      </w:r>
    </w:p>
    <w:p w14:paraId="47DB1262" w14:textId="781B115C" w:rsidR="00FB4607" w:rsidRDefault="00FB4607" w:rsidP="00066E6D">
      <w:pPr>
        <w:pStyle w:val="ListParagraph"/>
        <w:numPr>
          <w:ilvl w:val="0"/>
          <w:numId w:val="19"/>
        </w:numPr>
        <w:rPr>
          <w:rFonts w:ascii="Times New Roman" w:hAnsi="Times New Roman" w:cs="Times New Roman"/>
          <w:sz w:val="24"/>
          <w:szCs w:val="24"/>
          <w:lang w:val="en-GB"/>
        </w:rPr>
      </w:pPr>
      <w:r w:rsidRPr="00066E6D">
        <w:rPr>
          <w:rFonts w:ascii="Times New Roman" w:hAnsi="Times New Roman" w:cs="Times New Roman"/>
          <w:sz w:val="24"/>
          <w:szCs w:val="24"/>
          <w:lang w:val="en-GB"/>
        </w:rPr>
        <w:t>Apply statistical model</w:t>
      </w:r>
      <w:r w:rsidR="0022008D">
        <w:rPr>
          <w:rFonts w:ascii="Times New Roman" w:hAnsi="Times New Roman" w:cs="Times New Roman"/>
          <w:sz w:val="24"/>
          <w:szCs w:val="24"/>
          <w:lang w:val="en-GB"/>
        </w:rPr>
        <w:t>s</w:t>
      </w:r>
      <w:r w:rsidRPr="00066E6D">
        <w:rPr>
          <w:rFonts w:ascii="Times New Roman" w:hAnsi="Times New Roman" w:cs="Times New Roman"/>
          <w:sz w:val="24"/>
          <w:szCs w:val="24"/>
          <w:lang w:val="en-GB"/>
        </w:rPr>
        <w:t xml:space="preserve"> to estimate </w:t>
      </w:r>
      <w:r w:rsidR="00D3770A">
        <w:rPr>
          <w:rFonts w:ascii="Times New Roman" w:hAnsi="Times New Roman" w:cs="Times New Roman"/>
          <w:sz w:val="24"/>
          <w:szCs w:val="24"/>
          <w:lang w:val="en-GB"/>
        </w:rPr>
        <w:t xml:space="preserve">the </w:t>
      </w:r>
      <w:r w:rsidRPr="00066E6D">
        <w:rPr>
          <w:rFonts w:ascii="Times New Roman" w:hAnsi="Times New Roman" w:cs="Times New Roman"/>
          <w:sz w:val="24"/>
          <w:szCs w:val="24"/>
          <w:lang w:val="en-GB"/>
        </w:rPr>
        <w:t xml:space="preserve">global and regional prevalence of </w:t>
      </w:r>
      <w:r w:rsidR="002347D8">
        <w:rPr>
          <w:rFonts w:ascii="Times New Roman" w:hAnsi="Times New Roman" w:cs="Times New Roman"/>
          <w:sz w:val="24"/>
          <w:szCs w:val="24"/>
          <w:lang w:val="en-GB"/>
        </w:rPr>
        <w:t xml:space="preserve">deficiency in </w:t>
      </w:r>
      <w:r w:rsidR="00486252">
        <w:rPr>
          <w:rFonts w:ascii="Times New Roman" w:hAnsi="Times New Roman" w:cs="Times New Roman"/>
          <w:sz w:val="24"/>
          <w:szCs w:val="24"/>
          <w:lang w:val="en-GB"/>
        </w:rPr>
        <w:t>one or more</w:t>
      </w:r>
      <w:r w:rsidR="00082D97">
        <w:rPr>
          <w:rFonts w:ascii="Times New Roman" w:hAnsi="Times New Roman" w:cs="Times New Roman"/>
          <w:sz w:val="24"/>
          <w:szCs w:val="24"/>
          <w:lang w:val="en-GB"/>
        </w:rPr>
        <w:t xml:space="preserve"> of the core</w:t>
      </w:r>
      <w:r w:rsidRPr="00066E6D">
        <w:rPr>
          <w:rFonts w:ascii="Times New Roman" w:hAnsi="Times New Roman" w:cs="Times New Roman"/>
          <w:sz w:val="24"/>
          <w:szCs w:val="24"/>
          <w:lang w:val="en-GB"/>
        </w:rPr>
        <w:t xml:space="preserve"> micronutrients in </w:t>
      </w:r>
      <w:r w:rsidR="00430740">
        <w:rPr>
          <w:rFonts w:ascii="Times New Roman" w:hAnsi="Times New Roman" w:cs="Times New Roman"/>
          <w:sz w:val="24"/>
          <w:szCs w:val="24"/>
          <w:lang w:val="en-GB"/>
        </w:rPr>
        <w:t>PSC and NPW</w:t>
      </w:r>
      <w:r w:rsidRPr="00066E6D">
        <w:rPr>
          <w:rFonts w:ascii="Times New Roman" w:hAnsi="Times New Roman" w:cs="Times New Roman"/>
          <w:sz w:val="24"/>
          <w:szCs w:val="24"/>
          <w:lang w:val="en-GB"/>
        </w:rPr>
        <w:t>.</w:t>
      </w:r>
    </w:p>
    <w:p w14:paraId="7B56C382" w14:textId="77777777" w:rsidR="00066E6D" w:rsidRPr="00066E6D" w:rsidRDefault="00066E6D" w:rsidP="00066E6D">
      <w:pPr>
        <w:rPr>
          <w:rFonts w:ascii="Times New Roman" w:hAnsi="Times New Roman" w:cs="Times New Roman"/>
          <w:sz w:val="24"/>
          <w:szCs w:val="24"/>
          <w:lang w:val="en-GB"/>
        </w:rPr>
      </w:pPr>
    </w:p>
    <w:p w14:paraId="3A5D2307" w14:textId="74F3922F" w:rsidR="00FB4607" w:rsidRDefault="00FB4607" w:rsidP="00FB4607">
      <w:pPr>
        <w:rPr>
          <w:rFonts w:ascii="Times New Roman" w:hAnsi="Times New Roman" w:cs="Times New Roman"/>
          <w:sz w:val="24"/>
          <w:szCs w:val="24"/>
          <w:lang w:val="en-GB"/>
        </w:rPr>
      </w:pPr>
      <w:r w:rsidRPr="00FB4607">
        <w:rPr>
          <w:rFonts w:ascii="Times New Roman" w:hAnsi="Times New Roman" w:cs="Times New Roman"/>
          <w:sz w:val="24"/>
          <w:szCs w:val="24"/>
          <w:lang w:val="en-GB"/>
        </w:rPr>
        <w:t>These estimates have been documented following the Guidelines for Accurate and Transparent Health Estimates Reporting (GATHER; appendix Table 2).</w:t>
      </w:r>
      <w:r w:rsidR="00352D85">
        <w:rPr>
          <w:rFonts w:ascii="Times New Roman" w:hAnsi="Times New Roman" w:cs="Times New Roman"/>
          <w:sz w:val="24"/>
          <w:szCs w:val="24"/>
          <w:lang w:val="en-GB"/>
        </w:rPr>
        <w:fldChar w:fldCharType="begin"/>
      </w:r>
      <w:r w:rsidR="001D108C">
        <w:rPr>
          <w:rFonts w:ascii="Times New Roman" w:hAnsi="Times New Roman" w:cs="Times New Roman"/>
          <w:sz w:val="24"/>
          <w:szCs w:val="24"/>
          <w:lang w:val="en-GB"/>
        </w:rPr>
        <w:instrText xml:space="preserve"> ADDIN ZOTERO_ITEM CSL_CITATION {"citationID":"ItfWt4Nu","properties":{"formattedCitation":"\\super 23\\nosupersub{}","plainCitation":"23","noteIndex":0},"citationItems":[{"id":3115,"uris":["http://zotero.org/users/2850877/items/VTATP7WK"],"uri":["http://zotero.org/users/2850877/items/VTATP7WK"],"itemData":{"id":3115,"type":"article-journal","abstract":"Gretchen Stevens and colleagues present the GATHER statement, which seeks to promote good practice in the reporting of global health estimates.","container-title":"PLOS Medicine","DOI":"10.1371/journal.pmed.1002056","ISSN":"1549-1676","issue":"6","journalAbbreviation":"PLOS Medicine","language":"en","note":"publisher: Public Library of Science","page":"e1002056","source":"PLoS Journals","title":"Guidelines for Accurate and Transparent Health Estimates Reporting: the GATHER statement","title-short":"Guidelines for Accurate and Transparent Health Estimates Reporting","volume":"13","author":[{"family":"Stevens","given":"Gretchen A."},{"family":"Alkema","given":"Leontine"},{"family":"Black","given":"Robert E."},{"family":"Boerma","given":"J. Ties"},{"family":"Collins","given":"Gary S."},{"family":"Ezzati","given":"Majid"},{"family":"Grove","given":"John T."},{"family":"Hogan","given":"Daniel R."},{"family":"Hogan","given":"Margaret C."},{"family":"Horton","given":"Richard"},{"family":"Lawn","given":"Joy E."},{"family":"Marušić","given":"Ana"},{"family":"Mathers","given":"Colin D."},{"family":"Murray","given":"Christopher J. L."},{"family":"Rudan","given":"Igor"},{"family":"Salomon","given":"Joshua A."},{"family":"Simpson","given":"Paul J."},{"family":"Vos","given":"Theo"},{"family":"Welch","given":"Vivian"},{"family":"Group","given":"The GATHER Working"}],"issued":{"date-parts":[["2016",6,28]]}}}],"schema":"https://github.com/citation-style-language/schema/raw/master/csl-citation.json"} </w:instrText>
      </w:r>
      <w:r w:rsidR="00352D85">
        <w:rPr>
          <w:rFonts w:ascii="Times New Roman" w:hAnsi="Times New Roman" w:cs="Times New Roman"/>
          <w:sz w:val="24"/>
          <w:szCs w:val="24"/>
          <w:lang w:val="en-GB"/>
        </w:rPr>
        <w:fldChar w:fldCharType="separate"/>
      </w:r>
      <w:r w:rsidR="001D108C" w:rsidRPr="001D108C">
        <w:rPr>
          <w:rFonts w:ascii="Times New Roman" w:hAnsi="Times New Roman" w:cs="Times New Roman"/>
          <w:color w:val="000000"/>
          <w:sz w:val="24"/>
          <w:vertAlign w:val="superscript"/>
        </w:rPr>
        <w:t>23</w:t>
      </w:r>
      <w:r w:rsidR="00352D85">
        <w:rPr>
          <w:rFonts w:ascii="Times New Roman" w:hAnsi="Times New Roman" w:cs="Times New Roman"/>
          <w:sz w:val="24"/>
          <w:szCs w:val="24"/>
          <w:lang w:val="en-GB"/>
        </w:rPr>
        <w:fldChar w:fldCharType="end"/>
      </w:r>
      <w:r w:rsidR="00D4739D">
        <w:rPr>
          <w:rFonts w:ascii="Times New Roman" w:hAnsi="Times New Roman" w:cs="Times New Roman"/>
          <w:sz w:val="24"/>
          <w:szCs w:val="24"/>
          <w:lang w:val="en-GB"/>
        </w:rPr>
        <w:t xml:space="preserve"> </w:t>
      </w:r>
    </w:p>
    <w:p w14:paraId="72D77010" w14:textId="77777777" w:rsidR="00FB4607" w:rsidRPr="00FB4607" w:rsidRDefault="00FB4607" w:rsidP="00FB4607">
      <w:pPr>
        <w:rPr>
          <w:rFonts w:ascii="Times New Roman" w:hAnsi="Times New Roman" w:cs="Times New Roman"/>
          <w:sz w:val="24"/>
          <w:szCs w:val="24"/>
          <w:lang w:val="en-GB"/>
        </w:rPr>
      </w:pPr>
    </w:p>
    <w:p w14:paraId="22158CD3" w14:textId="1681E984" w:rsidR="00FB4607" w:rsidRPr="00FB4607" w:rsidRDefault="00FB4607" w:rsidP="00FB4607">
      <w:pPr>
        <w:rPr>
          <w:rFonts w:ascii="Times New Roman" w:hAnsi="Times New Roman" w:cs="Times New Roman"/>
          <w:i/>
          <w:iCs/>
          <w:sz w:val="24"/>
          <w:szCs w:val="24"/>
          <w:lang w:val="en-GB"/>
        </w:rPr>
      </w:pPr>
      <w:r w:rsidRPr="00FB4607">
        <w:rPr>
          <w:rFonts w:ascii="Times New Roman" w:hAnsi="Times New Roman" w:cs="Times New Roman"/>
          <w:i/>
          <w:iCs/>
          <w:sz w:val="24"/>
          <w:szCs w:val="24"/>
          <w:lang w:val="en-GB"/>
        </w:rPr>
        <w:t>Establish</w:t>
      </w:r>
      <w:r w:rsidR="007452BE">
        <w:rPr>
          <w:rFonts w:ascii="Times New Roman" w:hAnsi="Times New Roman" w:cs="Times New Roman"/>
          <w:i/>
          <w:iCs/>
          <w:sz w:val="24"/>
          <w:szCs w:val="24"/>
          <w:lang w:val="en-GB"/>
        </w:rPr>
        <w:t>ing</w:t>
      </w:r>
      <w:r w:rsidRPr="00FB4607">
        <w:rPr>
          <w:rFonts w:ascii="Times New Roman" w:hAnsi="Times New Roman" w:cs="Times New Roman"/>
          <w:i/>
          <w:iCs/>
          <w:sz w:val="24"/>
          <w:szCs w:val="24"/>
          <w:lang w:val="en-GB"/>
        </w:rPr>
        <w:t xml:space="preserve"> a set of sentinel micronutrients for consideration in the analysis</w:t>
      </w:r>
    </w:p>
    <w:p w14:paraId="2FC846DB" w14:textId="530FBE02" w:rsidR="00FB4607" w:rsidRDefault="00FB4607" w:rsidP="00FB4607">
      <w:pPr>
        <w:rPr>
          <w:rFonts w:ascii="Times New Roman" w:hAnsi="Times New Roman" w:cs="Times New Roman"/>
          <w:sz w:val="24"/>
          <w:szCs w:val="24"/>
        </w:rPr>
      </w:pPr>
      <w:r w:rsidRPr="00FB4607">
        <w:rPr>
          <w:rFonts w:ascii="Times New Roman" w:hAnsi="Times New Roman" w:cs="Times New Roman"/>
          <w:sz w:val="24"/>
          <w:szCs w:val="24"/>
          <w:lang w:val="en-GB"/>
        </w:rPr>
        <w:t xml:space="preserve">The primary </w:t>
      </w:r>
      <w:r w:rsidR="0083614F">
        <w:rPr>
          <w:rFonts w:ascii="Times New Roman" w:hAnsi="Times New Roman" w:cs="Times New Roman"/>
          <w:sz w:val="24"/>
          <w:szCs w:val="24"/>
          <w:lang w:val="en-GB"/>
        </w:rPr>
        <w:t xml:space="preserve">data </w:t>
      </w:r>
      <w:r w:rsidRPr="00FB4607">
        <w:rPr>
          <w:rFonts w:ascii="Times New Roman" w:hAnsi="Times New Roman" w:cs="Times New Roman"/>
          <w:sz w:val="24"/>
          <w:szCs w:val="24"/>
          <w:lang w:val="en-GB"/>
        </w:rPr>
        <w:t xml:space="preserve">source for this analysis was </w:t>
      </w:r>
      <w:r w:rsidR="0083614F">
        <w:rPr>
          <w:rFonts w:ascii="Times New Roman" w:hAnsi="Times New Roman" w:cs="Times New Roman"/>
          <w:sz w:val="24"/>
          <w:szCs w:val="24"/>
          <w:lang w:val="en-GB"/>
        </w:rPr>
        <w:t xml:space="preserve">micronutrient status </w:t>
      </w:r>
      <w:r w:rsidRPr="00FB4607">
        <w:rPr>
          <w:rFonts w:ascii="Times New Roman" w:hAnsi="Times New Roman" w:cs="Times New Roman"/>
          <w:sz w:val="24"/>
          <w:szCs w:val="24"/>
          <w:lang w:val="en-GB"/>
        </w:rPr>
        <w:t xml:space="preserve">biomarker data collected </w:t>
      </w:r>
      <w:r w:rsidR="00FF410D">
        <w:rPr>
          <w:rFonts w:ascii="Times New Roman" w:hAnsi="Times New Roman" w:cs="Times New Roman"/>
          <w:sz w:val="24"/>
          <w:szCs w:val="24"/>
          <w:lang w:val="en-GB"/>
        </w:rPr>
        <w:t xml:space="preserve">as part of household surveys representative of the population </w:t>
      </w:r>
      <w:r w:rsidRPr="00FB4607">
        <w:rPr>
          <w:rFonts w:ascii="Times New Roman" w:hAnsi="Times New Roman" w:cs="Times New Roman"/>
          <w:sz w:val="24"/>
          <w:szCs w:val="24"/>
          <w:lang w:val="en-GB"/>
        </w:rPr>
        <w:t xml:space="preserve">(hereafter called nutrition surveys). An initial set of six sentinel micronutrients were selected </w:t>
      </w:r>
      <w:r w:rsidRPr="00FB4607">
        <w:rPr>
          <w:rFonts w:ascii="Times New Roman" w:hAnsi="Times New Roman" w:cs="Times New Roman"/>
          <w:i/>
          <w:iCs/>
          <w:sz w:val="24"/>
          <w:szCs w:val="24"/>
          <w:lang w:val="en-GB"/>
        </w:rPr>
        <w:t xml:space="preserve">a priori, </w:t>
      </w:r>
      <w:r w:rsidRPr="00FB4607">
        <w:rPr>
          <w:rFonts w:ascii="Times New Roman" w:hAnsi="Times New Roman" w:cs="Times New Roman"/>
          <w:sz w:val="24"/>
          <w:szCs w:val="24"/>
          <w:lang w:val="en-GB"/>
        </w:rPr>
        <w:t xml:space="preserve">based on the following criteria: (1) they </w:t>
      </w:r>
      <w:r w:rsidR="00535AAC">
        <w:rPr>
          <w:rFonts w:ascii="Times New Roman" w:hAnsi="Times New Roman" w:cs="Times New Roman"/>
          <w:sz w:val="24"/>
          <w:szCs w:val="24"/>
          <w:lang w:val="en-GB"/>
        </w:rPr>
        <w:t xml:space="preserve">were </w:t>
      </w:r>
      <w:r w:rsidRPr="00FB4607">
        <w:rPr>
          <w:rFonts w:ascii="Times New Roman" w:hAnsi="Times New Roman" w:cs="Times New Roman"/>
          <w:sz w:val="24"/>
          <w:szCs w:val="24"/>
          <w:lang w:val="en-GB"/>
        </w:rPr>
        <w:t>measured in multiple nutrition surveys</w:t>
      </w:r>
      <w:r w:rsidR="00762105">
        <w:rPr>
          <w:rFonts w:ascii="Times New Roman" w:hAnsi="Times New Roman" w:cs="Times New Roman"/>
          <w:sz w:val="24"/>
          <w:szCs w:val="24"/>
          <w:lang w:val="en-GB"/>
        </w:rPr>
        <w:t xml:space="preserve"> alongside other biomarkers within the same individuals</w:t>
      </w:r>
      <w:r w:rsidRPr="00FB4607">
        <w:rPr>
          <w:rFonts w:ascii="Times New Roman" w:hAnsi="Times New Roman" w:cs="Times New Roman"/>
          <w:sz w:val="24"/>
          <w:szCs w:val="24"/>
          <w:lang w:val="en-GB"/>
        </w:rPr>
        <w:t xml:space="preserve">, (2) they </w:t>
      </w:r>
      <w:r w:rsidR="00F47101">
        <w:rPr>
          <w:rFonts w:ascii="Times New Roman" w:hAnsi="Times New Roman" w:cs="Times New Roman"/>
          <w:sz w:val="24"/>
          <w:szCs w:val="24"/>
          <w:lang w:val="en-GB"/>
        </w:rPr>
        <w:t xml:space="preserve">can </w:t>
      </w:r>
      <w:r w:rsidRPr="00FB4607">
        <w:rPr>
          <w:rFonts w:ascii="Times New Roman" w:hAnsi="Times New Roman" w:cs="Times New Roman"/>
          <w:sz w:val="24"/>
          <w:szCs w:val="24"/>
          <w:lang w:val="en-GB"/>
        </w:rPr>
        <w:t xml:space="preserve">have severe </w:t>
      </w:r>
      <w:r w:rsidR="00597A5C">
        <w:rPr>
          <w:rFonts w:ascii="Times New Roman" w:hAnsi="Times New Roman" w:cs="Times New Roman"/>
          <w:sz w:val="24"/>
          <w:szCs w:val="24"/>
          <w:lang w:val="en-GB"/>
        </w:rPr>
        <w:t>or</w:t>
      </w:r>
      <w:r w:rsidRPr="00FB4607">
        <w:rPr>
          <w:rFonts w:ascii="Times New Roman" w:hAnsi="Times New Roman" w:cs="Times New Roman"/>
          <w:sz w:val="24"/>
          <w:szCs w:val="24"/>
          <w:lang w:val="en-GB"/>
        </w:rPr>
        <w:t xml:space="preserve"> long-term </w:t>
      </w:r>
      <w:r w:rsidR="00212128">
        <w:rPr>
          <w:rFonts w:ascii="Times New Roman" w:hAnsi="Times New Roman" w:cs="Times New Roman"/>
          <w:sz w:val="24"/>
          <w:szCs w:val="24"/>
          <w:lang w:val="en-GB"/>
        </w:rPr>
        <w:t xml:space="preserve">health </w:t>
      </w:r>
      <w:r w:rsidRPr="00FB4607">
        <w:rPr>
          <w:rFonts w:ascii="Times New Roman" w:hAnsi="Times New Roman" w:cs="Times New Roman"/>
          <w:sz w:val="24"/>
          <w:szCs w:val="24"/>
          <w:lang w:val="en-GB"/>
        </w:rPr>
        <w:t xml:space="preserve">consequences, and (3) prevalence </w:t>
      </w:r>
      <w:r w:rsidR="00025D92">
        <w:rPr>
          <w:rFonts w:ascii="Times New Roman" w:hAnsi="Times New Roman" w:cs="Times New Roman"/>
          <w:sz w:val="24"/>
          <w:szCs w:val="24"/>
          <w:lang w:val="en-GB"/>
        </w:rPr>
        <w:t xml:space="preserve">of deficiency </w:t>
      </w:r>
      <w:r w:rsidRPr="00FB4607">
        <w:rPr>
          <w:rFonts w:ascii="Times New Roman" w:hAnsi="Times New Roman" w:cs="Times New Roman"/>
          <w:sz w:val="24"/>
          <w:szCs w:val="24"/>
          <w:lang w:val="en-GB"/>
        </w:rPr>
        <w:t xml:space="preserve">is high in many countries. These sentinel micronutrients were iron, vitamin A, zinc, vitamin </w:t>
      </w:r>
      <w:r w:rsidR="00706162">
        <w:rPr>
          <w:rFonts w:ascii="Times New Roman" w:hAnsi="Times New Roman" w:cs="Times New Roman"/>
          <w:sz w:val="24"/>
          <w:szCs w:val="24"/>
          <w:lang w:val="en-GB"/>
        </w:rPr>
        <w:t>B</w:t>
      </w:r>
      <w:r w:rsidR="00706162" w:rsidRPr="00B96802">
        <w:rPr>
          <w:rFonts w:ascii="Times New Roman" w:hAnsi="Times New Roman" w:cs="Times New Roman"/>
          <w:sz w:val="24"/>
          <w:szCs w:val="24"/>
          <w:vertAlign w:val="subscript"/>
          <w:lang w:val="en-GB"/>
        </w:rPr>
        <w:t>12</w:t>
      </w:r>
      <w:r w:rsidRPr="00FB4607">
        <w:rPr>
          <w:rFonts w:ascii="Times New Roman" w:hAnsi="Times New Roman" w:cs="Times New Roman"/>
          <w:sz w:val="24"/>
          <w:szCs w:val="24"/>
          <w:lang w:val="en-GB"/>
        </w:rPr>
        <w:t>, folate, and vitamin D.</w:t>
      </w:r>
      <w:r w:rsidRPr="00FB4607">
        <w:rPr>
          <w:rFonts w:ascii="Times New Roman" w:hAnsi="Times New Roman" w:cs="Times New Roman"/>
          <w:sz w:val="24"/>
          <w:szCs w:val="24"/>
        </w:rPr>
        <w:t xml:space="preserve"> This list was finalized following its review and agreement by an external advisory </w:t>
      </w:r>
      <w:r w:rsidR="00F34707">
        <w:rPr>
          <w:rFonts w:ascii="Times New Roman" w:hAnsi="Times New Roman" w:cs="Times New Roman"/>
          <w:sz w:val="24"/>
          <w:szCs w:val="24"/>
        </w:rPr>
        <w:t>panel of</w:t>
      </w:r>
      <w:r w:rsidR="00710DA6">
        <w:rPr>
          <w:rFonts w:ascii="Times New Roman" w:hAnsi="Times New Roman" w:cs="Times New Roman"/>
          <w:sz w:val="24"/>
          <w:szCs w:val="24"/>
        </w:rPr>
        <w:t xml:space="preserve"> micronutrient</w:t>
      </w:r>
      <w:r w:rsidR="00F34707" w:rsidRPr="00FB4607">
        <w:rPr>
          <w:rFonts w:ascii="Times New Roman" w:hAnsi="Times New Roman" w:cs="Times New Roman"/>
          <w:sz w:val="24"/>
          <w:szCs w:val="24"/>
        </w:rPr>
        <w:t xml:space="preserve"> </w:t>
      </w:r>
      <w:r w:rsidRPr="00FB4607">
        <w:rPr>
          <w:rFonts w:ascii="Times New Roman" w:hAnsi="Times New Roman" w:cs="Times New Roman"/>
          <w:sz w:val="24"/>
          <w:szCs w:val="24"/>
        </w:rPr>
        <w:t>experts.</w:t>
      </w:r>
    </w:p>
    <w:p w14:paraId="7FDD1D93" w14:textId="77777777" w:rsidR="00FB4607" w:rsidRPr="00FB4607" w:rsidRDefault="00FB4607" w:rsidP="00FB4607">
      <w:pPr>
        <w:rPr>
          <w:rFonts w:ascii="Times New Roman" w:hAnsi="Times New Roman" w:cs="Times New Roman"/>
          <w:sz w:val="24"/>
          <w:szCs w:val="24"/>
        </w:rPr>
      </w:pPr>
    </w:p>
    <w:p w14:paraId="31530EFC" w14:textId="2F72B02D" w:rsidR="00FB4607" w:rsidRPr="00FB4607" w:rsidRDefault="00FB4607" w:rsidP="00FB4607">
      <w:pPr>
        <w:rPr>
          <w:rFonts w:ascii="Times New Roman" w:hAnsi="Times New Roman" w:cs="Times New Roman"/>
          <w:i/>
          <w:iCs/>
          <w:sz w:val="24"/>
          <w:szCs w:val="24"/>
          <w:lang w:val="en-GB"/>
        </w:rPr>
      </w:pPr>
      <w:r w:rsidRPr="00FB4607">
        <w:rPr>
          <w:rFonts w:ascii="Times New Roman" w:hAnsi="Times New Roman" w:cs="Times New Roman"/>
          <w:i/>
          <w:iCs/>
          <w:sz w:val="24"/>
          <w:szCs w:val="24"/>
          <w:lang w:val="en-GB"/>
        </w:rPr>
        <w:t>Data identification, access, analysis</w:t>
      </w:r>
      <w:r w:rsidR="00B70BAA">
        <w:rPr>
          <w:rFonts w:ascii="Times New Roman" w:hAnsi="Times New Roman" w:cs="Times New Roman"/>
          <w:i/>
          <w:iCs/>
          <w:sz w:val="24"/>
          <w:szCs w:val="24"/>
          <w:lang w:val="en-GB"/>
        </w:rPr>
        <w:t>,</w:t>
      </w:r>
      <w:r w:rsidRPr="00FB4607">
        <w:rPr>
          <w:rFonts w:ascii="Times New Roman" w:hAnsi="Times New Roman" w:cs="Times New Roman"/>
          <w:i/>
          <w:iCs/>
          <w:sz w:val="24"/>
          <w:szCs w:val="24"/>
          <w:lang w:val="en-GB"/>
        </w:rPr>
        <w:t xml:space="preserve"> and inclusion</w:t>
      </w:r>
    </w:p>
    <w:p w14:paraId="5A72A1B4" w14:textId="1BD1475F" w:rsidR="00FB4607" w:rsidRPr="00FB4607" w:rsidRDefault="00FB4607" w:rsidP="00A90761">
      <w:pPr>
        <w:rPr>
          <w:rFonts w:ascii="Times New Roman" w:hAnsi="Times New Roman" w:cs="Times New Roman"/>
          <w:sz w:val="24"/>
          <w:szCs w:val="24"/>
          <w:lang w:val="en-GB"/>
        </w:rPr>
      </w:pPr>
      <w:r w:rsidRPr="00FB4607">
        <w:rPr>
          <w:rFonts w:ascii="Times New Roman" w:hAnsi="Times New Roman" w:cs="Times New Roman"/>
          <w:sz w:val="24"/>
          <w:szCs w:val="24"/>
          <w:lang w:val="en-GB"/>
        </w:rPr>
        <w:t xml:space="preserve">The aim of this analysis </w:t>
      </w:r>
      <w:r w:rsidR="00FE1F84">
        <w:rPr>
          <w:rFonts w:ascii="Times New Roman" w:hAnsi="Times New Roman" w:cs="Times New Roman"/>
          <w:sz w:val="24"/>
          <w:szCs w:val="24"/>
          <w:lang w:val="en-GB"/>
        </w:rPr>
        <w:t>was</w:t>
      </w:r>
      <w:r w:rsidRPr="00FB4607">
        <w:rPr>
          <w:rFonts w:ascii="Times New Roman" w:hAnsi="Times New Roman" w:cs="Times New Roman"/>
          <w:sz w:val="24"/>
          <w:szCs w:val="24"/>
          <w:lang w:val="en-GB"/>
        </w:rPr>
        <w:t xml:space="preserve"> to determine the prevalence </w:t>
      </w:r>
      <w:r w:rsidR="005B6CFE">
        <w:rPr>
          <w:rFonts w:ascii="Times New Roman" w:hAnsi="Times New Roman" w:cs="Times New Roman"/>
          <w:sz w:val="24"/>
          <w:szCs w:val="24"/>
          <w:lang w:val="en-GB"/>
        </w:rPr>
        <w:t xml:space="preserve">of deficiency in </w:t>
      </w:r>
      <w:r w:rsidR="00A91A1E">
        <w:rPr>
          <w:rFonts w:ascii="Times New Roman" w:hAnsi="Times New Roman" w:cs="Times New Roman"/>
          <w:sz w:val="24"/>
          <w:szCs w:val="24"/>
          <w:lang w:val="en-GB"/>
        </w:rPr>
        <w:t>one</w:t>
      </w:r>
      <w:r w:rsidR="00247BB6">
        <w:rPr>
          <w:rFonts w:ascii="Times New Roman" w:hAnsi="Times New Roman" w:cs="Times New Roman"/>
          <w:sz w:val="24"/>
          <w:szCs w:val="24"/>
          <w:lang w:val="en-GB"/>
        </w:rPr>
        <w:t xml:space="preserve"> </w:t>
      </w:r>
      <w:r w:rsidR="0041367D">
        <w:rPr>
          <w:rFonts w:ascii="Times New Roman" w:hAnsi="Times New Roman" w:cs="Times New Roman"/>
          <w:sz w:val="24"/>
          <w:szCs w:val="24"/>
          <w:lang w:val="en-GB"/>
        </w:rPr>
        <w:t>or</w:t>
      </w:r>
      <w:r w:rsidR="00E401E1">
        <w:rPr>
          <w:rFonts w:ascii="Times New Roman" w:hAnsi="Times New Roman" w:cs="Times New Roman"/>
          <w:sz w:val="24"/>
          <w:szCs w:val="24"/>
          <w:lang w:val="en-GB"/>
        </w:rPr>
        <w:t xml:space="preserve"> </w:t>
      </w:r>
      <w:r w:rsidR="00A91A1E">
        <w:rPr>
          <w:rFonts w:ascii="Times New Roman" w:hAnsi="Times New Roman" w:cs="Times New Roman"/>
          <w:sz w:val="24"/>
          <w:szCs w:val="24"/>
          <w:lang w:val="en-GB"/>
        </w:rPr>
        <w:t>more</w:t>
      </w:r>
      <w:r w:rsidRPr="00FB4607">
        <w:rPr>
          <w:rFonts w:ascii="Times New Roman" w:hAnsi="Times New Roman" w:cs="Times New Roman"/>
          <w:sz w:val="24"/>
          <w:szCs w:val="24"/>
          <w:lang w:val="en-GB"/>
        </w:rPr>
        <w:t xml:space="preserve"> micronutrient</w:t>
      </w:r>
      <w:r w:rsidR="005B6CFE">
        <w:rPr>
          <w:rFonts w:ascii="Times New Roman" w:hAnsi="Times New Roman" w:cs="Times New Roman"/>
          <w:sz w:val="24"/>
          <w:szCs w:val="24"/>
          <w:lang w:val="en-GB"/>
        </w:rPr>
        <w:t>s</w:t>
      </w:r>
      <w:r w:rsidRPr="00FB4607">
        <w:rPr>
          <w:rFonts w:ascii="Times New Roman" w:hAnsi="Times New Roman" w:cs="Times New Roman"/>
          <w:sz w:val="24"/>
          <w:szCs w:val="24"/>
          <w:lang w:val="en-GB"/>
        </w:rPr>
        <w:t xml:space="preserve"> </w:t>
      </w:r>
      <w:r w:rsidR="00287A8F">
        <w:rPr>
          <w:rFonts w:ascii="Times New Roman" w:hAnsi="Times New Roman" w:cs="Times New Roman"/>
          <w:sz w:val="24"/>
          <w:szCs w:val="24"/>
          <w:lang w:val="en-GB"/>
        </w:rPr>
        <w:t>among PSC and NPW</w:t>
      </w:r>
      <w:r w:rsidR="002B52B1">
        <w:rPr>
          <w:rFonts w:ascii="Times New Roman" w:hAnsi="Times New Roman" w:cs="Times New Roman"/>
          <w:sz w:val="24"/>
          <w:szCs w:val="24"/>
          <w:lang w:val="en-GB"/>
        </w:rPr>
        <w:t xml:space="preserve">. </w:t>
      </w:r>
      <w:r w:rsidR="00E67F18">
        <w:rPr>
          <w:rFonts w:ascii="Times New Roman" w:hAnsi="Times New Roman" w:cs="Times New Roman"/>
          <w:sz w:val="24"/>
          <w:szCs w:val="24"/>
          <w:lang w:val="en-GB"/>
        </w:rPr>
        <w:t xml:space="preserve">We included datasets </w:t>
      </w:r>
      <w:r w:rsidR="007D4703">
        <w:rPr>
          <w:rFonts w:ascii="Times New Roman" w:hAnsi="Times New Roman" w:cs="Times New Roman"/>
          <w:sz w:val="24"/>
          <w:szCs w:val="24"/>
          <w:lang w:val="en-GB"/>
        </w:rPr>
        <w:t xml:space="preserve">that were representative of ≥3 </w:t>
      </w:r>
      <w:r w:rsidR="00CF0AB6">
        <w:rPr>
          <w:rFonts w:ascii="Times New Roman" w:hAnsi="Times New Roman" w:cs="Times New Roman"/>
          <w:sz w:val="24"/>
          <w:szCs w:val="24"/>
          <w:lang w:val="en-GB"/>
        </w:rPr>
        <w:t>first-level administrative divisions within a country</w:t>
      </w:r>
      <w:r w:rsidR="00A90761">
        <w:rPr>
          <w:rFonts w:ascii="Times New Roman" w:hAnsi="Times New Roman" w:cs="Times New Roman"/>
          <w:sz w:val="24"/>
          <w:szCs w:val="24"/>
          <w:lang w:val="en-GB"/>
        </w:rPr>
        <w:t>,</w:t>
      </w:r>
      <w:r w:rsidR="00CF0AB6">
        <w:rPr>
          <w:rFonts w:ascii="Times New Roman" w:hAnsi="Times New Roman" w:cs="Times New Roman"/>
          <w:sz w:val="24"/>
          <w:szCs w:val="24"/>
          <w:lang w:val="en-GB"/>
        </w:rPr>
        <w:t xml:space="preserve"> contained anonymized individual-level</w:t>
      </w:r>
      <w:r w:rsidR="00A90761">
        <w:rPr>
          <w:rFonts w:ascii="Times New Roman" w:hAnsi="Times New Roman" w:cs="Times New Roman"/>
          <w:sz w:val="24"/>
          <w:szCs w:val="24"/>
          <w:lang w:val="en-GB"/>
        </w:rPr>
        <w:t xml:space="preserve"> </w:t>
      </w:r>
      <w:r w:rsidR="00F568A6">
        <w:rPr>
          <w:rFonts w:ascii="Times New Roman" w:hAnsi="Times New Roman" w:cs="Times New Roman"/>
          <w:sz w:val="24"/>
          <w:szCs w:val="24"/>
          <w:lang w:val="en-GB"/>
        </w:rPr>
        <w:lastRenderedPageBreak/>
        <w:t xml:space="preserve">biomarker data for ≥2 of the three sentinel micronutrients, and </w:t>
      </w:r>
      <w:r w:rsidR="00A90761">
        <w:rPr>
          <w:rFonts w:ascii="Times New Roman" w:hAnsi="Times New Roman" w:cs="Times New Roman"/>
          <w:sz w:val="24"/>
          <w:szCs w:val="24"/>
          <w:lang w:val="en-GB"/>
        </w:rPr>
        <w:t xml:space="preserve">met </w:t>
      </w:r>
      <w:r w:rsidR="00553C88">
        <w:rPr>
          <w:rFonts w:ascii="Times New Roman" w:hAnsi="Times New Roman" w:cs="Times New Roman"/>
          <w:sz w:val="24"/>
          <w:szCs w:val="24"/>
          <w:lang w:val="en-GB"/>
        </w:rPr>
        <w:t>minimum data quality criteria</w:t>
      </w:r>
      <w:r w:rsidR="00A90761">
        <w:rPr>
          <w:rFonts w:ascii="Times New Roman" w:hAnsi="Times New Roman" w:cs="Times New Roman"/>
          <w:sz w:val="24"/>
          <w:szCs w:val="24"/>
          <w:lang w:val="en-GB"/>
        </w:rPr>
        <w:t xml:space="preserve"> (appendix 2).</w:t>
      </w:r>
    </w:p>
    <w:p w14:paraId="46FD1347" w14:textId="77777777" w:rsidR="00383603" w:rsidRDefault="00383603" w:rsidP="00FB4607">
      <w:pPr>
        <w:rPr>
          <w:rFonts w:ascii="Times New Roman" w:hAnsi="Times New Roman" w:cs="Times New Roman"/>
          <w:sz w:val="24"/>
          <w:szCs w:val="24"/>
          <w:lang w:val="en-GB"/>
        </w:rPr>
      </w:pPr>
    </w:p>
    <w:p w14:paraId="7AB24D28" w14:textId="01E80C50" w:rsidR="00FB4607" w:rsidRPr="00647839" w:rsidRDefault="009347D0" w:rsidP="00FB4607">
      <w:pPr>
        <w:rPr>
          <w:rFonts w:ascii="Times New Roman" w:hAnsi="Times New Roman" w:cs="Times New Roman"/>
          <w:sz w:val="24"/>
          <w:szCs w:val="24"/>
          <w:lang w:val="en-GB"/>
        </w:rPr>
      </w:pPr>
      <w:r w:rsidRPr="00647839">
        <w:rPr>
          <w:rFonts w:ascii="Times New Roman" w:hAnsi="Times New Roman" w:cs="Times New Roman"/>
          <w:sz w:val="24"/>
          <w:szCs w:val="24"/>
          <w:lang w:val="en-GB"/>
        </w:rPr>
        <w:t xml:space="preserve">Our primary </w:t>
      </w:r>
      <w:r w:rsidR="00C9200B">
        <w:rPr>
          <w:rFonts w:ascii="Times New Roman" w:hAnsi="Times New Roman" w:cs="Times New Roman"/>
          <w:sz w:val="24"/>
          <w:szCs w:val="24"/>
          <w:lang w:val="en-GB"/>
        </w:rPr>
        <w:t xml:space="preserve">data </w:t>
      </w:r>
      <w:r w:rsidRPr="00647839">
        <w:rPr>
          <w:rFonts w:ascii="Times New Roman" w:hAnsi="Times New Roman" w:cs="Times New Roman"/>
          <w:sz w:val="24"/>
          <w:szCs w:val="24"/>
          <w:lang w:val="en-GB"/>
        </w:rPr>
        <w:t>source</w:t>
      </w:r>
      <w:r w:rsidR="00E24821">
        <w:rPr>
          <w:rFonts w:ascii="Times New Roman" w:hAnsi="Times New Roman" w:cs="Times New Roman"/>
          <w:sz w:val="24"/>
          <w:szCs w:val="24"/>
          <w:lang w:val="en-GB"/>
        </w:rPr>
        <w:t>s</w:t>
      </w:r>
      <w:r w:rsidRPr="00647839">
        <w:rPr>
          <w:rFonts w:ascii="Times New Roman" w:hAnsi="Times New Roman" w:cs="Times New Roman"/>
          <w:sz w:val="24"/>
          <w:szCs w:val="24"/>
          <w:lang w:val="en-GB"/>
        </w:rPr>
        <w:t xml:space="preserve"> </w:t>
      </w:r>
      <w:r w:rsidR="00E24821" w:rsidRPr="00647839">
        <w:rPr>
          <w:rFonts w:ascii="Times New Roman" w:hAnsi="Times New Roman" w:cs="Times New Roman"/>
          <w:sz w:val="24"/>
          <w:szCs w:val="24"/>
          <w:lang w:val="en-GB"/>
        </w:rPr>
        <w:t>w</w:t>
      </w:r>
      <w:r w:rsidR="00E24821">
        <w:rPr>
          <w:rFonts w:ascii="Times New Roman" w:hAnsi="Times New Roman" w:cs="Times New Roman"/>
          <w:sz w:val="24"/>
          <w:szCs w:val="24"/>
          <w:lang w:val="en-GB"/>
        </w:rPr>
        <w:t>ere</w:t>
      </w:r>
      <w:r w:rsidR="00E24821" w:rsidRPr="00647839">
        <w:rPr>
          <w:rFonts w:ascii="Times New Roman" w:hAnsi="Times New Roman" w:cs="Times New Roman"/>
          <w:sz w:val="24"/>
          <w:szCs w:val="24"/>
          <w:lang w:val="en-GB"/>
        </w:rPr>
        <w:t xml:space="preserve"> </w:t>
      </w:r>
      <w:r w:rsidRPr="00647839">
        <w:rPr>
          <w:rFonts w:ascii="Times New Roman" w:hAnsi="Times New Roman" w:cs="Times New Roman"/>
          <w:sz w:val="24"/>
          <w:szCs w:val="24"/>
          <w:lang w:val="en-GB"/>
        </w:rPr>
        <w:t xml:space="preserve">datasets </w:t>
      </w:r>
      <w:r w:rsidR="00AA6218">
        <w:rPr>
          <w:rFonts w:ascii="Times New Roman" w:hAnsi="Times New Roman" w:cs="Times New Roman"/>
          <w:sz w:val="24"/>
          <w:szCs w:val="24"/>
          <w:lang w:val="en-GB"/>
        </w:rPr>
        <w:t>included in</w:t>
      </w:r>
      <w:r w:rsidRPr="00647839">
        <w:rPr>
          <w:rFonts w:ascii="Times New Roman" w:hAnsi="Times New Roman" w:cs="Times New Roman"/>
          <w:sz w:val="24"/>
          <w:szCs w:val="24"/>
          <w:lang w:val="en-GB"/>
        </w:rPr>
        <w:t xml:space="preserve"> the BRINDA collaboration. </w:t>
      </w:r>
      <w:r w:rsidR="00FB4607" w:rsidRPr="00647839">
        <w:rPr>
          <w:rFonts w:ascii="Times New Roman" w:hAnsi="Times New Roman" w:cs="Times New Roman"/>
          <w:sz w:val="24"/>
          <w:szCs w:val="24"/>
          <w:lang w:val="en-GB"/>
        </w:rPr>
        <w:t xml:space="preserve">To identify </w:t>
      </w:r>
      <w:r w:rsidR="00647839" w:rsidRPr="00647839">
        <w:rPr>
          <w:rFonts w:ascii="Times New Roman" w:hAnsi="Times New Roman" w:cs="Times New Roman"/>
          <w:sz w:val="24"/>
          <w:szCs w:val="24"/>
          <w:lang w:val="en-GB"/>
        </w:rPr>
        <w:t xml:space="preserve">additional </w:t>
      </w:r>
      <w:r w:rsidR="00FB4607" w:rsidRPr="00647839">
        <w:rPr>
          <w:rFonts w:ascii="Times New Roman" w:hAnsi="Times New Roman" w:cs="Times New Roman"/>
          <w:sz w:val="24"/>
          <w:szCs w:val="24"/>
          <w:lang w:val="en-GB"/>
        </w:rPr>
        <w:t xml:space="preserve">eligible datasets we </w:t>
      </w:r>
      <w:r w:rsidR="006D750D">
        <w:rPr>
          <w:rFonts w:ascii="Times New Roman" w:hAnsi="Times New Roman" w:cs="Times New Roman"/>
          <w:sz w:val="24"/>
          <w:szCs w:val="24"/>
          <w:lang w:val="en-GB"/>
        </w:rPr>
        <w:t xml:space="preserve">used a snowball approach </w:t>
      </w:r>
      <w:r w:rsidR="00FA691B">
        <w:rPr>
          <w:rFonts w:ascii="Times New Roman" w:hAnsi="Times New Roman" w:cs="Times New Roman"/>
          <w:sz w:val="24"/>
          <w:szCs w:val="24"/>
          <w:lang w:val="en-GB"/>
        </w:rPr>
        <w:t>where we</w:t>
      </w:r>
      <w:r w:rsidR="00FB4607" w:rsidRPr="00647839">
        <w:rPr>
          <w:rFonts w:ascii="Times New Roman" w:hAnsi="Times New Roman" w:cs="Times New Roman"/>
          <w:sz w:val="24"/>
          <w:szCs w:val="24"/>
          <w:lang w:val="en-GB"/>
        </w:rPr>
        <w:t xml:space="preserve"> searched the</w:t>
      </w:r>
      <w:r w:rsidR="009A436D" w:rsidRPr="00647839">
        <w:rPr>
          <w:rFonts w:ascii="Times New Roman" w:hAnsi="Times New Roman" w:cs="Times New Roman"/>
          <w:sz w:val="24"/>
          <w:szCs w:val="24"/>
          <w:lang w:val="en-GB"/>
        </w:rPr>
        <w:t xml:space="preserve"> internet</w:t>
      </w:r>
      <w:r w:rsidR="00FA691B">
        <w:rPr>
          <w:rFonts w:ascii="Times New Roman" w:hAnsi="Times New Roman" w:cs="Times New Roman"/>
          <w:sz w:val="24"/>
          <w:szCs w:val="24"/>
          <w:lang w:val="en-GB"/>
        </w:rPr>
        <w:t>,</w:t>
      </w:r>
      <w:r w:rsidR="009A436D" w:rsidRPr="00647839">
        <w:rPr>
          <w:rFonts w:ascii="Times New Roman" w:hAnsi="Times New Roman" w:cs="Times New Roman"/>
          <w:sz w:val="24"/>
          <w:szCs w:val="24"/>
          <w:lang w:val="en-GB"/>
        </w:rPr>
        <w:t xml:space="preserve"> the</w:t>
      </w:r>
      <w:r w:rsidR="00FB4607" w:rsidRPr="00647839">
        <w:rPr>
          <w:rFonts w:ascii="Times New Roman" w:hAnsi="Times New Roman" w:cs="Times New Roman"/>
          <w:sz w:val="24"/>
          <w:szCs w:val="24"/>
          <w:lang w:val="en-GB"/>
        </w:rPr>
        <w:t xml:space="preserve"> peer</w:t>
      </w:r>
      <w:r w:rsidR="004701EA">
        <w:rPr>
          <w:rFonts w:ascii="Times New Roman" w:hAnsi="Times New Roman" w:cs="Times New Roman"/>
          <w:sz w:val="24"/>
          <w:szCs w:val="24"/>
          <w:lang w:val="en-GB"/>
        </w:rPr>
        <w:t>-</w:t>
      </w:r>
      <w:r w:rsidR="00FB4607" w:rsidRPr="00647839">
        <w:rPr>
          <w:rFonts w:ascii="Times New Roman" w:hAnsi="Times New Roman" w:cs="Times New Roman"/>
          <w:sz w:val="24"/>
          <w:szCs w:val="24"/>
          <w:lang w:val="en-GB"/>
        </w:rPr>
        <w:t xml:space="preserve">reviewed literature, </w:t>
      </w:r>
      <w:r w:rsidR="00F060E4">
        <w:rPr>
          <w:rFonts w:ascii="Times New Roman" w:hAnsi="Times New Roman" w:cs="Times New Roman"/>
          <w:sz w:val="24"/>
          <w:szCs w:val="24"/>
          <w:lang w:val="en-GB"/>
        </w:rPr>
        <w:t>and</w:t>
      </w:r>
      <w:r w:rsidR="00FB4607" w:rsidRPr="00647839">
        <w:rPr>
          <w:rFonts w:ascii="Times New Roman" w:hAnsi="Times New Roman" w:cs="Times New Roman"/>
          <w:sz w:val="24"/>
          <w:szCs w:val="24"/>
          <w:lang w:val="en-GB"/>
        </w:rPr>
        <w:t xml:space="preserve"> </w:t>
      </w:r>
      <w:r w:rsidR="00173B5E" w:rsidRPr="00647839">
        <w:rPr>
          <w:rFonts w:ascii="Times New Roman" w:hAnsi="Times New Roman" w:cs="Times New Roman"/>
          <w:sz w:val="24"/>
          <w:szCs w:val="24"/>
          <w:lang w:val="en-GB"/>
        </w:rPr>
        <w:t>the Micronutrients database of the WHO Vitamin and Mineral Nutrition Information System</w:t>
      </w:r>
      <w:r w:rsidR="00AA6218">
        <w:rPr>
          <w:rFonts w:ascii="Times New Roman" w:hAnsi="Times New Roman" w:cs="Times New Roman"/>
          <w:sz w:val="24"/>
          <w:szCs w:val="24"/>
          <w:lang w:val="en-GB"/>
        </w:rPr>
        <w:t xml:space="preserve"> (VMNIS)</w:t>
      </w:r>
      <w:r w:rsidR="00255914">
        <w:rPr>
          <w:rFonts w:ascii="Times New Roman" w:hAnsi="Times New Roman" w:cs="Times New Roman"/>
          <w:sz w:val="24"/>
          <w:szCs w:val="24"/>
          <w:lang w:val="en-GB"/>
        </w:rPr>
        <w:fldChar w:fldCharType="begin"/>
      </w:r>
      <w:r w:rsidR="00A20B24">
        <w:rPr>
          <w:rFonts w:ascii="Times New Roman" w:hAnsi="Times New Roman" w:cs="Times New Roman"/>
          <w:sz w:val="24"/>
          <w:szCs w:val="24"/>
          <w:lang w:val="en-GB"/>
        </w:rPr>
        <w:instrText xml:space="preserve"> ADDIN ZOTERO_ITEM CSL_CITATION {"citationID":"7r9yrohD","properties":{"formattedCitation":"\\super 21\\nosupersub{}","plainCitation":"21","noteIndex":0},"citationItems":[{"id":2920,"uris":["http://zotero.org/users/2850877/items/L8A6Z9GM"],"uri":["http://zotero.org/users/2850877/items/L8A6Z9GM"],"itemData":{"id":2920,"type":"webpage","abstract":"The Vitamin and Mineral Nutrition Information System (VMNIS), formerly known as the Micronutrient Deficiency Information System (MDIS), was established in 1991 following a request by the World Health Assembly to strengthen surveillance of micronutrient deficiencies at the global level.","language":"en","title":"Vitamin and Mineral Nutrition Information System (VMNIS)","URL":"https://www.who.int/teams/nutrition-and-food-safety/databases/vitamin-and-mineral-nutrition-information-system","author":[{"literal":"WHO"}],"accessed":{"date-parts":[["2021",6,13]]}}}],"schema":"https://github.com/citation-style-language/schema/raw/master/csl-citation.json"} </w:instrText>
      </w:r>
      <w:r w:rsidR="00255914">
        <w:rPr>
          <w:rFonts w:ascii="Times New Roman" w:hAnsi="Times New Roman" w:cs="Times New Roman"/>
          <w:sz w:val="24"/>
          <w:szCs w:val="24"/>
          <w:lang w:val="en-GB"/>
        </w:rPr>
        <w:fldChar w:fldCharType="separate"/>
      </w:r>
      <w:r w:rsidR="00A20B24" w:rsidRPr="00A20B24">
        <w:rPr>
          <w:rFonts w:ascii="Times New Roman" w:hAnsi="Times New Roman" w:cs="Times New Roman"/>
          <w:color w:val="000000"/>
          <w:sz w:val="24"/>
          <w:vertAlign w:val="superscript"/>
        </w:rPr>
        <w:t>21</w:t>
      </w:r>
      <w:r w:rsidR="00255914">
        <w:rPr>
          <w:rFonts w:ascii="Times New Roman" w:hAnsi="Times New Roman" w:cs="Times New Roman"/>
          <w:sz w:val="24"/>
          <w:szCs w:val="24"/>
          <w:lang w:val="en-GB"/>
        </w:rPr>
        <w:fldChar w:fldCharType="end"/>
      </w:r>
      <w:r w:rsidR="00FB4607" w:rsidRPr="00AA6218">
        <w:rPr>
          <w:rFonts w:ascii="Times New Roman" w:hAnsi="Times New Roman" w:cs="Times New Roman"/>
          <w:sz w:val="24"/>
          <w:szCs w:val="24"/>
          <w:lang w:val="en-GB"/>
        </w:rPr>
        <w:t xml:space="preserve"> and </w:t>
      </w:r>
      <w:r w:rsidR="00C65509">
        <w:rPr>
          <w:rFonts w:ascii="Times New Roman" w:hAnsi="Times New Roman" w:cs="Times New Roman"/>
          <w:sz w:val="24"/>
          <w:szCs w:val="24"/>
          <w:lang w:val="en-GB"/>
        </w:rPr>
        <w:t xml:space="preserve">contacted </w:t>
      </w:r>
      <w:r w:rsidR="00FB4607" w:rsidRPr="00AA6218">
        <w:rPr>
          <w:rFonts w:ascii="Times New Roman" w:hAnsi="Times New Roman" w:cs="Times New Roman"/>
          <w:sz w:val="24"/>
          <w:szCs w:val="24"/>
          <w:lang w:val="en-GB"/>
        </w:rPr>
        <w:t>individuals and countr</w:t>
      </w:r>
      <w:r w:rsidR="00F56D12">
        <w:rPr>
          <w:rFonts w:ascii="Times New Roman" w:hAnsi="Times New Roman" w:cs="Times New Roman"/>
          <w:sz w:val="24"/>
          <w:szCs w:val="24"/>
          <w:lang w:val="en-GB"/>
        </w:rPr>
        <w:t>y representatives</w:t>
      </w:r>
      <w:r w:rsidR="00FB4607" w:rsidRPr="00AA6218">
        <w:rPr>
          <w:rFonts w:ascii="Times New Roman" w:hAnsi="Times New Roman" w:cs="Times New Roman"/>
          <w:sz w:val="24"/>
          <w:szCs w:val="24"/>
          <w:lang w:val="en-GB"/>
        </w:rPr>
        <w:t xml:space="preserve"> </w:t>
      </w:r>
      <w:r w:rsidR="00484610">
        <w:rPr>
          <w:rFonts w:ascii="Times New Roman" w:hAnsi="Times New Roman" w:cs="Times New Roman"/>
          <w:sz w:val="24"/>
          <w:szCs w:val="24"/>
          <w:lang w:val="en-GB"/>
        </w:rPr>
        <w:t xml:space="preserve">to request access </w:t>
      </w:r>
      <w:r w:rsidR="00FB4607" w:rsidRPr="00AA6218">
        <w:rPr>
          <w:rFonts w:ascii="Times New Roman" w:hAnsi="Times New Roman" w:cs="Times New Roman"/>
          <w:sz w:val="24"/>
          <w:szCs w:val="24"/>
          <w:lang w:val="en-GB"/>
        </w:rPr>
        <w:t xml:space="preserve">using our own networks </w:t>
      </w:r>
      <w:r w:rsidR="00152914" w:rsidRPr="00AA6218">
        <w:rPr>
          <w:rFonts w:ascii="Times New Roman" w:hAnsi="Times New Roman" w:cs="Times New Roman"/>
          <w:sz w:val="24"/>
          <w:szCs w:val="24"/>
          <w:lang w:val="en-GB"/>
        </w:rPr>
        <w:t>(</w:t>
      </w:r>
      <w:r w:rsidR="00647839" w:rsidRPr="00AA6218">
        <w:rPr>
          <w:rFonts w:ascii="Times New Roman" w:hAnsi="Times New Roman" w:cs="Times New Roman"/>
          <w:sz w:val="24"/>
          <w:szCs w:val="24"/>
          <w:lang w:val="en-GB"/>
        </w:rPr>
        <w:t>appendix 2)</w:t>
      </w:r>
      <w:r w:rsidR="00152914" w:rsidRPr="00647839">
        <w:rPr>
          <w:rFonts w:ascii="Times New Roman" w:hAnsi="Times New Roman" w:cs="Times New Roman"/>
          <w:sz w:val="24"/>
          <w:szCs w:val="24"/>
          <w:lang w:val="en-GB"/>
        </w:rPr>
        <w:t>.</w:t>
      </w:r>
    </w:p>
    <w:p w14:paraId="30F36125" w14:textId="77777777" w:rsidR="00383603" w:rsidRDefault="00383603" w:rsidP="00FB4607">
      <w:pPr>
        <w:rPr>
          <w:rFonts w:ascii="Times New Roman" w:hAnsi="Times New Roman" w:cs="Times New Roman"/>
          <w:sz w:val="24"/>
          <w:szCs w:val="24"/>
          <w:lang w:val="en-GB"/>
        </w:rPr>
      </w:pPr>
    </w:p>
    <w:p w14:paraId="2546DE69" w14:textId="3D2CF8F5" w:rsidR="00FB4607" w:rsidRPr="00FB4607" w:rsidRDefault="00D62421" w:rsidP="00FB4607">
      <w:pPr>
        <w:rPr>
          <w:rFonts w:ascii="Times New Roman" w:hAnsi="Times New Roman" w:cs="Times New Roman"/>
          <w:sz w:val="24"/>
          <w:szCs w:val="24"/>
          <w:lang w:val="en-GB"/>
        </w:rPr>
      </w:pPr>
      <w:r>
        <w:rPr>
          <w:rFonts w:ascii="Times New Roman" w:hAnsi="Times New Roman" w:cs="Times New Roman"/>
          <w:sz w:val="24"/>
          <w:szCs w:val="24"/>
          <w:lang w:val="en-GB"/>
        </w:rPr>
        <w:t>Micronutrient</w:t>
      </w:r>
      <w:r w:rsidR="003B1DA7">
        <w:rPr>
          <w:rFonts w:ascii="Times New Roman" w:hAnsi="Times New Roman" w:cs="Times New Roman"/>
          <w:sz w:val="24"/>
          <w:szCs w:val="24"/>
          <w:lang w:val="en-GB"/>
        </w:rPr>
        <w:t xml:space="preserve"> status biomarker</w:t>
      </w:r>
      <w:r w:rsidR="00FB4607" w:rsidRPr="00FB4607">
        <w:rPr>
          <w:rFonts w:ascii="Times New Roman" w:hAnsi="Times New Roman" w:cs="Times New Roman"/>
          <w:sz w:val="24"/>
          <w:szCs w:val="24"/>
          <w:lang w:val="en-GB"/>
        </w:rPr>
        <w:t xml:space="preserve"> data were adjusted for inflammation following the BRINDA approach (appendix 3).</w:t>
      </w:r>
      <w:r w:rsidR="000E7C31">
        <w:rPr>
          <w:rFonts w:ascii="Times New Roman" w:hAnsi="Times New Roman" w:cs="Times New Roman"/>
          <w:sz w:val="24"/>
          <w:szCs w:val="24"/>
          <w:lang w:val="en-GB"/>
        </w:rPr>
        <w:fldChar w:fldCharType="begin"/>
      </w:r>
      <w:r w:rsidR="001D108C">
        <w:rPr>
          <w:rFonts w:ascii="Times New Roman" w:hAnsi="Times New Roman" w:cs="Times New Roman"/>
          <w:sz w:val="24"/>
          <w:szCs w:val="24"/>
          <w:lang w:val="en-GB"/>
        </w:rPr>
        <w:instrText xml:space="preserve"> ADDIN ZOTERO_ITEM CSL_CITATION {"citationID":"ZK4yfoBS","properties":{"formattedCitation":"\\super 24\\nosupersub{}","plainCitation":"24","noteIndex":0},"citationItems":[{"id":3193,"uris":["http://zotero.org/users/2850877/items/WUJR5ULQ"],"uri":["http://zotero.org/users/2850877/items/WUJR5ULQ"],"itemData":{"id":3193,"type":"article-journal","abstract":"Background: The Biomarkers Reflecting Inflammation and Nutritional Determinants of Anemia (BRINDA) project is a multiagency and multicountry collaboration that was formed to improve micronutrient assessment and to better characterize anemia.Objectives: The aims of the project were to 1) identify factors associated with inflammation, 2) assess the relations between inflammation, malaria infection, and biomarkers of iron and vitamin A status and compare adjustment approaches, and 3) assess risk factors for anemia in preschool children (PSC) and women of reproductive age (WRA).Design: The BRINDA database inclusion criteria included surveys that 1) were conducted after 2004, 2) had target groups of PSC, WRA, or both, and 3) used a similar laboratory methodology for the measurement of ≥1 biomarker of iron [ferritin or soluble transferrin receptor or vitamin A status (retinol-binding protein or retinol)] and ≥1 biomarker of inflammation (α-1-acid glycoprotein or C-reactive protein). Individual data sets were standardized and merged into a BRINDA database comprising 16 nationally and regionally representative surveys from 14 countries. Collectively, the database covered all 6 WHO geographic regions and contained </w:instrText>
      </w:r>
      <w:r w:rsidR="001D108C">
        <w:rPr>
          <w:rFonts w:ascii="Cambria Math" w:hAnsi="Cambria Math" w:cs="Cambria Math"/>
          <w:sz w:val="24"/>
          <w:szCs w:val="24"/>
          <w:lang w:val="en-GB"/>
        </w:rPr>
        <w:instrText>∼</w:instrText>
      </w:r>
      <w:r w:rsidR="001D108C">
        <w:rPr>
          <w:rFonts w:ascii="Times New Roman" w:hAnsi="Times New Roman" w:cs="Times New Roman"/>
          <w:sz w:val="24"/>
          <w:szCs w:val="24"/>
          <w:lang w:val="en-GB"/>
        </w:rPr>
        <w:instrText xml:space="preserve">30,000 PSC and 27,000 WRA. Data were analyzed individually and combined with the use of a meta-analysis.Results: The methods that were used to standardize the BRINDA database and the analytic approaches used to address the project's research questions are presented in this article. Three approaches to adjust micronutrient biomarker concentrations in the presence of inflammation and malaria infection are presented, along with an anemia conceptual framework that guided the BRINDA project's anemia analyses.Conclusions: The BRINDA project refines approaches to interpret iron and vitamin A biomarker values in settings of inflammation and malaria infection and suggests the use of a new regression approach as well as proposes an anemia framework to which real-world data can be applied. Findings can inform guidelines and strategies to prevent and control micronutrient deficiencies and anemia globally.","container-title":"The American Journal of Clinical Nutrition","DOI":"10.3945/ajcn.116.142273","ISSN":"1938-3207","issue":"Suppl 1","journalAbbreviation":"Am J Clin Nutr","language":"eng","note":"PMID: 28615254\nPMCID: PMC5490643","page":"333S-347S","source":"PubMed","title":"Methodologic approach for the Biomarkers Reflecting Inflammation and Nutritional Determinants of Anemia (BRINDA) project","volume":"106","author":[{"family":"Namaste","given":"Sorrel Ml"},{"family":"Aaron","given":"Grant J."},{"family":"Varadhan","given":"Ravi"},{"family":"Peerson","given":"Janet M."},{"family":"Suchdev","given":"Parminder S."},{"literal":"BRINDA Working Group"}],"issued":{"date-parts":[["2017",7]]}}}],"schema":"https://github.com/citation-style-language/schema/raw/master/csl-citation.json"} </w:instrText>
      </w:r>
      <w:r w:rsidR="000E7C31">
        <w:rPr>
          <w:rFonts w:ascii="Times New Roman" w:hAnsi="Times New Roman" w:cs="Times New Roman"/>
          <w:sz w:val="24"/>
          <w:szCs w:val="24"/>
          <w:lang w:val="en-GB"/>
        </w:rPr>
        <w:fldChar w:fldCharType="separate"/>
      </w:r>
      <w:r w:rsidR="001D108C" w:rsidRPr="001D108C">
        <w:rPr>
          <w:rFonts w:ascii="Times New Roman" w:hAnsi="Times New Roman" w:cs="Times New Roman"/>
          <w:color w:val="000000"/>
          <w:sz w:val="24"/>
          <w:vertAlign w:val="superscript"/>
        </w:rPr>
        <w:t>24</w:t>
      </w:r>
      <w:r w:rsidR="000E7C31">
        <w:rPr>
          <w:rFonts w:ascii="Times New Roman" w:hAnsi="Times New Roman" w:cs="Times New Roman"/>
          <w:sz w:val="24"/>
          <w:szCs w:val="24"/>
          <w:lang w:val="en-GB"/>
        </w:rPr>
        <w:fldChar w:fldCharType="end"/>
      </w:r>
      <w:r w:rsidR="00FB4607" w:rsidRPr="00FB4607">
        <w:rPr>
          <w:rFonts w:ascii="Times New Roman" w:hAnsi="Times New Roman" w:cs="Times New Roman"/>
          <w:sz w:val="24"/>
          <w:szCs w:val="24"/>
          <w:lang w:val="en-GB"/>
        </w:rPr>
        <w:t xml:space="preserve"> Comparable definitions of deficiency were applied to all surveys, using cut-off</w:t>
      </w:r>
      <w:r w:rsidR="00140E0D">
        <w:rPr>
          <w:rFonts w:ascii="Times New Roman" w:hAnsi="Times New Roman" w:cs="Times New Roman"/>
          <w:sz w:val="24"/>
          <w:szCs w:val="24"/>
          <w:lang w:val="en-GB"/>
        </w:rPr>
        <w:t>s</w:t>
      </w:r>
      <w:r w:rsidR="00FB4607" w:rsidRPr="00FB4607">
        <w:rPr>
          <w:rFonts w:ascii="Times New Roman" w:hAnsi="Times New Roman" w:cs="Times New Roman"/>
          <w:sz w:val="24"/>
          <w:szCs w:val="24"/>
          <w:lang w:val="en-GB"/>
        </w:rPr>
        <w:t xml:space="preserve"> widely accepted and published in </w:t>
      </w:r>
      <w:r w:rsidR="00B03675">
        <w:rPr>
          <w:rFonts w:ascii="Times New Roman" w:hAnsi="Times New Roman" w:cs="Times New Roman"/>
          <w:sz w:val="24"/>
          <w:szCs w:val="24"/>
          <w:lang w:val="en-GB"/>
        </w:rPr>
        <w:t xml:space="preserve">the </w:t>
      </w:r>
      <w:r w:rsidR="00FB4607" w:rsidRPr="00FB4607">
        <w:rPr>
          <w:rFonts w:ascii="Times New Roman" w:hAnsi="Times New Roman" w:cs="Times New Roman"/>
          <w:sz w:val="24"/>
          <w:szCs w:val="24"/>
          <w:lang w:val="en-GB"/>
        </w:rPr>
        <w:t>available literature (</w:t>
      </w:r>
      <w:r w:rsidR="00D31A22">
        <w:rPr>
          <w:rFonts w:ascii="Times New Roman" w:hAnsi="Times New Roman" w:cs="Times New Roman"/>
          <w:sz w:val="24"/>
          <w:szCs w:val="24"/>
          <w:lang w:val="en-GB"/>
        </w:rPr>
        <w:t>Table 1</w:t>
      </w:r>
      <w:r w:rsidR="007E4633">
        <w:rPr>
          <w:rFonts w:ascii="Times New Roman" w:hAnsi="Times New Roman" w:cs="Times New Roman"/>
          <w:sz w:val="24"/>
          <w:szCs w:val="24"/>
          <w:lang w:val="en-GB"/>
        </w:rPr>
        <w:t xml:space="preserve">, </w:t>
      </w:r>
      <w:r w:rsidR="00794262">
        <w:rPr>
          <w:rFonts w:ascii="Times New Roman" w:hAnsi="Times New Roman" w:cs="Times New Roman"/>
          <w:sz w:val="24"/>
          <w:szCs w:val="24"/>
          <w:lang w:val="en-GB"/>
        </w:rPr>
        <w:t>appendix</w:t>
      </w:r>
      <w:r w:rsidR="0056646D">
        <w:rPr>
          <w:rFonts w:ascii="Times New Roman" w:hAnsi="Times New Roman" w:cs="Times New Roman"/>
          <w:sz w:val="24"/>
          <w:szCs w:val="24"/>
          <w:lang w:val="en-GB"/>
        </w:rPr>
        <w:t xml:space="preserve"> Table 4</w:t>
      </w:r>
      <w:r w:rsidR="00FB4607" w:rsidRPr="00FB4607">
        <w:rPr>
          <w:rFonts w:ascii="Times New Roman" w:hAnsi="Times New Roman" w:cs="Times New Roman"/>
          <w:sz w:val="24"/>
          <w:szCs w:val="24"/>
          <w:lang w:val="en-GB"/>
        </w:rPr>
        <w:t xml:space="preserve">). </w:t>
      </w:r>
      <w:r w:rsidR="00C5230E">
        <w:rPr>
          <w:rFonts w:ascii="Times New Roman" w:hAnsi="Times New Roman" w:cs="Times New Roman"/>
          <w:sz w:val="24"/>
          <w:szCs w:val="24"/>
          <w:lang w:val="en-GB"/>
        </w:rPr>
        <w:t xml:space="preserve">Assay-adjusted cut-offs were used for folate because </w:t>
      </w:r>
      <w:r w:rsidR="00FB4607" w:rsidRPr="00FB4607">
        <w:rPr>
          <w:rFonts w:ascii="Times New Roman" w:hAnsi="Times New Roman" w:cs="Times New Roman"/>
          <w:sz w:val="24"/>
          <w:szCs w:val="24"/>
          <w:lang w:val="en-GB"/>
        </w:rPr>
        <w:t>the assay used can bias folate measurement</w:t>
      </w:r>
      <w:r w:rsidR="005E5FA3">
        <w:rPr>
          <w:rFonts w:ascii="Times New Roman" w:hAnsi="Times New Roman" w:cs="Times New Roman"/>
          <w:sz w:val="24"/>
          <w:szCs w:val="24"/>
          <w:lang w:val="en-GB"/>
        </w:rPr>
        <w:t xml:space="preserve"> </w:t>
      </w:r>
      <w:r w:rsidR="00FB4607" w:rsidRPr="00FB4607">
        <w:rPr>
          <w:rFonts w:ascii="Times New Roman" w:hAnsi="Times New Roman" w:cs="Times New Roman"/>
          <w:sz w:val="24"/>
          <w:szCs w:val="24"/>
          <w:lang w:val="en-GB"/>
        </w:rPr>
        <w:t xml:space="preserve">(appendix </w:t>
      </w:r>
      <w:r w:rsidR="006B6693">
        <w:rPr>
          <w:rFonts w:ascii="Times New Roman" w:hAnsi="Times New Roman" w:cs="Times New Roman"/>
          <w:sz w:val="24"/>
          <w:szCs w:val="24"/>
          <w:lang w:val="en-GB"/>
        </w:rPr>
        <w:t>3</w:t>
      </w:r>
      <w:r w:rsidR="00FB4607" w:rsidRPr="00FB4607">
        <w:rPr>
          <w:rFonts w:ascii="Times New Roman" w:hAnsi="Times New Roman" w:cs="Times New Roman"/>
          <w:sz w:val="24"/>
          <w:szCs w:val="24"/>
          <w:lang w:val="en-GB"/>
        </w:rPr>
        <w:t xml:space="preserve">, appendix </w:t>
      </w:r>
      <w:r w:rsidR="00C45F78">
        <w:rPr>
          <w:rFonts w:ascii="Times New Roman" w:hAnsi="Times New Roman" w:cs="Times New Roman"/>
          <w:sz w:val="24"/>
          <w:szCs w:val="24"/>
          <w:lang w:val="en-GB"/>
        </w:rPr>
        <w:t>T</w:t>
      </w:r>
      <w:r w:rsidR="00FB4607" w:rsidRPr="00FB4607">
        <w:rPr>
          <w:rFonts w:ascii="Times New Roman" w:hAnsi="Times New Roman" w:cs="Times New Roman"/>
          <w:sz w:val="24"/>
          <w:szCs w:val="24"/>
          <w:lang w:val="en-GB"/>
        </w:rPr>
        <w:t>ables 6</w:t>
      </w:r>
      <w:r w:rsidR="00A513AB">
        <w:rPr>
          <w:rFonts w:ascii="Times New Roman" w:hAnsi="Times New Roman" w:cs="Times New Roman"/>
          <w:sz w:val="24"/>
          <w:szCs w:val="24"/>
          <w:lang w:val="en-GB"/>
        </w:rPr>
        <w:t>–</w:t>
      </w:r>
      <w:r w:rsidR="00FB4607" w:rsidRPr="00FB4607">
        <w:rPr>
          <w:rFonts w:ascii="Times New Roman" w:hAnsi="Times New Roman" w:cs="Times New Roman"/>
          <w:sz w:val="24"/>
          <w:szCs w:val="24"/>
          <w:lang w:val="en-GB"/>
        </w:rPr>
        <w:t>7).</w:t>
      </w:r>
      <w:r w:rsidR="00C5230E" w:rsidRPr="00FB4607">
        <w:rPr>
          <w:rFonts w:ascii="Times New Roman" w:hAnsi="Times New Roman" w:cs="Times New Roman"/>
          <w:sz w:val="24"/>
          <w:szCs w:val="24"/>
          <w:lang w:val="en-GB"/>
        </w:rPr>
        <w:fldChar w:fldCharType="begin" w:fldLock="1"/>
      </w:r>
      <w:r w:rsidR="001D108C">
        <w:rPr>
          <w:rFonts w:ascii="Times New Roman" w:hAnsi="Times New Roman" w:cs="Times New Roman"/>
          <w:sz w:val="24"/>
          <w:szCs w:val="24"/>
          <w:lang w:val="en-GB"/>
        </w:rPr>
        <w:instrText xml:space="preserve"> ADDIN ZOTERO_ITEM CSL_CITATION {"citationID":"Juuc6Jfq","properties":{"formattedCitation":"\\super 25\\nosupersub{}","plainCitation":"25","noteIndex":0},"citationItems":[{"id":"2a68pk1S/jrF2YRgm","uris":["http://www.mendeley.com/documents/?uuid=a584ba0e-1383-3dcb-a468-667e4dba6c2d"],"uri":["http://www.mendeley.com/documents/?uuid=a584ba0e-1383-3dcb-a468-667e4dba6c2d"],"itemData":{"DOI":"10.1111/NYAS.13963","ISSN":"1749-6632","PMID":"30239016","abstract":"Inadequate folate status in women of reproductive age (WRA) can lead to adverse health consequences of public health significance, such as megaloblastic anemia (folate deficiency) and an increased risk of neural tube defect (NTD)-affected pregnancies (folate insufficiency). Our review aims to evaluate current data on folate status of WRA. We queried eight databases and the World Health Organization Micronutrients Database, identifying 45 relevant surveys conducted between 2000 and 2014 in 39 countries. Several types of folate assays were used in the analysis of blood folate, and many surveys used folate cutoffs not matched to the assay. To allow better comparisons across surveys, we attempted to account for these differences. The prevalence of folate deficiency was &gt;20% in many countries with lower income economies but was typically &lt;5% in countries with higher income economies. Only 11 surveys reported the prevalence of folate insufficiency, which was &gt;40% in most countries. Overall, folate status data for WRA globally are limited and must be carefully interpreted due to methodological issues. Future surveys would benefit from using the microbiologic assay to assess folate status, along with assay-matched cutoffs to improve monitoring and evaluation of folic acid interventions, thus informing global efforts to prevent NTDs.","author":[{"dropping-particle":"","family":"Rogers","given":"Lisa M.","non-dropping-particle":"","parse-names":false,"suffix":""},{"dropping-particle":"","family":"Cordero","given":"Amy M.","non-dropping-particle":"","parse-names":false,"suffix":""},{"dropping-particle":"","family":"Pfeiffer","given":"Christine M.","non-dropping-particle":"","parse-names":false,"suffix":""},{"dropping-particle":"","family":"Hausman","given":"Dorothy B.","non-dropping-particle":"","parse-names":false,"suffix":""},{"dropping-particle":"","family":"Tsang","given":"Becky L.","non-dropping-particle":"","parse-names":false,"suffix":""},{"dropping-particle":"","family":"De-Regil","given":"Luz María","non-dropping-particle":"","parse-names":false,"suffix":""},{"dropping-particle":"","family":"Rosenthal","given":"Jorge","non-dropping-particle":"","parse-names":false,"suffix":""},{"dropping-particle":"","family":"Razzaghi","given":"Hilda","non-dropping-particle":"","parse-names":false,"suffix":""},{"dropping-particle":"","family":"Wong","given":"Eugene C.","non-dropping-particle":"","parse-names":false,"suffix":""},{"dropping-particle":"","family":"Weakland","given":"Aliki P.","non-dropping-particle":"","parse-names":false,"suffix":""},{"dropping-particle":"","family":"Bailey","given":"Lynn B.","non-dropping-particle":"","parse-names":false,"suffix":""}],"container-title":"Annals of the New York Academy of Sciences","id":"ITEM-1","issue":"1","issued":{"date-parts":[["2018"]]},"publisher":"Ann N Y Acad Sci","title":"Global folate status in women of reproductive age: a systematic review with emphasis on methodological issues","type":"article-journal","volume":"1431"}}],"schema":"https://github.com/citation-style-language/schema/raw/master/csl-citation.json"} </w:instrText>
      </w:r>
      <w:r w:rsidR="00C5230E" w:rsidRPr="00FB4607">
        <w:rPr>
          <w:rFonts w:ascii="Times New Roman" w:hAnsi="Times New Roman" w:cs="Times New Roman"/>
          <w:sz w:val="24"/>
          <w:szCs w:val="24"/>
          <w:lang w:val="en-GB"/>
        </w:rPr>
        <w:fldChar w:fldCharType="separate"/>
      </w:r>
      <w:r w:rsidR="001D108C" w:rsidRPr="001D108C">
        <w:rPr>
          <w:rFonts w:ascii="Times New Roman" w:hAnsi="Times New Roman" w:cs="Times New Roman"/>
          <w:color w:val="000000"/>
          <w:sz w:val="24"/>
          <w:vertAlign w:val="superscript"/>
        </w:rPr>
        <w:t>25</w:t>
      </w:r>
      <w:r w:rsidR="00C5230E" w:rsidRPr="00FB4607">
        <w:rPr>
          <w:rFonts w:ascii="Times New Roman" w:hAnsi="Times New Roman" w:cs="Times New Roman"/>
          <w:sz w:val="24"/>
          <w:szCs w:val="24"/>
        </w:rPr>
        <w:fldChar w:fldCharType="end"/>
      </w:r>
    </w:p>
    <w:p w14:paraId="69163CD3" w14:textId="77777777" w:rsidR="00600C5F" w:rsidRDefault="00600C5F" w:rsidP="00FB4607">
      <w:pPr>
        <w:rPr>
          <w:rFonts w:ascii="Times New Roman" w:hAnsi="Times New Roman" w:cs="Times New Roman"/>
          <w:sz w:val="24"/>
          <w:szCs w:val="24"/>
          <w:lang w:val="en-GB"/>
        </w:rPr>
      </w:pPr>
    </w:p>
    <w:p w14:paraId="2ACF24C2" w14:textId="3E2CF982" w:rsidR="00FB4607" w:rsidRDefault="0096386A" w:rsidP="00FB4607">
      <w:pPr>
        <w:rPr>
          <w:rFonts w:ascii="Times New Roman" w:hAnsi="Times New Roman" w:cs="Times New Roman"/>
          <w:sz w:val="24"/>
          <w:szCs w:val="24"/>
          <w:lang w:val="en-GB"/>
        </w:rPr>
      </w:pPr>
      <w:r>
        <w:rPr>
          <w:rFonts w:ascii="Times New Roman" w:hAnsi="Times New Roman" w:cs="Times New Roman"/>
          <w:sz w:val="24"/>
          <w:szCs w:val="24"/>
          <w:lang w:val="en-GB"/>
        </w:rPr>
        <w:t>We identified f</w:t>
      </w:r>
      <w:r w:rsidR="00FB4607" w:rsidRPr="00FB4607">
        <w:rPr>
          <w:rFonts w:ascii="Times New Roman" w:hAnsi="Times New Roman" w:cs="Times New Roman"/>
          <w:sz w:val="24"/>
          <w:szCs w:val="24"/>
          <w:lang w:val="en-GB"/>
        </w:rPr>
        <w:t xml:space="preserve">ew datasets </w:t>
      </w:r>
      <w:r w:rsidR="004701EA">
        <w:rPr>
          <w:rFonts w:ascii="Times New Roman" w:hAnsi="Times New Roman" w:cs="Times New Roman"/>
          <w:sz w:val="24"/>
          <w:szCs w:val="24"/>
          <w:lang w:val="en-GB"/>
        </w:rPr>
        <w:t>which measured</w:t>
      </w:r>
      <w:r w:rsidR="004701EA" w:rsidRPr="00FB4607">
        <w:rPr>
          <w:rFonts w:ascii="Times New Roman" w:hAnsi="Times New Roman" w:cs="Times New Roman"/>
          <w:sz w:val="24"/>
          <w:szCs w:val="24"/>
          <w:lang w:val="en-GB"/>
        </w:rPr>
        <w:t xml:space="preserve"> </w:t>
      </w:r>
      <w:r w:rsidR="00FB4607" w:rsidRPr="00FB4607">
        <w:rPr>
          <w:rFonts w:ascii="Times New Roman" w:hAnsi="Times New Roman" w:cs="Times New Roman"/>
          <w:sz w:val="24"/>
          <w:szCs w:val="24"/>
          <w:lang w:val="en-GB"/>
        </w:rPr>
        <w:t>all six sentinel micronutrients in the same individuals (</w:t>
      </w:r>
      <w:r w:rsidR="00405179">
        <w:rPr>
          <w:rFonts w:ascii="Times New Roman" w:hAnsi="Times New Roman" w:cs="Times New Roman"/>
          <w:sz w:val="24"/>
          <w:szCs w:val="24"/>
          <w:lang w:val="en-GB"/>
        </w:rPr>
        <w:t>two</w:t>
      </w:r>
      <w:r w:rsidR="00FB4607" w:rsidRPr="00FB4607">
        <w:rPr>
          <w:rFonts w:ascii="Times New Roman" w:hAnsi="Times New Roman" w:cs="Times New Roman"/>
          <w:sz w:val="24"/>
          <w:szCs w:val="24"/>
          <w:lang w:val="en-GB"/>
        </w:rPr>
        <w:t xml:space="preserve"> in </w:t>
      </w:r>
      <w:r w:rsidR="00057C73">
        <w:rPr>
          <w:rFonts w:ascii="Times New Roman" w:hAnsi="Times New Roman" w:cs="Times New Roman"/>
          <w:sz w:val="24"/>
          <w:szCs w:val="24"/>
          <w:lang w:val="en-GB"/>
        </w:rPr>
        <w:t>PSC</w:t>
      </w:r>
      <w:r w:rsidR="00405179">
        <w:rPr>
          <w:rFonts w:ascii="Times New Roman" w:hAnsi="Times New Roman" w:cs="Times New Roman"/>
          <w:sz w:val="24"/>
          <w:szCs w:val="24"/>
          <w:lang w:val="en-GB"/>
        </w:rPr>
        <w:t>, four in NPW</w:t>
      </w:r>
      <w:r w:rsidR="00FB4607" w:rsidRPr="00FB4607">
        <w:rPr>
          <w:rFonts w:ascii="Times New Roman" w:hAnsi="Times New Roman" w:cs="Times New Roman"/>
          <w:sz w:val="24"/>
          <w:szCs w:val="24"/>
          <w:lang w:val="en-GB"/>
        </w:rPr>
        <w:t>). Therefore, we simplified the analysis by reducing</w:t>
      </w:r>
      <w:r w:rsidR="004701EA">
        <w:rPr>
          <w:rFonts w:ascii="Times New Roman" w:hAnsi="Times New Roman" w:cs="Times New Roman"/>
          <w:sz w:val="24"/>
          <w:szCs w:val="24"/>
          <w:lang w:val="en-GB"/>
        </w:rPr>
        <w:t xml:space="preserve"> to three</w:t>
      </w:r>
      <w:r w:rsidR="00FB4607" w:rsidRPr="00FB4607">
        <w:rPr>
          <w:rFonts w:ascii="Times New Roman" w:hAnsi="Times New Roman" w:cs="Times New Roman"/>
          <w:sz w:val="24"/>
          <w:szCs w:val="24"/>
          <w:lang w:val="en-GB"/>
        </w:rPr>
        <w:t xml:space="preserve"> the number of micronutrients included in the final analysis. </w:t>
      </w:r>
      <w:r w:rsidR="00E80FE5">
        <w:rPr>
          <w:rFonts w:ascii="Times New Roman" w:hAnsi="Times New Roman" w:cs="Times New Roman"/>
          <w:sz w:val="24"/>
          <w:szCs w:val="24"/>
          <w:lang w:val="en-GB"/>
        </w:rPr>
        <w:t>We aimed</w:t>
      </w:r>
      <w:r w:rsidR="00FB4607" w:rsidRPr="00FB4607">
        <w:rPr>
          <w:rFonts w:ascii="Times New Roman" w:hAnsi="Times New Roman" w:cs="Times New Roman"/>
          <w:sz w:val="24"/>
          <w:szCs w:val="24"/>
          <w:lang w:val="en-GB"/>
        </w:rPr>
        <w:t xml:space="preserve"> to identify a maximum of three core micronutrients which could be used to identify the majority of individuals with any micronutrient deficiency. Two factors were considered: (1) micronutrient deficiencies that ha</w:t>
      </w:r>
      <w:r w:rsidR="00E751A7">
        <w:rPr>
          <w:rFonts w:ascii="Times New Roman" w:hAnsi="Times New Roman" w:cs="Times New Roman"/>
          <w:sz w:val="24"/>
          <w:szCs w:val="24"/>
          <w:lang w:val="en-GB"/>
        </w:rPr>
        <w:t>d</w:t>
      </w:r>
      <w:r w:rsidR="00FB4607" w:rsidRPr="00FB4607">
        <w:rPr>
          <w:rFonts w:ascii="Times New Roman" w:hAnsi="Times New Roman" w:cs="Times New Roman"/>
          <w:sz w:val="24"/>
          <w:szCs w:val="24"/>
          <w:lang w:val="en-GB"/>
        </w:rPr>
        <w:t xml:space="preserve"> a higher prevalence or often </w:t>
      </w:r>
      <w:r w:rsidR="009B2B20" w:rsidRPr="00FB4607">
        <w:rPr>
          <w:rFonts w:ascii="Times New Roman" w:hAnsi="Times New Roman" w:cs="Times New Roman"/>
          <w:sz w:val="24"/>
          <w:szCs w:val="24"/>
          <w:lang w:val="en-GB"/>
        </w:rPr>
        <w:t>occur</w:t>
      </w:r>
      <w:r w:rsidR="009B2B20">
        <w:rPr>
          <w:rFonts w:ascii="Times New Roman" w:hAnsi="Times New Roman" w:cs="Times New Roman"/>
          <w:sz w:val="24"/>
          <w:szCs w:val="24"/>
          <w:lang w:val="en-GB"/>
        </w:rPr>
        <w:t>red</w:t>
      </w:r>
      <w:r w:rsidR="00FB4607" w:rsidRPr="00FB4607">
        <w:rPr>
          <w:rFonts w:ascii="Times New Roman" w:hAnsi="Times New Roman" w:cs="Times New Roman"/>
          <w:sz w:val="24"/>
          <w:szCs w:val="24"/>
          <w:lang w:val="en-GB"/>
        </w:rPr>
        <w:t xml:space="preserve"> </w:t>
      </w:r>
      <w:r w:rsidR="001E0AE5">
        <w:rPr>
          <w:rFonts w:ascii="Times New Roman" w:hAnsi="Times New Roman" w:cs="Times New Roman"/>
          <w:sz w:val="24"/>
          <w:szCs w:val="24"/>
          <w:lang w:val="en-GB"/>
        </w:rPr>
        <w:t>independently</w:t>
      </w:r>
      <w:r w:rsidR="00FB4607" w:rsidRPr="00FB4607">
        <w:rPr>
          <w:rFonts w:ascii="Times New Roman" w:hAnsi="Times New Roman" w:cs="Times New Roman"/>
          <w:sz w:val="24"/>
          <w:szCs w:val="24"/>
          <w:lang w:val="en-GB"/>
        </w:rPr>
        <w:t xml:space="preserve"> and </w:t>
      </w:r>
      <w:r w:rsidR="000E141C">
        <w:rPr>
          <w:rFonts w:ascii="Times New Roman" w:hAnsi="Times New Roman" w:cs="Times New Roman"/>
          <w:sz w:val="24"/>
          <w:szCs w:val="24"/>
          <w:lang w:val="en-GB"/>
        </w:rPr>
        <w:t>were</w:t>
      </w:r>
      <w:r w:rsidR="00FB4607" w:rsidRPr="00FB4607">
        <w:rPr>
          <w:rFonts w:ascii="Times New Roman" w:hAnsi="Times New Roman" w:cs="Times New Roman"/>
          <w:sz w:val="24"/>
          <w:szCs w:val="24"/>
          <w:lang w:val="en-GB"/>
        </w:rPr>
        <w:t xml:space="preserve"> therefore needed to capture a large proportion of individuals with any deficiency, and (2) micronutrients </w:t>
      </w:r>
      <w:r w:rsidR="0021550F">
        <w:rPr>
          <w:rFonts w:ascii="Times New Roman" w:hAnsi="Times New Roman" w:cs="Times New Roman"/>
          <w:sz w:val="24"/>
          <w:szCs w:val="24"/>
          <w:lang w:val="en-GB"/>
        </w:rPr>
        <w:t>that</w:t>
      </w:r>
      <w:r w:rsidR="00FB4607" w:rsidRPr="00FB4607">
        <w:rPr>
          <w:rFonts w:ascii="Times New Roman" w:hAnsi="Times New Roman" w:cs="Times New Roman"/>
          <w:sz w:val="24"/>
          <w:szCs w:val="24"/>
          <w:lang w:val="en-GB"/>
        </w:rPr>
        <w:t xml:space="preserve"> </w:t>
      </w:r>
      <w:r w:rsidR="00E751A7">
        <w:rPr>
          <w:rFonts w:ascii="Times New Roman" w:hAnsi="Times New Roman" w:cs="Times New Roman"/>
          <w:sz w:val="24"/>
          <w:szCs w:val="24"/>
          <w:lang w:val="en-GB"/>
        </w:rPr>
        <w:t>were</w:t>
      </w:r>
      <w:r w:rsidR="00FB4607" w:rsidRPr="00FB4607">
        <w:rPr>
          <w:rFonts w:ascii="Times New Roman" w:hAnsi="Times New Roman" w:cs="Times New Roman"/>
          <w:sz w:val="24"/>
          <w:szCs w:val="24"/>
          <w:lang w:val="en-GB"/>
        </w:rPr>
        <w:t xml:space="preserve"> more frequently measured in the datasets initially included. We selected </w:t>
      </w:r>
      <w:r w:rsidR="00857DD2" w:rsidRPr="00FB4607">
        <w:rPr>
          <w:rFonts w:ascii="Times New Roman" w:hAnsi="Times New Roman" w:cs="Times New Roman"/>
          <w:sz w:val="24"/>
          <w:szCs w:val="24"/>
          <w:lang w:val="en-GB"/>
        </w:rPr>
        <w:t>zinc, iron</w:t>
      </w:r>
      <w:r w:rsidR="00857DD2">
        <w:rPr>
          <w:rFonts w:ascii="Times New Roman" w:hAnsi="Times New Roman" w:cs="Times New Roman"/>
          <w:sz w:val="24"/>
          <w:szCs w:val="24"/>
          <w:lang w:val="en-GB"/>
        </w:rPr>
        <w:t>,</w:t>
      </w:r>
      <w:r w:rsidR="00857DD2" w:rsidRPr="00FB4607">
        <w:rPr>
          <w:rFonts w:ascii="Times New Roman" w:hAnsi="Times New Roman" w:cs="Times New Roman"/>
          <w:sz w:val="24"/>
          <w:szCs w:val="24"/>
          <w:lang w:val="en-GB"/>
        </w:rPr>
        <w:t xml:space="preserve"> and vitamin A as core micronutrients for </w:t>
      </w:r>
      <w:r w:rsidR="00857DD2">
        <w:rPr>
          <w:rFonts w:ascii="Times New Roman" w:hAnsi="Times New Roman" w:cs="Times New Roman"/>
          <w:sz w:val="24"/>
          <w:szCs w:val="24"/>
          <w:lang w:val="en-GB"/>
        </w:rPr>
        <w:t>PSC</w:t>
      </w:r>
      <w:r w:rsidR="00857DD2" w:rsidRPr="00FB4607">
        <w:rPr>
          <w:rFonts w:ascii="Times New Roman" w:hAnsi="Times New Roman" w:cs="Times New Roman"/>
          <w:sz w:val="24"/>
          <w:szCs w:val="24"/>
          <w:lang w:val="en-GB"/>
        </w:rPr>
        <w:t xml:space="preserve"> </w:t>
      </w:r>
      <w:r w:rsidR="00857DD2">
        <w:rPr>
          <w:rFonts w:ascii="Times New Roman" w:hAnsi="Times New Roman" w:cs="Times New Roman"/>
          <w:sz w:val="24"/>
          <w:szCs w:val="24"/>
          <w:lang w:val="en-GB"/>
        </w:rPr>
        <w:t xml:space="preserve">and </w:t>
      </w:r>
      <w:r w:rsidR="00FB4607" w:rsidRPr="00FB4607">
        <w:rPr>
          <w:rFonts w:ascii="Times New Roman" w:hAnsi="Times New Roman" w:cs="Times New Roman"/>
          <w:sz w:val="24"/>
          <w:szCs w:val="24"/>
          <w:lang w:val="en-GB"/>
        </w:rPr>
        <w:t>zinc, iron</w:t>
      </w:r>
      <w:r w:rsidR="00B03B21">
        <w:rPr>
          <w:rFonts w:ascii="Times New Roman" w:hAnsi="Times New Roman" w:cs="Times New Roman"/>
          <w:sz w:val="24"/>
          <w:szCs w:val="24"/>
          <w:lang w:val="en-GB"/>
        </w:rPr>
        <w:t>,</w:t>
      </w:r>
      <w:r w:rsidR="00FB4607" w:rsidRPr="00FB4607">
        <w:rPr>
          <w:rFonts w:ascii="Times New Roman" w:hAnsi="Times New Roman" w:cs="Times New Roman"/>
          <w:sz w:val="24"/>
          <w:szCs w:val="24"/>
          <w:lang w:val="en-GB"/>
        </w:rPr>
        <w:t xml:space="preserve"> and folate as core micronutrients for </w:t>
      </w:r>
      <w:r w:rsidR="00056149">
        <w:rPr>
          <w:rFonts w:ascii="Times New Roman" w:hAnsi="Times New Roman" w:cs="Times New Roman"/>
          <w:sz w:val="24"/>
          <w:szCs w:val="24"/>
          <w:lang w:val="en-GB"/>
        </w:rPr>
        <w:t>NPW</w:t>
      </w:r>
      <w:r w:rsidR="00857DD2">
        <w:rPr>
          <w:rFonts w:ascii="Times New Roman" w:hAnsi="Times New Roman" w:cs="Times New Roman"/>
          <w:sz w:val="24"/>
          <w:szCs w:val="24"/>
          <w:lang w:val="en-GB"/>
        </w:rPr>
        <w:t xml:space="preserve"> </w:t>
      </w:r>
      <w:r w:rsidR="00FB4607" w:rsidRPr="00FB4607">
        <w:rPr>
          <w:rFonts w:ascii="Times New Roman" w:hAnsi="Times New Roman" w:cs="Times New Roman"/>
          <w:sz w:val="24"/>
          <w:szCs w:val="24"/>
          <w:lang w:val="en-GB"/>
        </w:rPr>
        <w:t>(appendix 4). We excluded data sources that did not measure at least two core micronutrients (appendix 5).</w:t>
      </w:r>
    </w:p>
    <w:p w14:paraId="712B6DC6" w14:textId="77777777" w:rsidR="00FB4607" w:rsidRPr="00FB4607" w:rsidRDefault="00FB4607" w:rsidP="00FB4607">
      <w:pPr>
        <w:rPr>
          <w:rFonts w:ascii="Times New Roman" w:hAnsi="Times New Roman" w:cs="Times New Roman"/>
          <w:sz w:val="24"/>
          <w:szCs w:val="24"/>
          <w:lang w:val="en-GB"/>
        </w:rPr>
      </w:pPr>
    </w:p>
    <w:p w14:paraId="67C1EC4F" w14:textId="77777777" w:rsidR="00FB4607" w:rsidRPr="00FB4607" w:rsidRDefault="00FB4607" w:rsidP="00FB4607">
      <w:pPr>
        <w:rPr>
          <w:rFonts w:ascii="Times New Roman" w:hAnsi="Times New Roman" w:cs="Times New Roman"/>
          <w:i/>
          <w:iCs/>
          <w:sz w:val="24"/>
          <w:szCs w:val="24"/>
          <w:lang w:val="en-GB"/>
        </w:rPr>
      </w:pPr>
      <w:r w:rsidRPr="00FB4607">
        <w:rPr>
          <w:rFonts w:ascii="Times New Roman" w:hAnsi="Times New Roman" w:cs="Times New Roman"/>
          <w:i/>
          <w:iCs/>
          <w:sz w:val="24"/>
          <w:szCs w:val="24"/>
          <w:lang w:val="en-GB"/>
        </w:rPr>
        <w:t>Statistical methods</w:t>
      </w:r>
    </w:p>
    <w:p w14:paraId="159377A1" w14:textId="17A21C11" w:rsidR="00FB4607" w:rsidRPr="00FB4607" w:rsidRDefault="00FB4607" w:rsidP="00FB4607">
      <w:pPr>
        <w:rPr>
          <w:rFonts w:ascii="Times New Roman" w:hAnsi="Times New Roman" w:cs="Times New Roman"/>
          <w:sz w:val="24"/>
          <w:szCs w:val="24"/>
          <w:lang w:val="en-GB"/>
        </w:rPr>
      </w:pPr>
      <w:r w:rsidRPr="00FB4607">
        <w:rPr>
          <w:rFonts w:ascii="Times New Roman" w:hAnsi="Times New Roman" w:cs="Times New Roman"/>
          <w:sz w:val="24"/>
          <w:szCs w:val="24"/>
          <w:lang w:val="en-GB"/>
        </w:rPr>
        <w:t xml:space="preserve">All statistical analyses were conducted separately for </w:t>
      </w:r>
      <w:r w:rsidR="009E458A">
        <w:rPr>
          <w:rFonts w:ascii="Times New Roman" w:hAnsi="Times New Roman" w:cs="Times New Roman"/>
          <w:sz w:val="24"/>
          <w:szCs w:val="24"/>
          <w:lang w:val="en-GB"/>
        </w:rPr>
        <w:t xml:space="preserve">PSC and </w:t>
      </w:r>
      <w:r w:rsidR="00545DB8">
        <w:rPr>
          <w:rFonts w:ascii="Times New Roman" w:hAnsi="Times New Roman" w:cs="Times New Roman"/>
          <w:sz w:val="24"/>
          <w:szCs w:val="24"/>
          <w:lang w:val="en-GB"/>
        </w:rPr>
        <w:t>NPW</w:t>
      </w:r>
      <w:r w:rsidRPr="00FB4607">
        <w:rPr>
          <w:rFonts w:ascii="Times New Roman" w:hAnsi="Times New Roman" w:cs="Times New Roman"/>
          <w:sz w:val="24"/>
          <w:szCs w:val="24"/>
          <w:lang w:val="en-GB"/>
        </w:rPr>
        <w:t xml:space="preserve">. Prevalence of </w:t>
      </w:r>
      <w:r w:rsidR="00122430">
        <w:rPr>
          <w:rFonts w:ascii="Times New Roman" w:hAnsi="Times New Roman" w:cs="Times New Roman"/>
          <w:sz w:val="24"/>
          <w:szCs w:val="24"/>
          <w:lang w:val="en-GB"/>
        </w:rPr>
        <w:t xml:space="preserve">deficiency in </w:t>
      </w:r>
      <w:r w:rsidR="00BA30D6">
        <w:rPr>
          <w:rFonts w:ascii="Times New Roman" w:hAnsi="Times New Roman" w:cs="Times New Roman"/>
          <w:sz w:val="24"/>
          <w:szCs w:val="24"/>
          <w:lang w:val="en-GB"/>
        </w:rPr>
        <w:t xml:space="preserve">one or more </w:t>
      </w:r>
      <w:r w:rsidRPr="00FB4607">
        <w:rPr>
          <w:rFonts w:ascii="Times New Roman" w:hAnsi="Times New Roman" w:cs="Times New Roman"/>
          <w:sz w:val="24"/>
          <w:szCs w:val="24"/>
          <w:lang w:val="en-GB"/>
        </w:rPr>
        <w:t xml:space="preserve">measured </w:t>
      </w:r>
      <w:r w:rsidR="00F10031">
        <w:rPr>
          <w:rFonts w:ascii="Times New Roman" w:hAnsi="Times New Roman" w:cs="Times New Roman"/>
          <w:sz w:val="24"/>
          <w:szCs w:val="24"/>
          <w:lang w:val="en-GB"/>
        </w:rPr>
        <w:t xml:space="preserve">core </w:t>
      </w:r>
      <w:r w:rsidR="00122430">
        <w:rPr>
          <w:rFonts w:ascii="Times New Roman" w:hAnsi="Times New Roman" w:cs="Times New Roman"/>
          <w:sz w:val="24"/>
          <w:szCs w:val="24"/>
          <w:lang w:val="en-GB"/>
        </w:rPr>
        <w:t>micronutrients</w:t>
      </w:r>
      <w:r w:rsidRPr="00FB4607">
        <w:rPr>
          <w:rFonts w:ascii="Times New Roman" w:hAnsi="Times New Roman" w:cs="Times New Roman"/>
          <w:sz w:val="24"/>
          <w:szCs w:val="24"/>
          <w:lang w:val="en-GB"/>
        </w:rPr>
        <w:t xml:space="preserve"> and its effective sample size was computed for each survey and population group, taking into account </w:t>
      </w:r>
      <w:r w:rsidR="004B1E8B">
        <w:rPr>
          <w:rFonts w:ascii="Times New Roman" w:hAnsi="Times New Roman" w:cs="Times New Roman"/>
          <w:sz w:val="24"/>
          <w:szCs w:val="24"/>
          <w:lang w:val="en-GB"/>
        </w:rPr>
        <w:t>complex survey design and weighting, where relevant</w:t>
      </w:r>
      <w:r w:rsidRPr="00FB4607">
        <w:rPr>
          <w:rFonts w:ascii="Times New Roman" w:hAnsi="Times New Roman" w:cs="Times New Roman"/>
          <w:sz w:val="24"/>
          <w:szCs w:val="24"/>
          <w:lang w:val="en-GB"/>
        </w:rPr>
        <w:t xml:space="preserve"> (appendix 5). </w:t>
      </w:r>
    </w:p>
    <w:p w14:paraId="45E3BB6B" w14:textId="77777777" w:rsidR="00600C5F" w:rsidRDefault="00600C5F" w:rsidP="00FB4607">
      <w:pPr>
        <w:rPr>
          <w:rFonts w:ascii="Times New Roman" w:hAnsi="Times New Roman" w:cs="Times New Roman"/>
          <w:sz w:val="24"/>
          <w:szCs w:val="24"/>
          <w:lang w:val="en-GB"/>
        </w:rPr>
      </w:pPr>
    </w:p>
    <w:p w14:paraId="556128AA" w14:textId="49B034D3" w:rsidR="00FB4607" w:rsidRPr="00FB4607" w:rsidRDefault="00FB4607" w:rsidP="00FA4821">
      <w:pPr>
        <w:rPr>
          <w:rFonts w:ascii="Times New Roman" w:hAnsi="Times New Roman" w:cs="Times New Roman"/>
          <w:sz w:val="24"/>
          <w:szCs w:val="24"/>
          <w:lang w:val="en-GB"/>
        </w:rPr>
      </w:pPr>
      <w:r w:rsidRPr="00841433">
        <w:rPr>
          <w:rFonts w:ascii="Times New Roman" w:hAnsi="Times New Roman" w:cs="Times New Roman"/>
          <w:sz w:val="24"/>
          <w:szCs w:val="24"/>
          <w:lang w:val="en-GB"/>
        </w:rPr>
        <w:t>D</w:t>
      </w:r>
      <w:r w:rsidRPr="00841433">
        <w:rPr>
          <w:rFonts w:ascii="Times New Roman" w:hAnsi="Times New Roman"/>
          <w:sz w:val="24"/>
          <w:lang w:val="en-GB"/>
        </w:rPr>
        <w:t xml:space="preserve">ata sources that measured </w:t>
      </w:r>
      <w:r w:rsidR="008741F0" w:rsidRPr="00841433">
        <w:rPr>
          <w:rFonts w:ascii="Times New Roman" w:hAnsi="Times New Roman"/>
          <w:sz w:val="24"/>
          <w:lang w:val="en-GB"/>
        </w:rPr>
        <w:t xml:space="preserve">only </w:t>
      </w:r>
      <w:r w:rsidRPr="00841433">
        <w:rPr>
          <w:rFonts w:ascii="Times New Roman" w:hAnsi="Times New Roman"/>
          <w:sz w:val="24"/>
          <w:lang w:val="en-GB"/>
        </w:rPr>
        <w:t xml:space="preserve">two of </w:t>
      </w:r>
      <w:r w:rsidR="00F31C82" w:rsidRPr="00841433">
        <w:rPr>
          <w:rFonts w:ascii="Times New Roman" w:hAnsi="Times New Roman"/>
          <w:sz w:val="24"/>
          <w:lang w:val="en-GB"/>
        </w:rPr>
        <w:t xml:space="preserve">the </w:t>
      </w:r>
      <w:r w:rsidRPr="00841433">
        <w:rPr>
          <w:rFonts w:ascii="Times New Roman" w:hAnsi="Times New Roman"/>
          <w:sz w:val="24"/>
          <w:lang w:val="en-GB"/>
        </w:rPr>
        <w:t xml:space="preserve">three core micronutrients underestimate the prevalence of </w:t>
      </w:r>
      <w:r w:rsidR="0041735E" w:rsidRPr="00841433">
        <w:rPr>
          <w:rFonts w:ascii="Times New Roman" w:hAnsi="Times New Roman"/>
          <w:sz w:val="24"/>
          <w:lang w:val="en-GB"/>
        </w:rPr>
        <w:t xml:space="preserve">deficiency </w:t>
      </w:r>
      <w:r w:rsidR="00FA4821" w:rsidRPr="00841433">
        <w:rPr>
          <w:rFonts w:ascii="Times New Roman" w:hAnsi="Times New Roman"/>
          <w:sz w:val="24"/>
          <w:lang w:val="en-GB"/>
        </w:rPr>
        <w:t>when considering all three</w:t>
      </w:r>
      <w:r w:rsidRPr="00841433">
        <w:rPr>
          <w:rFonts w:ascii="Times New Roman" w:hAnsi="Times New Roman"/>
          <w:sz w:val="24"/>
          <w:lang w:val="en-GB"/>
        </w:rPr>
        <w:t xml:space="preserve"> core micronutrients. To adjust for this bias, we fitted four regression models to estimate the </w:t>
      </w:r>
      <w:r w:rsidR="002F31EC">
        <w:rPr>
          <w:rFonts w:ascii="Times New Roman" w:hAnsi="Times New Roman"/>
          <w:sz w:val="24"/>
          <w:lang w:val="en-GB"/>
        </w:rPr>
        <w:t xml:space="preserve">deficiency </w:t>
      </w:r>
      <w:r w:rsidRPr="00841433">
        <w:rPr>
          <w:rFonts w:ascii="Times New Roman" w:hAnsi="Times New Roman"/>
          <w:sz w:val="24"/>
          <w:lang w:val="en-GB"/>
        </w:rPr>
        <w:t xml:space="preserve">prevalence of the unmeasured micronutrient </w:t>
      </w:r>
      <w:r w:rsidRPr="00841433">
        <w:rPr>
          <w:rFonts w:ascii="Times New Roman" w:hAnsi="Times New Roman" w:cs="Times New Roman"/>
          <w:sz w:val="24"/>
          <w:szCs w:val="24"/>
          <w:lang w:val="en-GB"/>
        </w:rPr>
        <w:t>(appendix 6). An effective sample size was computed that account</w:t>
      </w:r>
      <w:r w:rsidR="005102C8">
        <w:rPr>
          <w:rFonts w:ascii="Times New Roman" w:hAnsi="Times New Roman" w:cs="Times New Roman"/>
          <w:sz w:val="24"/>
          <w:szCs w:val="24"/>
          <w:lang w:val="en-GB"/>
        </w:rPr>
        <w:t>ed</w:t>
      </w:r>
      <w:r w:rsidRPr="00841433">
        <w:rPr>
          <w:rFonts w:ascii="Times New Roman" w:hAnsi="Times New Roman" w:cs="Times New Roman"/>
          <w:sz w:val="24"/>
          <w:szCs w:val="24"/>
          <w:lang w:val="en-GB"/>
        </w:rPr>
        <w:t xml:space="preserve"> for uncertainty from the surveys’</w:t>
      </w:r>
      <w:r w:rsidRPr="00FB4607">
        <w:rPr>
          <w:rFonts w:ascii="Times New Roman" w:hAnsi="Times New Roman" w:cs="Times New Roman"/>
          <w:sz w:val="24"/>
          <w:szCs w:val="24"/>
          <w:lang w:val="en-GB"/>
        </w:rPr>
        <w:t xml:space="preserve"> sample design and from this additional analysis step.</w:t>
      </w:r>
    </w:p>
    <w:p w14:paraId="440C24EB" w14:textId="77777777" w:rsidR="00600C5F" w:rsidRDefault="00600C5F" w:rsidP="00FB4607">
      <w:pPr>
        <w:rPr>
          <w:rFonts w:ascii="Times New Roman" w:hAnsi="Times New Roman" w:cs="Times New Roman"/>
          <w:sz w:val="24"/>
          <w:szCs w:val="24"/>
          <w:lang w:val="en-GB"/>
        </w:rPr>
      </w:pPr>
    </w:p>
    <w:p w14:paraId="0B61DF0C" w14:textId="7E6CC2A1" w:rsidR="00FB4607" w:rsidRPr="00FB4607" w:rsidRDefault="00FB4607" w:rsidP="00FB4607">
      <w:pPr>
        <w:rPr>
          <w:rFonts w:ascii="Times New Roman" w:hAnsi="Times New Roman" w:cs="Times New Roman"/>
          <w:sz w:val="24"/>
          <w:szCs w:val="24"/>
          <w:lang w:val="en-GB"/>
        </w:rPr>
      </w:pPr>
      <w:r w:rsidRPr="00FB4607">
        <w:rPr>
          <w:rFonts w:ascii="Times New Roman" w:hAnsi="Times New Roman" w:cs="Times New Roman"/>
          <w:sz w:val="24"/>
          <w:szCs w:val="24"/>
          <w:lang w:val="en-GB"/>
        </w:rPr>
        <w:t>We fit a Bayesian hierarchical logistic regression</w:t>
      </w:r>
      <w:r w:rsidR="004701EA">
        <w:rPr>
          <w:rFonts w:ascii="Times New Roman" w:hAnsi="Times New Roman" w:cs="Times New Roman"/>
          <w:sz w:val="24"/>
          <w:szCs w:val="24"/>
          <w:lang w:val="en-GB"/>
        </w:rPr>
        <w:t xml:space="preserve"> model</w:t>
      </w:r>
      <w:r w:rsidRPr="00FB4607">
        <w:rPr>
          <w:rFonts w:ascii="Times New Roman" w:hAnsi="Times New Roman" w:cs="Times New Roman"/>
          <w:sz w:val="24"/>
          <w:szCs w:val="24"/>
          <w:lang w:val="en-GB"/>
        </w:rPr>
        <w:t xml:space="preserve"> to estimate the</w:t>
      </w:r>
      <w:r w:rsidR="007D7CD1">
        <w:rPr>
          <w:rFonts w:ascii="Times New Roman" w:hAnsi="Times New Roman" w:cs="Times New Roman"/>
          <w:sz w:val="24"/>
          <w:szCs w:val="24"/>
          <w:lang w:val="en-GB"/>
        </w:rPr>
        <w:t xml:space="preserve"> country-level</w:t>
      </w:r>
      <w:r w:rsidRPr="00FB4607">
        <w:rPr>
          <w:rFonts w:ascii="Times New Roman" w:hAnsi="Times New Roman" w:cs="Times New Roman"/>
          <w:sz w:val="24"/>
          <w:szCs w:val="24"/>
          <w:lang w:val="en-GB"/>
        </w:rPr>
        <w:t xml:space="preserve"> prevalence of </w:t>
      </w:r>
      <w:r w:rsidR="001D60BD">
        <w:rPr>
          <w:rFonts w:ascii="Times New Roman" w:hAnsi="Times New Roman" w:cs="Times New Roman"/>
          <w:sz w:val="24"/>
          <w:szCs w:val="24"/>
          <w:lang w:val="en-GB"/>
        </w:rPr>
        <w:t xml:space="preserve">deficiency in </w:t>
      </w:r>
      <w:r w:rsidR="006F669E">
        <w:rPr>
          <w:rFonts w:ascii="Times New Roman" w:hAnsi="Times New Roman" w:cs="Times New Roman"/>
          <w:sz w:val="24"/>
          <w:szCs w:val="24"/>
          <w:lang w:val="en-GB"/>
        </w:rPr>
        <w:t>one or more</w:t>
      </w:r>
      <w:r w:rsidRPr="00FB4607">
        <w:rPr>
          <w:rFonts w:ascii="Times New Roman" w:hAnsi="Times New Roman" w:cs="Times New Roman"/>
          <w:sz w:val="24"/>
          <w:szCs w:val="24"/>
          <w:lang w:val="en-GB"/>
        </w:rPr>
        <w:t xml:space="preserve"> of </w:t>
      </w:r>
      <w:r w:rsidR="00AF3543">
        <w:rPr>
          <w:rFonts w:ascii="Times New Roman" w:hAnsi="Times New Roman" w:cs="Times New Roman"/>
          <w:sz w:val="24"/>
          <w:szCs w:val="24"/>
          <w:lang w:val="en-GB"/>
        </w:rPr>
        <w:t xml:space="preserve">the </w:t>
      </w:r>
      <w:r w:rsidRPr="00FB4607">
        <w:rPr>
          <w:rFonts w:ascii="Times New Roman" w:hAnsi="Times New Roman" w:cs="Times New Roman"/>
          <w:sz w:val="24"/>
          <w:szCs w:val="24"/>
          <w:lang w:val="en-GB"/>
        </w:rPr>
        <w:t xml:space="preserve">three core </w:t>
      </w:r>
      <w:r w:rsidR="00331BB8">
        <w:rPr>
          <w:rFonts w:ascii="Times New Roman" w:hAnsi="Times New Roman" w:cs="Times New Roman"/>
          <w:sz w:val="24"/>
          <w:szCs w:val="24"/>
          <w:lang w:val="en-GB"/>
        </w:rPr>
        <w:t>micronutrients</w:t>
      </w:r>
      <w:r w:rsidRPr="00FB4607">
        <w:rPr>
          <w:rFonts w:ascii="Times New Roman" w:hAnsi="Times New Roman" w:cs="Times New Roman"/>
          <w:sz w:val="24"/>
          <w:szCs w:val="24"/>
          <w:lang w:val="en-GB"/>
        </w:rPr>
        <w:t xml:space="preserve"> globally and in</w:t>
      </w:r>
      <w:r w:rsidR="004701EA">
        <w:rPr>
          <w:rFonts w:ascii="Times New Roman" w:hAnsi="Times New Roman" w:cs="Times New Roman"/>
          <w:sz w:val="24"/>
          <w:szCs w:val="24"/>
          <w:lang w:val="en-GB"/>
        </w:rPr>
        <w:t xml:space="preserve"> each of the</w:t>
      </w:r>
      <w:r w:rsidRPr="00FB4607">
        <w:rPr>
          <w:rFonts w:ascii="Times New Roman" w:hAnsi="Times New Roman" w:cs="Times New Roman"/>
          <w:sz w:val="24"/>
          <w:szCs w:val="24"/>
          <w:lang w:val="en-GB"/>
        </w:rPr>
        <w:t xml:space="preserve"> </w:t>
      </w:r>
      <w:r w:rsidR="00AF3543">
        <w:rPr>
          <w:rFonts w:ascii="Times New Roman" w:hAnsi="Times New Roman" w:cs="Times New Roman"/>
          <w:sz w:val="24"/>
          <w:szCs w:val="24"/>
          <w:lang w:val="en-GB"/>
        </w:rPr>
        <w:t>seven</w:t>
      </w:r>
      <w:r w:rsidRPr="00FB4607">
        <w:rPr>
          <w:rFonts w:ascii="Times New Roman" w:hAnsi="Times New Roman" w:cs="Times New Roman"/>
          <w:sz w:val="24"/>
          <w:szCs w:val="24"/>
          <w:lang w:val="en-GB"/>
        </w:rPr>
        <w:t xml:space="preserve"> regions (appendix 7). </w:t>
      </w:r>
      <w:r w:rsidR="00226F32">
        <w:rPr>
          <w:rFonts w:ascii="Times New Roman" w:hAnsi="Times New Roman" w:cs="Times New Roman"/>
          <w:sz w:val="24"/>
          <w:szCs w:val="24"/>
          <w:lang w:val="en-GB"/>
        </w:rPr>
        <w:t>This</w:t>
      </w:r>
      <w:r w:rsidR="00BB285B">
        <w:rPr>
          <w:rFonts w:ascii="Times New Roman" w:hAnsi="Times New Roman" w:cs="Times New Roman"/>
          <w:sz w:val="24"/>
          <w:szCs w:val="24"/>
          <w:lang w:val="en-GB"/>
        </w:rPr>
        <w:t xml:space="preserve"> approach ha</w:t>
      </w:r>
      <w:r w:rsidR="00226F32">
        <w:rPr>
          <w:rFonts w:ascii="Times New Roman" w:hAnsi="Times New Roman" w:cs="Times New Roman"/>
          <w:sz w:val="24"/>
          <w:szCs w:val="24"/>
          <w:lang w:val="en-GB"/>
        </w:rPr>
        <w:t>s</w:t>
      </w:r>
      <w:r w:rsidR="00BB285B">
        <w:rPr>
          <w:rFonts w:ascii="Times New Roman" w:hAnsi="Times New Roman" w:cs="Times New Roman"/>
          <w:sz w:val="24"/>
          <w:szCs w:val="24"/>
          <w:lang w:val="en-GB"/>
        </w:rPr>
        <w:t xml:space="preserve"> been </w:t>
      </w:r>
      <w:r w:rsidR="00284107">
        <w:rPr>
          <w:rFonts w:ascii="Times New Roman" w:hAnsi="Times New Roman" w:cs="Times New Roman"/>
          <w:sz w:val="24"/>
          <w:szCs w:val="24"/>
          <w:lang w:val="en-GB"/>
        </w:rPr>
        <w:t>recommended</w:t>
      </w:r>
      <w:r w:rsidR="00BB285B">
        <w:rPr>
          <w:rFonts w:ascii="Times New Roman" w:hAnsi="Times New Roman" w:cs="Times New Roman"/>
          <w:sz w:val="24"/>
          <w:szCs w:val="24"/>
          <w:lang w:val="en-GB"/>
        </w:rPr>
        <w:t xml:space="preserve"> for </w:t>
      </w:r>
      <w:r w:rsidR="00474FCE">
        <w:rPr>
          <w:rFonts w:ascii="Times New Roman" w:hAnsi="Times New Roman" w:cs="Times New Roman"/>
          <w:sz w:val="24"/>
          <w:szCs w:val="24"/>
          <w:lang w:val="en-GB"/>
        </w:rPr>
        <w:t>global and regional estimates of health indicators with limited data available.</w:t>
      </w:r>
      <w:r w:rsidR="00226F32">
        <w:rPr>
          <w:rFonts w:ascii="Times New Roman" w:hAnsi="Times New Roman" w:cs="Times New Roman"/>
          <w:sz w:val="24"/>
          <w:szCs w:val="24"/>
          <w:lang w:val="en-GB"/>
        </w:rPr>
        <w:fldChar w:fldCharType="begin"/>
      </w:r>
      <w:r w:rsidR="001D108C">
        <w:rPr>
          <w:rFonts w:ascii="Times New Roman" w:hAnsi="Times New Roman" w:cs="Times New Roman"/>
          <w:sz w:val="24"/>
          <w:szCs w:val="24"/>
          <w:lang w:val="en-GB"/>
        </w:rPr>
        <w:instrText xml:space="preserve"> ADDIN ZOTERO_ITEM CSL_CITATION {"citationID":"riOmVyup","properties":{"formattedCitation":"\\super 26\\nosupersub{}","plainCitation":"26","noteIndex":0},"citationItems":[{"id":3212,"uris":["http://zotero.org/users/2850877/items/XWHYVU53"],"uri":["http://zotero.org/users/2850877/items/XWHYVU53"],"itemData":{"id":3212,"type":"chapter","abstract":"Mathers, Hogan and Stevens describe statistical and mathematical modelling to produce estimates of health indicators that are comparable across populations and/or time. They explain the reasons for choosing to calculate health estimates and review the major classes of models in use. The authors discuss issues around evaluating, communicating and using estimates, drawing examples from work at the global level to model health indicators across countries, regions and time. They discuss reasons for inconsistencies between statistical estimates published by different groups and the issues that this raises for users of health indicators. Finally, the authors examine the relevance of estimates for countries and whether the estimates help or hinder countries to understand the limitations of empirical data and work to improve the availability of quality data.","container-title":"The Palgrave Handbook of Global Health Data Methods for Policy and Practice","event-place":"London","ISBN":"978-1-137-54984-6","language":"en","note":"DOI: 10.1057/978-1-137-54984-6_21","page":"403-424","publisher":"Palgrave Macmillan UK","publisher-place":"London","source":"Springer Link","title":"Global Health Estimates: Modelling and Predicting Health Outcomes","title-short":"Global Health Estimates","URL":"https://doi.org/10.1057/978-1-137-54984-6_21","author":[{"family":"Mathers","given":"Colin"},{"family":"Hogan","given":"Dan"},{"family":"Stevens","given":"Gretchen"}],"editor":[{"family":"Macfarlane","given":"Sarah B."},{"family":"AbouZahr","given":"Carla"}],"accessed":{"date-parts":[["2022",1,27]]},"issued":{"date-parts":[["2019"]]}}}],"schema":"https://github.com/citation-style-language/schema/raw/master/csl-citation.json"} </w:instrText>
      </w:r>
      <w:r w:rsidR="00226F32">
        <w:rPr>
          <w:rFonts w:ascii="Times New Roman" w:hAnsi="Times New Roman" w:cs="Times New Roman"/>
          <w:sz w:val="24"/>
          <w:szCs w:val="24"/>
          <w:lang w:val="en-GB"/>
        </w:rPr>
        <w:fldChar w:fldCharType="separate"/>
      </w:r>
      <w:r w:rsidR="001D108C" w:rsidRPr="001D108C">
        <w:rPr>
          <w:rFonts w:ascii="Times New Roman" w:hAnsi="Times New Roman" w:cs="Times New Roman"/>
          <w:color w:val="000000"/>
          <w:sz w:val="24"/>
          <w:vertAlign w:val="superscript"/>
        </w:rPr>
        <w:t>26</w:t>
      </w:r>
      <w:r w:rsidR="00226F32">
        <w:rPr>
          <w:rFonts w:ascii="Times New Roman" w:hAnsi="Times New Roman" w:cs="Times New Roman"/>
          <w:sz w:val="24"/>
          <w:szCs w:val="24"/>
          <w:lang w:val="en-GB"/>
        </w:rPr>
        <w:fldChar w:fldCharType="end"/>
      </w:r>
      <w:r w:rsidR="00474FCE">
        <w:rPr>
          <w:rFonts w:ascii="Times New Roman" w:hAnsi="Times New Roman" w:cs="Times New Roman"/>
          <w:sz w:val="24"/>
          <w:szCs w:val="24"/>
          <w:lang w:val="en-GB"/>
        </w:rPr>
        <w:t xml:space="preserve"> </w:t>
      </w:r>
      <w:r w:rsidRPr="00FB4607">
        <w:rPr>
          <w:rFonts w:ascii="Times New Roman" w:hAnsi="Times New Roman" w:cs="Times New Roman"/>
          <w:sz w:val="24"/>
          <w:szCs w:val="24"/>
          <w:lang w:val="en-GB"/>
        </w:rPr>
        <w:t>The model’s hierarchical structure allow</w:t>
      </w:r>
      <w:r w:rsidR="00B507E8">
        <w:rPr>
          <w:rFonts w:ascii="Times New Roman" w:hAnsi="Times New Roman" w:cs="Times New Roman"/>
          <w:sz w:val="24"/>
          <w:szCs w:val="24"/>
          <w:lang w:val="en-GB"/>
        </w:rPr>
        <w:t>ed</w:t>
      </w:r>
      <w:r w:rsidRPr="00FB4607">
        <w:rPr>
          <w:rFonts w:ascii="Times New Roman" w:hAnsi="Times New Roman" w:cs="Times New Roman"/>
          <w:sz w:val="24"/>
          <w:szCs w:val="24"/>
          <w:lang w:val="en-GB"/>
        </w:rPr>
        <w:t xml:space="preserve"> the estimate for each region to be informed by data from the region</w:t>
      </w:r>
      <w:r w:rsidR="004701EA">
        <w:rPr>
          <w:rFonts w:ascii="Times New Roman" w:hAnsi="Times New Roman" w:cs="Times New Roman"/>
          <w:sz w:val="24"/>
          <w:szCs w:val="24"/>
          <w:lang w:val="en-GB"/>
        </w:rPr>
        <w:t xml:space="preserve"> </w:t>
      </w:r>
      <w:r w:rsidRPr="00FB4607">
        <w:rPr>
          <w:rFonts w:ascii="Times New Roman" w:hAnsi="Times New Roman" w:cs="Times New Roman"/>
          <w:sz w:val="24"/>
          <w:szCs w:val="24"/>
          <w:lang w:val="en-GB"/>
        </w:rPr>
        <w:t>and</w:t>
      </w:r>
      <w:r w:rsidR="004701EA">
        <w:rPr>
          <w:rFonts w:ascii="Times New Roman" w:hAnsi="Times New Roman" w:cs="Times New Roman"/>
          <w:sz w:val="24"/>
          <w:szCs w:val="24"/>
          <w:lang w:val="en-GB"/>
        </w:rPr>
        <w:t xml:space="preserve"> also</w:t>
      </w:r>
      <w:r w:rsidRPr="00FB4607">
        <w:rPr>
          <w:rFonts w:ascii="Times New Roman" w:hAnsi="Times New Roman" w:cs="Times New Roman"/>
          <w:sz w:val="24"/>
          <w:szCs w:val="24"/>
          <w:lang w:val="en-GB"/>
        </w:rPr>
        <w:t xml:space="preserve"> by data from other regions, particularly in regions where data </w:t>
      </w:r>
      <w:r w:rsidR="00D82CE8">
        <w:rPr>
          <w:rFonts w:ascii="Times New Roman" w:hAnsi="Times New Roman" w:cs="Times New Roman"/>
          <w:sz w:val="24"/>
          <w:szCs w:val="24"/>
          <w:lang w:val="en-GB"/>
        </w:rPr>
        <w:t>were</w:t>
      </w:r>
      <w:r w:rsidRPr="00FB4607">
        <w:rPr>
          <w:rFonts w:ascii="Times New Roman" w:hAnsi="Times New Roman" w:cs="Times New Roman"/>
          <w:sz w:val="24"/>
          <w:szCs w:val="24"/>
          <w:lang w:val="en-GB"/>
        </w:rPr>
        <w:t xml:space="preserve"> sparse or inconsistent. One time-varying country-level covariate, the socio-demographic index,</w:t>
      </w:r>
      <w:r w:rsidRPr="00FB4607">
        <w:rPr>
          <w:rFonts w:ascii="Times New Roman" w:hAnsi="Times New Roman" w:cs="Times New Roman"/>
          <w:sz w:val="24"/>
          <w:szCs w:val="24"/>
          <w:lang w:val="en-GB"/>
        </w:rPr>
        <w:fldChar w:fldCharType="begin" w:fldLock="1"/>
      </w:r>
      <w:r w:rsidR="001D108C">
        <w:rPr>
          <w:rFonts w:ascii="Times New Roman" w:hAnsi="Times New Roman" w:cs="Times New Roman"/>
          <w:sz w:val="24"/>
          <w:szCs w:val="24"/>
          <w:lang w:val="en-GB"/>
        </w:rPr>
        <w:instrText xml:space="preserve"> ADDIN ZOTERO_ITEM CSL_CITATION {"citationID":"r9up491N","properties":{"formattedCitation":"\\super 27\\nosupersub{}","plainCitation":"27","noteIndex":0},"citationItems":[{"id":"2a68pk1S/p2w4uTOe","uris":["http://www.mendeley.com/documents/?uuid=33c3363a-73d8-4e40-9d11-46f690df1dd0"],"uri":["http://www.mendeley.com/documents/?uuid=33c3363a-73d8-4e40-9d11-46f690df1dd0"],"itemData":{"author":[{"dropping-particle":"","family":"Global Burden of Disease Collaborative Network","given":"","non-dropping-particle":"","parse-names":false,"suffix":""}],"id":"ITEM-1","issued":{"date-parts":[["2020"]]},"publisher":"Institute for Health Metrics and Evaluation","publisher-place":"Seattle","title":"Global Burden of Disease 2019 (GBD 2019) Covariates 1980-2019","type":"article"}}],"schema":"https://github.com/citation-style-language/schema/raw/master/csl-citation.json"} </w:instrText>
      </w:r>
      <w:r w:rsidRPr="00FB4607">
        <w:rPr>
          <w:rFonts w:ascii="Times New Roman" w:hAnsi="Times New Roman" w:cs="Times New Roman"/>
          <w:sz w:val="24"/>
          <w:szCs w:val="24"/>
          <w:lang w:val="en-GB"/>
        </w:rPr>
        <w:fldChar w:fldCharType="separate"/>
      </w:r>
      <w:r w:rsidR="001D108C" w:rsidRPr="001D108C">
        <w:rPr>
          <w:rFonts w:ascii="Times New Roman" w:hAnsi="Times New Roman" w:cs="Times New Roman"/>
          <w:color w:val="000000"/>
          <w:sz w:val="24"/>
          <w:vertAlign w:val="superscript"/>
        </w:rPr>
        <w:t>27</w:t>
      </w:r>
      <w:r w:rsidRPr="00FB4607">
        <w:rPr>
          <w:rFonts w:ascii="Times New Roman" w:hAnsi="Times New Roman" w:cs="Times New Roman"/>
          <w:sz w:val="24"/>
          <w:szCs w:val="24"/>
        </w:rPr>
        <w:fldChar w:fldCharType="end"/>
      </w:r>
      <w:r w:rsidRPr="00FB4607">
        <w:rPr>
          <w:rFonts w:ascii="Times New Roman" w:hAnsi="Times New Roman" w:cs="Times New Roman"/>
          <w:sz w:val="24"/>
          <w:szCs w:val="24"/>
          <w:lang w:val="en-GB"/>
        </w:rPr>
        <w:t xml:space="preserve"> a measure of a country’s level of development, allow</w:t>
      </w:r>
      <w:r w:rsidR="005F4DD2">
        <w:rPr>
          <w:rFonts w:ascii="Times New Roman" w:hAnsi="Times New Roman" w:cs="Times New Roman"/>
          <w:sz w:val="24"/>
          <w:szCs w:val="24"/>
          <w:lang w:val="en-GB"/>
        </w:rPr>
        <w:t>ed</w:t>
      </w:r>
      <w:r w:rsidRPr="00FB4607">
        <w:rPr>
          <w:rFonts w:ascii="Times New Roman" w:hAnsi="Times New Roman" w:cs="Times New Roman"/>
          <w:sz w:val="24"/>
          <w:szCs w:val="24"/>
          <w:lang w:val="en-GB"/>
        </w:rPr>
        <w:t xml:space="preserve"> for borrowing strength from countries of similar development level.</w:t>
      </w:r>
    </w:p>
    <w:p w14:paraId="5EBA33F3" w14:textId="77777777" w:rsidR="00600C5F" w:rsidRDefault="00600C5F" w:rsidP="00FB4607">
      <w:pPr>
        <w:rPr>
          <w:rFonts w:ascii="Times New Roman" w:hAnsi="Times New Roman" w:cs="Times New Roman"/>
          <w:sz w:val="24"/>
          <w:szCs w:val="24"/>
          <w:lang w:val="en-GB"/>
        </w:rPr>
      </w:pPr>
    </w:p>
    <w:p w14:paraId="3123222E" w14:textId="69B0A51A" w:rsidR="00FC4407" w:rsidRDefault="00FB4607">
      <w:pPr>
        <w:rPr>
          <w:rFonts w:ascii="Times New Roman" w:hAnsi="Times New Roman" w:cs="Times New Roman"/>
          <w:sz w:val="24"/>
          <w:szCs w:val="24"/>
          <w:lang w:val="en-GB"/>
        </w:rPr>
      </w:pPr>
      <w:r w:rsidRPr="00FB4607">
        <w:rPr>
          <w:rFonts w:ascii="Times New Roman" w:hAnsi="Times New Roman" w:cs="Times New Roman"/>
          <w:sz w:val="24"/>
          <w:szCs w:val="24"/>
          <w:lang w:val="en-GB"/>
        </w:rPr>
        <w:lastRenderedPageBreak/>
        <w:t xml:space="preserve">We fit the Bayesian model using a Markov Chain </w:t>
      </w:r>
      <w:r w:rsidR="00612395" w:rsidRPr="00FB4607">
        <w:rPr>
          <w:rFonts w:ascii="Times New Roman" w:hAnsi="Times New Roman" w:cs="Times New Roman"/>
          <w:sz w:val="24"/>
          <w:szCs w:val="24"/>
          <w:lang w:val="en-GB"/>
        </w:rPr>
        <w:t xml:space="preserve">Monte Carlos </w:t>
      </w:r>
      <w:r w:rsidRPr="00FB4607">
        <w:rPr>
          <w:rFonts w:ascii="Times New Roman" w:hAnsi="Times New Roman" w:cs="Times New Roman"/>
          <w:sz w:val="24"/>
          <w:szCs w:val="24"/>
          <w:lang w:val="en-GB"/>
        </w:rPr>
        <w:t xml:space="preserve">(MCMC) algorithm. We obtained 4000 posterior samples of the model coefficients, from which we computed 4000 samples of the prevalence of </w:t>
      </w:r>
      <w:r w:rsidR="00A20AA0">
        <w:rPr>
          <w:rFonts w:ascii="Times New Roman" w:hAnsi="Times New Roman" w:cs="Times New Roman"/>
          <w:sz w:val="24"/>
          <w:szCs w:val="24"/>
          <w:lang w:val="en-GB"/>
        </w:rPr>
        <w:t>deficiency in one or more</w:t>
      </w:r>
      <w:r w:rsidRPr="00FB4607">
        <w:rPr>
          <w:rFonts w:ascii="Times New Roman" w:hAnsi="Times New Roman" w:cs="Times New Roman"/>
          <w:sz w:val="24"/>
          <w:szCs w:val="24"/>
          <w:lang w:val="en-GB"/>
        </w:rPr>
        <w:t xml:space="preserve"> </w:t>
      </w:r>
      <w:r w:rsidR="002616A0">
        <w:rPr>
          <w:rFonts w:ascii="Times New Roman" w:hAnsi="Times New Roman" w:cs="Times New Roman"/>
          <w:sz w:val="24"/>
          <w:szCs w:val="24"/>
          <w:lang w:val="en-GB"/>
        </w:rPr>
        <w:t xml:space="preserve">core </w:t>
      </w:r>
      <w:r w:rsidR="0029127F">
        <w:rPr>
          <w:rFonts w:ascii="Times New Roman" w:hAnsi="Times New Roman" w:cs="Times New Roman"/>
          <w:sz w:val="24"/>
          <w:szCs w:val="24"/>
          <w:lang w:val="en-GB"/>
        </w:rPr>
        <w:t>micronutrients</w:t>
      </w:r>
      <w:r w:rsidRPr="00FB4607">
        <w:rPr>
          <w:rFonts w:ascii="Times New Roman" w:hAnsi="Times New Roman" w:cs="Times New Roman"/>
          <w:sz w:val="24"/>
          <w:szCs w:val="24"/>
          <w:lang w:val="en-GB"/>
        </w:rPr>
        <w:t xml:space="preserve"> for each </w:t>
      </w:r>
      <w:r w:rsidR="00CF660B">
        <w:rPr>
          <w:rFonts w:ascii="Times New Roman" w:hAnsi="Times New Roman" w:cs="Times New Roman"/>
          <w:sz w:val="24"/>
          <w:szCs w:val="24"/>
          <w:lang w:val="en-GB"/>
        </w:rPr>
        <w:t>dataset</w:t>
      </w:r>
      <w:r w:rsidRPr="00FB4607">
        <w:rPr>
          <w:rFonts w:ascii="Times New Roman" w:hAnsi="Times New Roman" w:cs="Times New Roman"/>
          <w:sz w:val="24"/>
          <w:szCs w:val="24"/>
          <w:lang w:val="en-GB"/>
        </w:rPr>
        <w:t xml:space="preserve"> listed in appendix Table 1</w:t>
      </w:r>
      <w:r w:rsidRPr="00F1003D">
        <w:rPr>
          <w:rFonts w:ascii="Times New Roman" w:hAnsi="Times New Roman" w:cs="Times New Roman"/>
          <w:sz w:val="24"/>
          <w:szCs w:val="24"/>
          <w:lang w:val="en-GB"/>
        </w:rPr>
        <w:t xml:space="preserve">. Numbers of persons affected by </w:t>
      </w:r>
      <w:r w:rsidR="00087E3A" w:rsidRPr="00F1003D">
        <w:rPr>
          <w:rFonts w:ascii="Times New Roman" w:hAnsi="Times New Roman" w:cs="Times New Roman"/>
          <w:sz w:val="24"/>
          <w:szCs w:val="24"/>
          <w:lang w:val="en-GB"/>
        </w:rPr>
        <w:t xml:space="preserve">MNDs </w:t>
      </w:r>
      <w:r w:rsidRPr="00F1003D">
        <w:rPr>
          <w:rFonts w:ascii="Times New Roman" w:hAnsi="Times New Roman" w:cs="Times New Roman"/>
          <w:sz w:val="24"/>
          <w:szCs w:val="24"/>
          <w:lang w:val="en-GB"/>
        </w:rPr>
        <w:t xml:space="preserve">were computed for each sample by </w:t>
      </w:r>
      <w:r w:rsidRPr="00F1003D">
        <w:rPr>
          <w:rFonts w:ascii="Times New Roman" w:hAnsi="Times New Roman"/>
          <w:sz w:val="24"/>
          <w:lang w:val="en-GB"/>
        </w:rPr>
        <w:t>multiplying country-</w:t>
      </w:r>
      <w:r w:rsidR="007F008A" w:rsidRPr="00C86E75">
        <w:rPr>
          <w:rFonts w:ascii="Times New Roman" w:hAnsi="Times New Roman"/>
          <w:sz w:val="24"/>
          <w:lang w:val="en-GB"/>
        </w:rPr>
        <w:t>demographic group</w:t>
      </w:r>
      <w:r w:rsidRPr="00C86E75">
        <w:rPr>
          <w:rFonts w:ascii="Times New Roman" w:hAnsi="Times New Roman"/>
          <w:sz w:val="24"/>
          <w:lang w:val="en-GB"/>
        </w:rPr>
        <w:t xml:space="preserve"> population totals for 2013 (the median data</w:t>
      </w:r>
      <w:r w:rsidRPr="00F1003D">
        <w:rPr>
          <w:rFonts w:ascii="Times New Roman" w:hAnsi="Times New Roman" w:cs="Times New Roman"/>
          <w:sz w:val="24"/>
          <w:szCs w:val="24"/>
          <w:lang w:val="en-GB"/>
        </w:rPr>
        <w:t xml:space="preserve"> year) from the UN Population</w:t>
      </w:r>
      <w:r w:rsidRPr="00FB4607">
        <w:rPr>
          <w:rFonts w:ascii="Times New Roman" w:hAnsi="Times New Roman" w:cs="Times New Roman"/>
          <w:sz w:val="24"/>
          <w:szCs w:val="24"/>
          <w:lang w:val="en-GB"/>
        </w:rPr>
        <w:t xml:space="preserve"> Division’s 2019 Revision of the World Population Prospects by the prevalence of </w:t>
      </w:r>
      <w:r w:rsidR="002D7BA1">
        <w:rPr>
          <w:rFonts w:ascii="Times New Roman" w:hAnsi="Times New Roman" w:cs="Times New Roman"/>
          <w:sz w:val="24"/>
          <w:szCs w:val="24"/>
          <w:lang w:val="en-GB"/>
        </w:rPr>
        <w:t xml:space="preserve">deficiency in </w:t>
      </w:r>
      <w:r w:rsidR="001A6EA2">
        <w:rPr>
          <w:rFonts w:ascii="Times New Roman" w:hAnsi="Times New Roman" w:cs="Times New Roman"/>
          <w:sz w:val="24"/>
          <w:szCs w:val="24"/>
          <w:lang w:val="en-GB"/>
        </w:rPr>
        <w:t xml:space="preserve">one or more </w:t>
      </w:r>
      <w:r w:rsidR="002D7BA1">
        <w:rPr>
          <w:rFonts w:ascii="Times New Roman" w:hAnsi="Times New Roman" w:cs="Times New Roman"/>
          <w:sz w:val="24"/>
          <w:szCs w:val="24"/>
          <w:lang w:val="en-GB"/>
        </w:rPr>
        <w:t xml:space="preserve">core </w:t>
      </w:r>
      <w:r w:rsidR="001A6EA2">
        <w:rPr>
          <w:rFonts w:ascii="Times New Roman" w:hAnsi="Times New Roman" w:cs="Times New Roman"/>
          <w:sz w:val="24"/>
          <w:szCs w:val="24"/>
          <w:lang w:val="en-GB"/>
        </w:rPr>
        <w:t>micronutrient</w:t>
      </w:r>
      <w:r w:rsidR="002D7BA1">
        <w:rPr>
          <w:rFonts w:ascii="Times New Roman" w:hAnsi="Times New Roman" w:cs="Times New Roman"/>
          <w:sz w:val="24"/>
          <w:szCs w:val="24"/>
          <w:lang w:val="en-GB"/>
        </w:rPr>
        <w:t>s</w:t>
      </w:r>
      <w:r w:rsidR="00630A12">
        <w:rPr>
          <w:rFonts w:ascii="Times New Roman" w:hAnsi="Times New Roman" w:cs="Times New Roman"/>
          <w:sz w:val="24"/>
          <w:szCs w:val="24"/>
          <w:lang w:val="en-GB"/>
        </w:rPr>
        <w:t>.</w:t>
      </w:r>
      <w:r w:rsidRPr="00FB4607">
        <w:rPr>
          <w:rFonts w:ascii="Times New Roman" w:hAnsi="Times New Roman" w:cs="Times New Roman"/>
          <w:sz w:val="24"/>
          <w:szCs w:val="24"/>
          <w:lang w:val="en-GB"/>
        </w:rPr>
        <w:fldChar w:fldCharType="begin" w:fldLock="1"/>
      </w:r>
      <w:r w:rsidR="001D108C">
        <w:rPr>
          <w:rFonts w:ascii="Times New Roman" w:hAnsi="Times New Roman" w:cs="Times New Roman"/>
          <w:sz w:val="24"/>
          <w:szCs w:val="24"/>
          <w:lang w:val="en-GB"/>
        </w:rPr>
        <w:instrText xml:space="preserve"> ADDIN ZOTERO_ITEM CSL_CITATION {"citationID":"6m0MULEx","properties":{"formattedCitation":"\\super 28\\nosupersub{}","plainCitation":"28","noteIndex":0},"citationItems":[{"id":"2a68pk1S/sYFByWB1","uris":["http://www.mendeley.com/documents/?uuid=e2085699-a347-3e5d-9dd6-79ba85f0ecf6"],"uri":["http://www.mendeley.com/documents/?uuid=e2085699-a347-3e5d-9dd6-79ba85f0ecf6"],"itemData":{"author":[{"dropping-particle":"","family":"United Nations Department of Economic and Social Affairs","given":"","non-dropping-particle":"","parse-names":false,"suffix":""}],"id":"ITEM-1","issued":{"date-parts":[["2019"]]},"publisher":"United Nations","publisher-place":"New York","title":"World Population Prospects 2019","type":"article"}}],"schema":"https://github.com/citation-style-language/schema/raw/master/csl-citation.json"} </w:instrText>
      </w:r>
      <w:r w:rsidRPr="00FB4607">
        <w:rPr>
          <w:rFonts w:ascii="Times New Roman" w:hAnsi="Times New Roman" w:cs="Times New Roman"/>
          <w:sz w:val="24"/>
          <w:szCs w:val="24"/>
          <w:lang w:val="en-GB"/>
        </w:rPr>
        <w:fldChar w:fldCharType="separate"/>
      </w:r>
      <w:r w:rsidR="001D108C" w:rsidRPr="001D108C">
        <w:rPr>
          <w:rFonts w:ascii="Times New Roman" w:hAnsi="Times New Roman" w:cs="Times New Roman"/>
          <w:color w:val="000000"/>
          <w:sz w:val="24"/>
          <w:vertAlign w:val="superscript"/>
        </w:rPr>
        <w:t>28</w:t>
      </w:r>
      <w:r w:rsidRPr="00FB4607">
        <w:rPr>
          <w:rFonts w:ascii="Times New Roman" w:hAnsi="Times New Roman" w:cs="Times New Roman"/>
          <w:sz w:val="24"/>
          <w:szCs w:val="24"/>
        </w:rPr>
        <w:fldChar w:fldCharType="end"/>
      </w:r>
      <w:r w:rsidRPr="00FB4607">
        <w:rPr>
          <w:rFonts w:ascii="Times New Roman" w:hAnsi="Times New Roman" w:cs="Times New Roman"/>
          <w:sz w:val="24"/>
          <w:szCs w:val="24"/>
          <w:lang w:val="en-GB"/>
        </w:rPr>
        <w:t xml:space="preserve"> All reported uncertainty intervals represent the 2.5</w:t>
      </w:r>
      <w:r w:rsidRPr="00FB4607">
        <w:rPr>
          <w:rFonts w:ascii="Times New Roman" w:hAnsi="Times New Roman" w:cs="Times New Roman"/>
          <w:sz w:val="24"/>
          <w:szCs w:val="24"/>
          <w:vertAlign w:val="superscript"/>
          <w:lang w:val="en-GB"/>
        </w:rPr>
        <w:t>th</w:t>
      </w:r>
      <w:r w:rsidR="00DB1BDB">
        <w:rPr>
          <w:rFonts w:ascii="Times New Roman" w:hAnsi="Times New Roman" w:cs="Times New Roman"/>
          <w:sz w:val="24"/>
          <w:szCs w:val="24"/>
          <w:lang w:val="en-GB"/>
        </w:rPr>
        <w:t>–</w:t>
      </w:r>
      <w:r w:rsidRPr="00FB4607">
        <w:rPr>
          <w:rFonts w:ascii="Times New Roman" w:hAnsi="Times New Roman" w:cs="Times New Roman"/>
          <w:sz w:val="24"/>
          <w:szCs w:val="24"/>
          <w:lang w:val="en-GB"/>
        </w:rPr>
        <w:t>97.5</w:t>
      </w:r>
      <w:r w:rsidRPr="00FB4607">
        <w:rPr>
          <w:rFonts w:ascii="Times New Roman" w:hAnsi="Times New Roman" w:cs="Times New Roman"/>
          <w:sz w:val="24"/>
          <w:szCs w:val="24"/>
          <w:vertAlign w:val="superscript"/>
          <w:lang w:val="en-GB"/>
        </w:rPr>
        <w:t>th</w:t>
      </w:r>
      <w:r w:rsidRPr="00FB4607">
        <w:rPr>
          <w:rFonts w:ascii="Times New Roman" w:hAnsi="Times New Roman" w:cs="Times New Roman"/>
          <w:sz w:val="24"/>
          <w:szCs w:val="24"/>
          <w:lang w:val="en-GB"/>
        </w:rPr>
        <w:t xml:space="preserve"> percentiles of these 4000 samples.</w:t>
      </w:r>
    </w:p>
    <w:p w14:paraId="5D39DFEA" w14:textId="77777777" w:rsidR="00735E5A" w:rsidRDefault="00735E5A">
      <w:pPr>
        <w:rPr>
          <w:rFonts w:ascii="Times New Roman" w:hAnsi="Times New Roman" w:cs="Times New Roman"/>
          <w:sz w:val="24"/>
          <w:szCs w:val="24"/>
        </w:rPr>
      </w:pPr>
    </w:p>
    <w:p w14:paraId="41BEB011" w14:textId="1839C1A9" w:rsidR="00FC4407" w:rsidRPr="000D48EC" w:rsidRDefault="00FC4407">
      <w:pPr>
        <w:rPr>
          <w:rFonts w:ascii="Times New Roman" w:hAnsi="Times New Roman" w:cs="Times New Roman"/>
          <w:b/>
          <w:bCs/>
          <w:sz w:val="24"/>
          <w:szCs w:val="24"/>
        </w:rPr>
      </w:pPr>
      <w:r w:rsidRPr="000D48EC">
        <w:rPr>
          <w:rFonts w:ascii="Times New Roman" w:hAnsi="Times New Roman" w:cs="Times New Roman"/>
          <w:b/>
          <w:bCs/>
          <w:sz w:val="24"/>
          <w:szCs w:val="24"/>
        </w:rPr>
        <w:t>Results</w:t>
      </w:r>
    </w:p>
    <w:p w14:paraId="5F9D70AD" w14:textId="489B2644" w:rsidR="008D39B7" w:rsidRPr="00107262" w:rsidRDefault="008D39B7" w:rsidP="0039082A">
      <w:pPr>
        <w:rPr>
          <w:rFonts w:ascii="Times New Roman" w:hAnsi="Times New Roman" w:cs="Times New Roman"/>
          <w:i/>
          <w:iCs/>
          <w:sz w:val="24"/>
          <w:szCs w:val="24"/>
        </w:rPr>
      </w:pPr>
      <w:r>
        <w:rPr>
          <w:rFonts w:ascii="Times New Roman" w:hAnsi="Times New Roman" w:cs="Times New Roman"/>
          <w:i/>
          <w:iCs/>
          <w:sz w:val="24"/>
          <w:szCs w:val="24"/>
        </w:rPr>
        <w:t>Datasets identified, accessed</w:t>
      </w:r>
      <w:r w:rsidR="00176DB9">
        <w:rPr>
          <w:rFonts w:ascii="Times New Roman" w:hAnsi="Times New Roman" w:cs="Times New Roman"/>
          <w:i/>
          <w:iCs/>
          <w:sz w:val="24"/>
          <w:szCs w:val="24"/>
        </w:rPr>
        <w:t>,</w:t>
      </w:r>
      <w:r>
        <w:rPr>
          <w:rFonts w:ascii="Times New Roman" w:hAnsi="Times New Roman" w:cs="Times New Roman"/>
          <w:i/>
          <w:iCs/>
          <w:sz w:val="24"/>
          <w:szCs w:val="24"/>
        </w:rPr>
        <w:t xml:space="preserve"> and included</w:t>
      </w:r>
    </w:p>
    <w:p w14:paraId="47305DB0" w14:textId="440AD2E9" w:rsidR="0039082A" w:rsidRDefault="00EB381C" w:rsidP="0039082A">
      <w:pPr>
        <w:rPr>
          <w:rFonts w:ascii="Times New Roman" w:hAnsi="Times New Roman" w:cs="Times New Roman"/>
          <w:sz w:val="24"/>
          <w:szCs w:val="24"/>
        </w:rPr>
      </w:pPr>
      <w:r>
        <w:rPr>
          <w:rFonts w:ascii="Times New Roman" w:hAnsi="Times New Roman" w:cs="Times New Roman"/>
          <w:sz w:val="24"/>
          <w:szCs w:val="24"/>
        </w:rPr>
        <w:t>We identified and accessed</w:t>
      </w:r>
      <w:r w:rsidR="0039082A">
        <w:rPr>
          <w:rFonts w:ascii="Times New Roman" w:hAnsi="Times New Roman" w:cs="Times New Roman"/>
          <w:sz w:val="24"/>
          <w:szCs w:val="24"/>
        </w:rPr>
        <w:t xml:space="preserve"> </w:t>
      </w:r>
      <w:r w:rsidR="005D4EA3">
        <w:rPr>
          <w:rFonts w:ascii="Times New Roman" w:hAnsi="Times New Roman" w:cs="Times New Roman"/>
          <w:sz w:val="24"/>
          <w:szCs w:val="24"/>
        </w:rPr>
        <w:t>24</w:t>
      </w:r>
      <w:r w:rsidR="0039082A">
        <w:rPr>
          <w:rFonts w:ascii="Times New Roman" w:hAnsi="Times New Roman" w:cs="Times New Roman"/>
          <w:sz w:val="24"/>
          <w:szCs w:val="24"/>
        </w:rPr>
        <w:t xml:space="preserve"> datasets from nationally representative surveys in </w:t>
      </w:r>
      <w:r w:rsidR="005D4EA3">
        <w:rPr>
          <w:rFonts w:ascii="Times New Roman" w:hAnsi="Times New Roman" w:cs="Times New Roman"/>
          <w:sz w:val="24"/>
          <w:szCs w:val="24"/>
        </w:rPr>
        <w:t>22</w:t>
      </w:r>
      <w:r w:rsidR="0039082A">
        <w:rPr>
          <w:rFonts w:ascii="Times New Roman" w:hAnsi="Times New Roman" w:cs="Times New Roman"/>
          <w:sz w:val="24"/>
          <w:szCs w:val="24"/>
        </w:rPr>
        <w:t xml:space="preserve"> countries that met the inclusion criteria</w:t>
      </w:r>
      <w:r w:rsidR="000C1500">
        <w:rPr>
          <w:rFonts w:ascii="Times New Roman" w:hAnsi="Times New Roman" w:cs="Times New Roman"/>
          <w:sz w:val="24"/>
          <w:szCs w:val="24"/>
        </w:rPr>
        <w:t xml:space="preserve"> (appendix tables 6</w:t>
      </w:r>
      <w:r w:rsidR="00E24D5A">
        <w:rPr>
          <w:rFonts w:ascii="Times New Roman" w:hAnsi="Times New Roman" w:cs="Times New Roman"/>
          <w:sz w:val="24"/>
          <w:szCs w:val="24"/>
        </w:rPr>
        <w:t>–</w:t>
      </w:r>
      <w:r w:rsidR="000C1500">
        <w:rPr>
          <w:rFonts w:ascii="Times New Roman" w:hAnsi="Times New Roman" w:cs="Times New Roman"/>
          <w:sz w:val="24"/>
          <w:szCs w:val="24"/>
        </w:rPr>
        <w:t xml:space="preserve">7, appendix figure </w:t>
      </w:r>
      <w:r w:rsidR="00D13754">
        <w:rPr>
          <w:rFonts w:ascii="Times New Roman" w:hAnsi="Times New Roman" w:cs="Times New Roman"/>
          <w:sz w:val="24"/>
          <w:szCs w:val="24"/>
        </w:rPr>
        <w:t>3</w:t>
      </w:r>
      <w:r w:rsidR="000C1500">
        <w:rPr>
          <w:rFonts w:ascii="Times New Roman" w:hAnsi="Times New Roman" w:cs="Times New Roman"/>
          <w:sz w:val="24"/>
          <w:szCs w:val="24"/>
        </w:rPr>
        <w:t>)</w:t>
      </w:r>
      <w:r w:rsidR="0039082A">
        <w:rPr>
          <w:rFonts w:ascii="Times New Roman" w:hAnsi="Times New Roman" w:cs="Times New Roman"/>
          <w:sz w:val="24"/>
          <w:szCs w:val="24"/>
        </w:rPr>
        <w:t xml:space="preserve">. Of the included datasets, </w:t>
      </w:r>
      <w:r w:rsidR="00A07AD1">
        <w:rPr>
          <w:rFonts w:ascii="Times New Roman" w:hAnsi="Times New Roman" w:cs="Times New Roman"/>
          <w:sz w:val="24"/>
          <w:szCs w:val="24"/>
        </w:rPr>
        <w:t>18</w:t>
      </w:r>
      <w:r w:rsidR="0039082A">
        <w:rPr>
          <w:rFonts w:ascii="Times New Roman" w:hAnsi="Times New Roman" w:cs="Times New Roman"/>
          <w:sz w:val="24"/>
          <w:szCs w:val="24"/>
        </w:rPr>
        <w:t xml:space="preserve"> provided data for</w:t>
      </w:r>
      <w:r w:rsidR="002A46CA">
        <w:rPr>
          <w:rFonts w:ascii="Times New Roman" w:hAnsi="Times New Roman" w:cs="Times New Roman"/>
          <w:sz w:val="24"/>
          <w:szCs w:val="24"/>
        </w:rPr>
        <w:t xml:space="preserve"> both</w:t>
      </w:r>
      <w:r w:rsidR="00A07AD1">
        <w:rPr>
          <w:rFonts w:ascii="Times New Roman" w:hAnsi="Times New Roman" w:cs="Times New Roman"/>
          <w:sz w:val="24"/>
          <w:szCs w:val="24"/>
        </w:rPr>
        <w:t xml:space="preserve"> PSC and </w:t>
      </w:r>
      <w:r w:rsidR="007A641A">
        <w:rPr>
          <w:rFonts w:ascii="Times New Roman" w:hAnsi="Times New Roman" w:cs="Times New Roman"/>
          <w:sz w:val="24"/>
          <w:szCs w:val="24"/>
        </w:rPr>
        <w:t>NPW</w:t>
      </w:r>
      <w:r w:rsidR="00A07AD1">
        <w:rPr>
          <w:rFonts w:ascii="Times New Roman" w:hAnsi="Times New Roman" w:cs="Times New Roman"/>
          <w:sz w:val="24"/>
          <w:szCs w:val="24"/>
        </w:rPr>
        <w:t xml:space="preserve">, </w:t>
      </w:r>
      <w:r w:rsidR="0039082A">
        <w:rPr>
          <w:rFonts w:ascii="Times New Roman" w:hAnsi="Times New Roman" w:cs="Times New Roman"/>
          <w:sz w:val="24"/>
          <w:szCs w:val="24"/>
        </w:rPr>
        <w:t xml:space="preserve">with an additional </w:t>
      </w:r>
      <w:r w:rsidR="00476691">
        <w:rPr>
          <w:rFonts w:ascii="Times New Roman" w:hAnsi="Times New Roman" w:cs="Times New Roman"/>
          <w:sz w:val="24"/>
          <w:szCs w:val="24"/>
        </w:rPr>
        <w:t xml:space="preserve">four </w:t>
      </w:r>
      <w:r w:rsidR="0039082A">
        <w:rPr>
          <w:rFonts w:ascii="Times New Roman" w:hAnsi="Times New Roman" w:cs="Times New Roman"/>
          <w:sz w:val="24"/>
          <w:szCs w:val="24"/>
        </w:rPr>
        <w:t xml:space="preserve">providing data for </w:t>
      </w:r>
      <w:r w:rsidR="00A07AD1">
        <w:rPr>
          <w:rFonts w:ascii="Times New Roman" w:hAnsi="Times New Roman" w:cs="Times New Roman"/>
          <w:sz w:val="24"/>
          <w:szCs w:val="24"/>
        </w:rPr>
        <w:t>PSC</w:t>
      </w:r>
      <w:r w:rsidR="0039082A">
        <w:rPr>
          <w:rFonts w:ascii="Times New Roman" w:hAnsi="Times New Roman" w:cs="Times New Roman"/>
          <w:sz w:val="24"/>
          <w:szCs w:val="24"/>
        </w:rPr>
        <w:t xml:space="preserve"> only, and </w:t>
      </w:r>
      <w:r w:rsidR="00476691">
        <w:rPr>
          <w:rFonts w:ascii="Times New Roman" w:hAnsi="Times New Roman" w:cs="Times New Roman"/>
          <w:sz w:val="24"/>
          <w:szCs w:val="24"/>
        </w:rPr>
        <w:t xml:space="preserve">two </w:t>
      </w:r>
      <w:r w:rsidR="0039082A">
        <w:rPr>
          <w:rFonts w:ascii="Times New Roman" w:hAnsi="Times New Roman" w:cs="Times New Roman"/>
          <w:sz w:val="24"/>
          <w:szCs w:val="24"/>
        </w:rPr>
        <w:t xml:space="preserve">for </w:t>
      </w:r>
      <w:r w:rsidR="007A641A">
        <w:rPr>
          <w:rFonts w:ascii="Times New Roman" w:hAnsi="Times New Roman" w:cs="Times New Roman"/>
          <w:sz w:val="24"/>
          <w:szCs w:val="24"/>
        </w:rPr>
        <w:t>NPW</w:t>
      </w:r>
      <w:r w:rsidR="0039082A">
        <w:rPr>
          <w:rFonts w:ascii="Times New Roman" w:hAnsi="Times New Roman" w:cs="Times New Roman"/>
          <w:sz w:val="24"/>
          <w:szCs w:val="24"/>
        </w:rPr>
        <w:t xml:space="preserve"> only.</w:t>
      </w:r>
      <w:r w:rsidR="00A07AD1">
        <w:rPr>
          <w:rFonts w:ascii="Times New Roman" w:hAnsi="Times New Roman" w:cs="Times New Roman"/>
          <w:sz w:val="24"/>
          <w:szCs w:val="24"/>
        </w:rPr>
        <w:t xml:space="preserve"> </w:t>
      </w:r>
      <w:r w:rsidR="0039082A">
        <w:rPr>
          <w:rFonts w:ascii="Times New Roman" w:hAnsi="Times New Roman" w:cs="Times New Roman"/>
          <w:sz w:val="24"/>
          <w:szCs w:val="24"/>
        </w:rPr>
        <w:t xml:space="preserve">The 22 datasets from 20 countries for PSC (appendix </w:t>
      </w:r>
      <w:r w:rsidR="00DF1E64">
        <w:rPr>
          <w:rFonts w:ascii="Times New Roman" w:hAnsi="Times New Roman" w:cs="Times New Roman"/>
          <w:sz w:val="24"/>
          <w:szCs w:val="24"/>
        </w:rPr>
        <w:t xml:space="preserve">table </w:t>
      </w:r>
      <w:r w:rsidR="002F1417">
        <w:rPr>
          <w:rFonts w:ascii="Times New Roman" w:hAnsi="Times New Roman" w:cs="Times New Roman"/>
          <w:sz w:val="24"/>
          <w:szCs w:val="24"/>
        </w:rPr>
        <w:t>7</w:t>
      </w:r>
      <w:r w:rsidR="0039082A">
        <w:rPr>
          <w:rFonts w:ascii="Times New Roman" w:hAnsi="Times New Roman" w:cs="Times New Roman"/>
          <w:sz w:val="24"/>
          <w:szCs w:val="24"/>
        </w:rPr>
        <w:t xml:space="preserve">) included at least one </w:t>
      </w:r>
      <w:r w:rsidR="00D32130">
        <w:rPr>
          <w:rFonts w:ascii="Times New Roman" w:hAnsi="Times New Roman" w:cs="Times New Roman"/>
          <w:sz w:val="24"/>
          <w:szCs w:val="24"/>
        </w:rPr>
        <w:t xml:space="preserve">data source </w:t>
      </w:r>
      <w:r w:rsidR="0039082A">
        <w:rPr>
          <w:rFonts w:ascii="Times New Roman" w:hAnsi="Times New Roman" w:cs="Times New Roman"/>
          <w:sz w:val="24"/>
          <w:szCs w:val="24"/>
        </w:rPr>
        <w:t xml:space="preserve">for each </w:t>
      </w:r>
      <w:r w:rsidR="00E078E7">
        <w:rPr>
          <w:rFonts w:ascii="Times New Roman" w:hAnsi="Times New Roman" w:cs="Times New Roman"/>
          <w:sz w:val="24"/>
          <w:szCs w:val="24"/>
        </w:rPr>
        <w:t>region</w:t>
      </w:r>
      <w:r w:rsidR="0039082A">
        <w:rPr>
          <w:rFonts w:ascii="Times New Roman" w:hAnsi="Times New Roman" w:cs="Times New Roman"/>
          <w:sz w:val="24"/>
          <w:szCs w:val="24"/>
        </w:rPr>
        <w:t xml:space="preserve"> except for the Middle East and North Africa</w:t>
      </w:r>
      <w:r w:rsidR="00E078E7">
        <w:rPr>
          <w:rFonts w:ascii="Times New Roman" w:hAnsi="Times New Roman" w:cs="Times New Roman"/>
          <w:sz w:val="24"/>
          <w:szCs w:val="24"/>
        </w:rPr>
        <w:t xml:space="preserve"> region</w:t>
      </w:r>
      <w:r w:rsidR="0039082A">
        <w:rPr>
          <w:rFonts w:ascii="Times New Roman" w:hAnsi="Times New Roman" w:cs="Times New Roman"/>
          <w:sz w:val="24"/>
          <w:szCs w:val="24"/>
        </w:rPr>
        <w:t>, and only one dataset was available for each of high</w:t>
      </w:r>
      <w:r w:rsidR="004A1D8A">
        <w:rPr>
          <w:rFonts w:ascii="Times New Roman" w:hAnsi="Times New Roman" w:cs="Times New Roman"/>
          <w:sz w:val="24"/>
          <w:szCs w:val="24"/>
        </w:rPr>
        <w:t>-</w:t>
      </w:r>
      <w:r w:rsidR="0039082A">
        <w:rPr>
          <w:rFonts w:ascii="Times New Roman" w:hAnsi="Times New Roman" w:cs="Times New Roman"/>
          <w:sz w:val="24"/>
          <w:szCs w:val="24"/>
        </w:rPr>
        <w:t xml:space="preserve">income and Europe and Central Asia. The median year of data collection was 2012.5 and the median number of micronutrients </w:t>
      </w:r>
      <w:r w:rsidR="007A2C8F">
        <w:rPr>
          <w:rFonts w:ascii="Times New Roman" w:hAnsi="Times New Roman" w:cs="Times New Roman"/>
          <w:sz w:val="24"/>
          <w:szCs w:val="24"/>
        </w:rPr>
        <w:t>available</w:t>
      </w:r>
      <w:r w:rsidR="0039082A">
        <w:rPr>
          <w:rFonts w:ascii="Times New Roman" w:hAnsi="Times New Roman" w:cs="Times New Roman"/>
          <w:sz w:val="24"/>
          <w:szCs w:val="24"/>
        </w:rPr>
        <w:t xml:space="preserve"> out of the six sentinel micronutrients was </w:t>
      </w:r>
      <w:r w:rsidR="00476691">
        <w:rPr>
          <w:rFonts w:ascii="Times New Roman" w:hAnsi="Times New Roman" w:cs="Times New Roman"/>
          <w:sz w:val="24"/>
          <w:szCs w:val="24"/>
        </w:rPr>
        <w:t>four</w:t>
      </w:r>
      <w:r w:rsidR="0039082A">
        <w:rPr>
          <w:rFonts w:ascii="Times New Roman" w:hAnsi="Times New Roman" w:cs="Times New Roman"/>
          <w:sz w:val="24"/>
          <w:szCs w:val="24"/>
        </w:rPr>
        <w:t xml:space="preserve">. For </w:t>
      </w:r>
      <w:r w:rsidR="007A641A">
        <w:rPr>
          <w:rFonts w:ascii="Times New Roman" w:hAnsi="Times New Roman" w:cs="Times New Roman"/>
          <w:sz w:val="24"/>
          <w:szCs w:val="24"/>
        </w:rPr>
        <w:t>NPW</w:t>
      </w:r>
      <w:r w:rsidR="0039082A">
        <w:rPr>
          <w:rFonts w:ascii="Times New Roman" w:hAnsi="Times New Roman" w:cs="Times New Roman"/>
          <w:sz w:val="24"/>
          <w:szCs w:val="24"/>
        </w:rPr>
        <w:t xml:space="preserve">, 20 datasets from 19 countries were included, with </w:t>
      </w:r>
      <w:r w:rsidR="0039082A" w:rsidRPr="004D3988">
        <w:rPr>
          <w:rFonts w:ascii="Times New Roman" w:hAnsi="Times New Roman" w:cs="Times New Roman"/>
          <w:sz w:val="24"/>
          <w:szCs w:val="24"/>
        </w:rPr>
        <w:t xml:space="preserve">at least </w:t>
      </w:r>
      <w:r w:rsidR="0039082A">
        <w:rPr>
          <w:rFonts w:ascii="Times New Roman" w:hAnsi="Times New Roman" w:cs="Times New Roman"/>
          <w:sz w:val="24"/>
          <w:szCs w:val="24"/>
        </w:rPr>
        <w:t>two</w:t>
      </w:r>
      <w:r w:rsidR="0039082A" w:rsidRPr="004D3988">
        <w:rPr>
          <w:rFonts w:ascii="Times New Roman" w:hAnsi="Times New Roman" w:cs="Times New Roman"/>
          <w:sz w:val="24"/>
          <w:szCs w:val="24"/>
        </w:rPr>
        <w:t xml:space="preserve"> countr</w:t>
      </w:r>
      <w:r w:rsidR="0039082A">
        <w:rPr>
          <w:rFonts w:ascii="Times New Roman" w:hAnsi="Times New Roman" w:cs="Times New Roman"/>
          <w:sz w:val="24"/>
          <w:szCs w:val="24"/>
        </w:rPr>
        <w:t>ies</w:t>
      </w:r>
      <w:r w:rsidR="0039082A" w:rsidRPr="004D3988">
        <w:rPr>
          <w:rFonts w:ascii="Times New Roman" w:hAnsi="Times New Roman" w:cs="Times New Roman"/>
          <w:sz w:val="24"/>
          <w:szCs w:val="24"/>
        </w:rPr>
        <w:t xml:space="preserve"> for each country group except for the Middle East and North Africa</w:t>
      </w:r>
      <w:r w:rsidR="0039082A">
        <w:rPr>
          <w:rFonts w:ascii="Times New Roman" w:hAnsi="Times New Roman" w:cs="Times New Roman"/>
          <w:sz w:val="24"/>
          <w:szCs w:val="24"/>
        </w:rPr>
        <w:t xml:space="preserve">, for which there </w:t>
      </w:r>
      <w:r w:rsidR="009A368F">
        <w:rPr>
          <w:rFonts w:ascii="Times New Roman" w:hAnsi="Times New Roman" w:cs="Times New Roman"/>
          <w:sz w:val="24"/>
          <w:szCs w:val="24"/>
        </w:rPr>
        <w:t>were</w:t>
      </w:r>
      <w:r w:rsidR="0039082A">
        <w:rPr>
          <w:rFonts w:ascii="Times New Roman" w:hAnsi="Times New Roman" w:cs="Times New Roman"/>
          <w:sz w:val="24"/>
          <w:szCs w:val="24"/>
        </w:rPr>
        <w:t xml:space="preserve"> no available data. The median year of data collection was 2013 and the median number of micronutrients </w:t>
      </w:r>
      <w:r w:rsidR="004A2396">
        <w:rPr>
          <w:rFonts w:ascii="Times New Roman" w:hAnsi="Times New Roman" w:cs="Times New Roman"/>
          <w:sz w:val="24"/>
          <w:szCs w:val="24"/>
        </w:rPr>
        <w:t>available</w:t>
      </w:r>
      <w:r w:rsidR="0039082A">
        <w:rPr>
          <w:rFonts w:ascii="Times New Roman" w:hAnsi="Times New Roman" w:cs="Times New Roman"/>
          <w:sz w:val="24"/>
          <w:szCs w:val="24"/>
        </w:rPr>
        <w:t xml:space="preserve"> out of the six sentinel micronutrients was 4.5.</w:t>
      </w:r>
    </w:p>
    <w:p w14:paraId="25870181" w14:textId="77777777" w:rsidR="0039082A" w:rsidRDefault="0039082A" w:rsidP="0039082A">
      <w:pPr>
        <w:rPr>
          <w:rFonts w:ascii="Times New Roman" w:hAnsi="Times New Roman" w:cs="Times New Roman"/>
          <w:sz w:val="24"/>
          <w:szCs w:val="24"/>
        </w:rPr>
      </w:pPr>
    </w:p>
    <w:p w14:paraId="570C59B4" w14:textId="46C3C82F" w:rsidR="005D220B" w:rsidRPr="00735E5A" w:rsidRDefault="005E069F" w:rsidP="0039082A">
      <w:pPr>
        <w:rPr>
          <w:rFonts w:ascii="Times New Roman" w:hAnsi="Times New Roman" w:cs="Times New Roman"/>
          <w:i/>
          <w:iCs/>
          <w:sz w:val="24"/>
          <w:szCs w:val="24"/>
        </w:rPr>
      </w:pPr>
      <w:r>
        <w:rPr>
          <w:rFonts w:ascii="Times New Roman" w:hAnsi="Times New Roman" w:cs="Times New Roman"/>
          <w:i/>
          <w:iCs/>
          <w:sz w:val="24"/>
          <w:szCs w:val="24"/>
        </w:rPr>
        <w:t>Estimated p</w:t>
      </w:r>
      <w:r w:rsidR="00F1002A">
        <w:rPr>
          <w:rFonts w:ascii="Times New Roman" w:hAnsi="Times New Roman" w:cs="Times New Roman"/>
          <w:i/>
          <w:iCs/>
          <w:sz w:val="24"/>
          <w:szCs w:val="24"/>
        </w:rPr>
        <w:t xml:space="preserve">revalence of MNDs in </w:t>
      </w:r>
      <w:r w:rsidR="00095D32">
        <w:rPr>
          <w:rFonts w:ascii="Times New Roman" w:hAnsi="Times New Roman" w:cs="Times New Roman"/>
          <w:i/>
          <w:iCs/>
          <w:sz w:val="24"/>
          <w:szCs w:val="24"/>
        </w:rPr>
        <w:t>country</w:t>
      </w:r>
      <w:r w:rsidR="00F1002A">
        <w:rPr>
          <w:rFonts w:ascii="Times New Roman" w:hAnsi="Times New Roman" w:cs="Times New Roman"/>
          <w:i/>
          <w:iCs/>
          <w:sz w:val="24"/>
          <w:szCs w:val="24"/>
        </w:rPr>
        <w:t xml:space="preserve"> datasets</w:t>
      </w:r>
    </w:p>
    <w:p w14:paraId="4751802A" w14:textId="46757076" w:rsidR="0039082A" w:rsidRDefault="006A52E2" w:rsidP="0066519B">
      <w:pPr>
        <w:rPr>
          <w:rFonts w:ascii="Times New Roman" w:hAnsi="Times New Roman" w:cs="Times New Roman"/>
          <w:sz w:val="24"/>
          <w:szCs w:val="24"/>
        </w:rPr>
      </w:pPr>
      <w:r>
        <w:rPr>
          <w:rFonts w:ascii="Times New Roman" w:hAnsi="Times New Roman" w:cs="Times New Roman"/>
          <w:sz w:val="24"/>
          <w:szCs w:val="24"/>
        </w:rPr>
        <w:t>Among PSC f</w:t>
      </w:r>
      <w:r w:rsidR="0039082A">
        <w:rPr>
          <w:rFonts w:ascii="Times New Roman" w:hAnsi="Times New Roman" w:cs="Times New Roman"/>
          <w:sz w:val="24"/>
          <w:szCs w:val="24"/>
        </w:rPr>
        <w:t xml:space="preserve">rom individual country </w:t>
      </w:r>
      <w:r w:rsidR="00DB48B4">
        <w:rPr>
          <w:rFonts w:ascii="Times New Roman" w:hAnsi="Times New Roman" w:cs="Times New Roman"/>
          <w:sz w:val="24"/>
          <w:szCs w:val="24"/>
        </w:rPr>
        <w:t>survey data</w:t>
      </w:r>
      <w:r w:rsidR="0039082A">
        <w:rPr>
          <w:rFonts w:ascii="Times New Roman" w:hAnsi="Times New Roman" w:cs="Times New Roman"/>
          <w:sz w:val="24"/>
          <w:szCs w:val="24"/>
        </w:rPr>
        <w:t xml:space="preserve">, iron status was </w:t>
      </w:r>
      <w:r w:rsidR="007A5EDB">
        <w:rPr>
          <w:rFonts w:ascii="Times New Roman" w:hAnsi="Times New Roman" w:cs="Times New Roman"/>
          <w:sz w:val="24"/>
          <w:szCs w:val="24"/>
        </w:rPr>
        <w:t>available</w:t>
      </w:r>
      <w:r w:rsidR="0039082A">
        <w:rPr>
          <w:rFonts w:ascii="Times New Roman" w:hAnsi="Times New Roman" w:cs="Times New Roman"/>
          <w:sz w:val="24"/>
          <w:szCs w:val="24"/>
        </w:rPr>
        <w:t xml:space="preserve"> in all</w:t>
      </w:r>
      <w:r w:rsidR="00870115">
        <w:rPr>
          <w:rFonts w:ascii="Times New Roman" w:hAnsi="Times New Roman" w:cs="Times New Roman"/>
          <w:sz w:val="24"/>
          <w:szCs w:val="24"/>
        </w:rPr>
        <w:t xml:space="preserve"> 22</w:t>
      </w:r>
      <w:r w:rsidR="0039082A">
        <w:rPr>
          <w:rFonts w:ascii="Times New Roman" w:hAnsi="Times New Roman" w:cs="Times New Roman"/>
          <w:sz w:val="24"/>
          <w:szCs w:val="24"/>
        </w:rPr>
        <w:t xml:space="preserve"> </w:t>
      </w:r>
      <w:r w:rsidR="00DF0420">
        <w:rPr>
          <w:rFonts w:ascii="Times New Roman" w:hAnsi="Times New Roman" w:cs="Times New Roman"/>
          <w:sz w:val="24"/>
          <w:szCs w:val="24"/>
        </w:rPr>
        <w:t>datasets</w:t>
      </w:r>
      <w:r w:rsidR="0039082A">
        <w:rPr>
          <w:rFonts w:ascii="Times New Roman" w:hAnsi="Times New Roman" w:cs="Times New Roman"/>
          <w:sz w:val="24"/>
          <w:szCs w:val="24"/>
        </w:rPr>
        <w:t xml:space="preserve">, vitamin A in </w:t>
      </w:r>
      <w:r w:rsidR="00F758E8">
        <w:rPr>
          <w:rFonts w:ascii="Times New Roman" w:hAnsi="Times New Roman" w:cs="Times New Roman"/>
          <w:sz w:val="24"/>
          <w:szCs w:val="24"/>
        </w:rPr>
        <w:t>21</w:t>
      </w:r>
      <w:r w:rsidR="0039082A">
        <w:rPr>
          <w:rFonts w:ascii="Times New Roman" w:hAnsi="Times New Roman" w:cs="Times New Roman"/>
          <w:sz w:val="24"/>
          <w:szCs w:val="24"/>
        </w:rPr>
        <w:t>, and zinc</w:t>
      </w:r>
      <w:r w:rsidR="00F758E8">
        <w:rPr>
          <w:rFonts w:ascii="Times New Roman" w:hAnsi="Times New Roman" w:cs="Times New Roman"/>
          <w:sz w:val="24"/>
          <w:szCs w:val="24"/>
        </w:rPr>
        <w:t xml:space="preserve"> in 16</w:t>
      </w:r>
      <w:r w:rsidR="00BE7647">
        <w:rPr>
          <w:rFonts w:ascii="Times New Roman" w:hAnsi="Times New Roman" w:cs="Times New Roman"/>
          <w:sz w:val="24"/>
          <w:szCs w:val="24"/>
        </w:rPr>
        <w:t xml:space="preserve"> (Table </w:t>
      </w:r>
      <w:r w:rsidR="00BF2FCB">
        <w:rPr>
          <w:rFonts w:ascii="Times New Roman" w:hAnsi="Times New Roman" w:cs="Times New Roman"/>
          <w:sz w:val="24"/>
          <w:szCs w:val="24"/>
        </w:rPr>
        <w:t>2</w:t>
      </w:r>
      <w:r w:rsidR="00BE7647">
        <w:rPr>
          <w:rFonts w:ascii="Times New Roman" w:hAnsi="Times New Roman" w:cs="Times New Roman"/>
          <w:sz w:val="24"/>
          <w:szCs w:val="24"/>
        </w:rPr>
        <w:t>)</w:t>
      </w:r>
      <w:r w:rsidR="0039082A">
        <w:rPr>
          <w:rFonts w:ascii="Times New Roman" w:hAnsi="Times New Roman" w:cs="Times New Roman"/>
          <w:sz w:val="24"/>
          <w:szCs w:val="24"/>
        </w:rPr>
        <w:t>.</w:t>
      </w:r>
      <w:r w:rsidR="00432224">
        <w:rPr>
          <w:rFonts w:ascii="Times New Roman" w:hAnsi="Times New Roman" w:cs="Times New Roman"/>
          <w:sz w:val="24"/>
          <w:szCs w:val="24"/>
        </w:rPr>
        <w:t xml:space="preserve"> </w:t>
      </w:r>
      <w:r w:rsidR="0039082A">
        <w:rPr>
          <w:rFonts w:ascii="Times New Roman" w:hAnsi="Times New Roman" w:cs="Times New Roman"/>
          <w:sz w:val="24"/>
          <w:szCs w:val="24"/>
        </w:rPr>
        <w:t xml:space="preserve">Iron deficiency </w:t>
      </w:r>
      <w:r w:rsidR="00413017">
        <w:rPr>
          <w:rFonts w:ascii="Times New Roman" w:hAnsi="Times New Roman" w:cs="Times New Roman"/>
          <w:sz w:val="24"/>
          <w:szCs w:val="24"/>
        </w:rPr>
        <w:t xml:space="preserve">among PSC </w:t>
      </w:r>
      <w:r w:rsidR="0039082A">
        <w:rPr>
          <w:rFonts w:ascii="Times New Roman" w:hAnsi="Times New Roman" w:cs="Times New Roman"/>
          <w:sz w:val="24"/>
          <w:szCs w:val="24"/>
        </w:rPr>
        <w:t xml:space="preserve">was </w:t>
      </w:r>
      <w:r w:rsidR="00A737BF">
        <w:rPr>
          <w:rFonts w:ascii="Times New Roman" w:hAnsi="Times New Roman" w:cs="Times New Roman"/>
          <w:sz w:val="24"/>
          <w:szCs w:val="24"/>
        </w:rPr>
        <w:t>≥</w:t>
      </w:r>
      <w:r w:rsidR="00413017">
        <w:rPr>
          <w:rFonts w:ascii="Times New Roman" w:hAnsi="Times New Roman" w:cs="Times New Roman"/>
          <w:sz w:val="24"/>
          <w:szCs w:val="24"/>
        </w:rPr>
        <w:t xml:space="preserve">20% in </w:t>
      </w:r>
      <w:r w:rsidR="00A00A3C">
        <w:rPr>
          <w:rFonts w:ascii="Times New Roman" w:hAnsi="Times New Roman" w:cs="Times New Roman"/>
          <w:sz w:val="24"/>
          <w:szCs w:val="24"/>
        </w:rPr>
        <w:t>13</w:t>
      </w:r>
      <w:r w:rsidR="00413017">
        <w:rPr>
          <w:rFonts w:ascii="Times New Roman" w:hAnsi="Times New Roman" w:cs="Times New Roman"/>
          <w:sz w:val="24"/>
          <w:szCs w:val="24"/>
        </w:rPr>
        <w:t xml:space="preserve"> </w:t>
      </w:r>
      <w:r w:rsidR="001225FB">
        <w:rPr>
          <w:rFonts w:ascii="Times New Roman" w:hAnsi="Times New Roman" w:cs="Times New Roman"/>
          <w:sz w:val="24"/>
          <w:szCs w:val="24"/>
        </w:rPr>
        <w:t>datasets</w:t>
      </w:r>
      <w:r w:rsidR="00C075EE">
        <w:rPr>
          <w:rFonts w:ascii="Times New Roman" w:hAnsi="Times New Roman" w:cs="Times New Roman"/>
          <w:sz w:val="24"/>
          <w:szCs w:val="24"/>
        </w:rPr>
        <w:t xml:space="preserve"> (</w:t>
      </w:r>
      <w:r w:rsidR="00846789">
        <w:rPr>
          <w:rFonts w:ascii="Times New Roman" w:hAnsi="Times New Roman" w:cs="Times New Roman"/>
          <w:sz w:val="24"/>
          <w:szCs w:val="24"/>
        </w:rPr>
        <w:t>&gt;</w:t>
      </w:r>
      <w:r w:rsidR="006C7D32">
        <w:rPr>
          <w:rFonts w:ascii="Times New Roman" w:hAnsi="Times New Roman" w:cs="Times New Roman"/>
          <w:sz w:val="24"/>
          <w:szCs w:val="24"/>
        </w:rPr>
        <w:t>50%</w:t>
      </w:r>
      <w:r w:rsidR="0039082A">
        <w:rPr>
          <w:rFonts w:ascii="Times New Roman" w:hAnsi="Times New Roman" w:cs="Times New Roman"/>
          <w:sz w:val="24"/>
          <w:szCs w:val="24"/>
        </w:rPr>
        <w:t xml:space="preserve"> in Liberia and Pakistan</w:t>
      </w:r>
      <w:r w:rsidR="00C075EE">
        <w:rPr>
          <w:rFonts w:ascii="Times New Roman" w:hAnsi="Times New Roman" w:cs="Times New Roman"/>
          <w:sz w:val="24"/>
          <w:szCs w:val="24"/>
        </w:rPr>
        <w:t>)</w:t>
      </w:r>
      <w:r w:rsidR="002D38B9">
        <w:rPr>
          <w:rFonts w:ascii="Times New Roman" w:hAnsi="Times New Roman" w:cs="Times New Roman"/>
          <w:sz w:val="24"/>
          <w:szCs w:val="24"/>
        </w:rPr>
        <w:t>,</w:t>
      </w:r>
      <w:r w:rsidR="00601DC6">
        <w:rPr>
          <w:rFonts w:ascii="Times New Roman" w:hAnsi="Times New Roman" w:cs="Times New Roman"/>
          <w:sz w:val="24"/>
          <w:szCs w:val="24"/>
        </w:rPr>
        <w:t xml:space="preserve"> 10–19% in </w:t>
      </w:r>
      <w:r w:rsidR="00396250">
        <w:rPr>
          <w:rFonts w:ascii="Times New Roman" w:hAnsi="Times New Roman" w:cs="Times New Roman"/>
          <w:sz w:val="24"/>
          <w:szCs w:val="24"/>
        </w:rPr>
        <w:t xml:space="preserve">eight </w:t>
      </w:r>
      <w:r w:rsidR="001225FB">
        <w:rPr>
          <w:rFonts w:ascii="Times New Roman" w:hAnsi="Times New Roman" w:cs="Times New Roman"/>
          <w:sz w:val="24"/>
          <w:szCs w:val="24"/>
        </w:rPr>
        <w:t>datasets</w:t>
      </w:r>
      <w:r w:rsidR="00396250">
        <w:rPr>
          <w:rFonts w:ascii="Times New Roman" w:hAnsi="Times New Roman" w:cs="Times New Roman"/>
          <w:sz w:val="24"/>
          <w:szCs w:val="24"/>
        </w:rPr>
        <w:t xml:space="preserve">, and </w:t>
      </w:r>
      <w:r w:rsidR="00050B89">
        <w:rPr>
          <w:rFonts w:ascii="Times New Roman" w:hAnsi="Times New Roman" w:cs="Times New Roman"/>
          <w:sz w:val="24"/>
          <w:szCs w:val="24"/>
        </w:rPr>
        <w:t>&lt;10%</w:t>
      </w:r>
      <w:r w:rsidR="0039082A">
        <w:rPr>
          <w:rFonts w:ascii="Times New Roman" w:hAnsi="Times New Roman" w:cs="Times New Roman"/>
          <w:sz w:val="24"/>
          <w:szCs w:val="24"/>
        </w:rPr>
        <w:t xml:space="preserve"> in </w:t>
      </w:r>
      <w:r w:rsidR="00B363A5">
        <w:rPr>
          <w:rFonts w:ascii="Times New Roman" w:hAnsi="Times New Roman" w:cs="Times New Roman"/>
          <w:sz w:val="24"/>
          <w:szCs w:val="24"/>
        </w:rPr>
        <w:t>only Cambodia (5%)</w:t>
      </w:r>
      <w:r w:rsidR="0039082A">
        <w:rPr>
          <w:rFonts w:ascii="Times New Roman" w:hAnsi="Times New Roman" w:cs="Times New Roman"/>
          <w:sz w:val="24"/>
          <w:szCs w:val="24"/>
        </w:rPr>
        <w:t xml:space="preserve"> (Table </w:t>
      </w:r>
      <w:r w:rsidR="00526891">
        <w:rPr>
          <w:rFonts w:ascii="Times New Roman" w:hAnsi="Times New Roman" w:cs="Times New Roman"/>
          <w:sz w:val="24"/>
          <w:szCs w:val="24"/>
        </w:rPr>
        <w:t>2</w:t>
      </w:r>
      <w:r w:rsidR="0039082A">
        <w:rPr>
          <w:rFonts w:ascii="Times New Roman" w:hAnsi="Times New Roman" w:cs="Times New Roman"/>
          <w:sz w:val="24"/>
          <w:szCs w:val="24"/>
        </w:rPr>
        <w:t xml:space="preserve">). </w:t>
      </w:r>
      <w:r w:rsidR="004C0DF4">
        <w:rPr>
          <w:rFonts w:ascii="Times New Roman" w:hAnsi="Times New Roman" w:cs="Times New Roman"/>
          <w:sz w:val="24"/>
          <w:szCs w:val="24"/>
        </w:rPr>
        <w:t>Z</w:t>
      </w:r>
      <w:r w:rsidR="0039082A">
        <w:rPr>
          <w:rFonts w:ascii="Times New Roman" w:hAnsi="Times New Roman" w:cs="Times New Roman"/>
          <w:sz w:val="24"/>
          <w:szCs w:val="24"/>
        </w:rPr>
        <w:t xml:space="preserve">inc deficiency was </w:t>
      </w:r>
      <w:r w:rsidR="00760AE4">
        <w:rPr>
          <w:rFonts w:ascii="Times New Roman" w:hAnsi="Times New Roman" w:cs="Times New Roman"/>
          <w:sz w:val="24"/>
          <w:szCs w:val="24"/>
        </w:rPr>
        <w:t xml:space="preserve">≥20% </w:t>
      </w:r>
      <w:r w:rsidR="00494266">
        <w:rPr>
          <w:rFonts w:ascii="Times New Roman" w:hAnsi="Times New Roman" w:cs="Times New Roman"/>
          <w:sz w:val="24"/>
          <w:szCs w:val="24"/>
        </w:rPr>
        <w:t xml:space="preserve">in </w:t>
      </w:r>
      <w:r w:rsidR="008E71BA">
        <w:rPr>
          <w:rFonts w:ascii="Times New Roman" w:hAnsi="Times New Roman" w:cs="Times New Roman"/>
          <w:sz w:val="24"/>
          <w:szCs w:val="24"/>
        </w:rPr>
        <w:t xml:space="preserve">12 </w:t>
      </w:r>
      <w:r w:rsidR="001225FB">
        <w:rPr>
          <w:rFonts w:ascii="Times New Roman" w:hAnsi="Times New Roman" w:cs="Times New Roman"/>
          <w:sz w:val="24"/>
          <w:szCs w:val="24"/>
        </w:rPr>
        <w:t>datasets</w:t>
      </w:r>
      <w:r w:rsidR="008E71BA">
        <w:rPr>
          <w:rFonts w:ascii="Times New Roman" w:hAnsi="Times New Roman" w:cs="Times New Roman"/>
          <w:sz w:val="24"/>
          <w:szCs w:val="24"/>
        </w:rPr>
        <w:t xml:space="preserve"> (&gt;50% in </w:t>
      </w:r>
      <w:r w:rsidR="008E71BA" w:rsidRPr="008E71BA">
        <w:rPr>
          <w:rFonts w:ascii="Times New Roman" w:hAnsi="Times New Roman" w:cs="Times New Roman"/>
          <w:sz w:val="24"/>
          <w:szCs w:val="24"/>
        </w:rPr>
        <w:t>Cambodia, Malawi, Cameroon, and Viet Nam</w:t>
      </w:r>
      <w:r w:rsidR="008E71BA">
        <w:rPr>
          <w:rFonts w:ascii="Times New Roman" w:hAnsi="Times New Roman" w:cs="Times New Roman"/>
          <w:sz w:val="24"/>
          <w:szCs w:val="24"/>
        </w:rPr>
        <w:t xml:space="preserve">), </w:t>
      </w:r>
      <w:r w:rsidR="00A70ED8">
        <w:rPr>
          <w:rFonts w:ascii="Times New Roman" w:hAnsi="Times New Roman" w:cs="Times New Roman"/>
          <w:sz w:val="24"/>
          <w:szCs w:val="24"/>
        </w:rPr>
        <w:t xml:space="preserve">10–19% in </w:t>
      </w:r>
      <w:r w:rsidR="0026532B">
        <w:rPr>
          <w:rFonts w:ascii="Times New Roman" w:hAnsi="Times New Roman" w:cs="Times New Roman"/>
          <w:sz w:val="24"/>
          <w:szCs w:val="24"/>
        </w:rPr>
        <w:t xml:space="preserve">four </w:t>
      </w:r>
      <w:r w:rsidR="001225FB">
        <w:rPr>
          <w:rFonts w:ascii="Times New Roman" w:hAnsi="Times New Roman" w:cs="Times New Roman"/>
          <w:sz w:val="24"/>
          <w:szCs w:val="24"/>
        </w:rPr>
        <w:t>datasets</w:t>
      </w:r>
      <w:r w:rsidR="0026532B">
        <w:rPr>
          <w:rFonts w:ascii="Times New Roman" w:hAnsi="Times New Roman" w:cs="Times New Roman"/>
          <w:sz w:val="24"/>
          <w:szCs w:val="24"/>
        </w:rPr>
        <w:t xml:space="preserve">, and </w:t>
      </w:r>
      <w:r w:rsidR="00B73BF7">
        <w:rPr>
          <w:rFonts w:ascii="Times New Roman" w:hAnsi="Times New Roman" w:cs="Times New Roman"/>
          <w:sz w:val="24"/>
          <w:szCs w:val="24"/>
        </w:rPr>
        <w:t xml:space="preserve">&lt;10% in no </w:t>
      </w:r>
      <w:r w:rsidR="006A5287">
        <w:rPr>
          <w:rFonts w:ascii="Times New Roman" w:hAnsi="Times New Roman" w:cs="Times New Roman"/>
          <w:sz w:val="24"/>
          <w:szCs w:val="24"/>
        </w:rPr>
        <w:t>countries</w:t>
      </w:r>
      <w:r w:rsidR="00E21B87">
        <w:rPr>
          <w:rFonts w:ascii="Times New Roman" w:hAnsi="Times New Roman" w:cs="Times New Roman"/>
          <w:sz w:val="24"/>
          <w:szCs w:val="24"/>
        </w:rPr>
        <w:t xml:space="preserve"> (Table </w:t>
      </w:r>
      <w:r w:rsidR="00175D4B">
        <w:rPr>
          <w:rFonts w:ascii="Times New Roman" w:hAnsi="Times New Roman" w:cs="Times New Roman"/>
          <w:sz w:val="24"/>
          <w:szCs w:val="24"/>
        </w:rPr>
        <w:t>2</w:t>
      </w:r>
      <w:r w:rsidR="00E21B87">
        <w:rPr>
          <w:rFonts w:ascii="Times New Roman" w:hAnsi="Times New Roman" w:cs="Times New Roman"/>
          <w:sz w:val="24"/>
          <w:szCs w:val="24"/>
        </w:rPr>
        <w:t xml:space="preserve">). </w:t>
      </w:r>
      <w:r w:rsidR="004D6545">
        <w:rPr>
          <w:rFonts w:ascii="Times New Roman" w:hAnsi="Times New Roman" w:cs="Times New Roman"/>
          <w:sz w:val="24"/>
          <w:szCs w:val="24"/>
        </w:rPr>
        <w:t>Vitamin A deficiency was</w:t>
      </w:r>
      <w:r w:rsidR="003446ED">
        <w:rPr>
          <w:rFonts w:ascii="Times New Roman" w:hAnsi="Times New Roman" w:cs="Times New Roman"/>
          <w:sz w:val="24"/>
          <w:szCs w:val="24"/>
        </w:rPr>
        <w:t xml:space="preserve"> </w:t>
      </w:r>
      <w:r w:rsidR="00E63C46">
        <w:rPr>
          <w:rFonts w:ascii="Times New Roman" w:hAnsi="Times New Roman" w:cs="Times New Roman"/>
          <w:sz w:val="24"/>
          <w:szCs w:val="24"/>
        </w:rPr>
        <w:t>51% in</w:t>
      </w:r>
      <w:r w:rsidR="0039082A">
        <w:rPr>
          <w:rFonts w:ascii="Times New Roman" w:hAnsi="Times New Roman" w:cs="Times New Roman"/>
          <w:sz w:val="24"/>
          <w:szCs w:val="24"/>
        </w:rPr>
        <w:t xml:space="preserve"> Pakistan</w:t>
      </w:r>
      <w:r w:rsidR="00D359CD">
        <w:rPr>
          <w:rFonts w:ascii="Times New Roman" w:hAnsi="Times New Roman" w:cs="Times New Roman"/>
          <w:sz w:val="24"/>
          <w:szCs w:val="24"/>
        </w:rPr>
        <w:t xml:space="preserve"> and </w:t>
      </w:r>
      <w:r w:rsidR="003446ED">
        <w:rPr>
          <w:rFonts w:ascii="Times New Roman" w:hAnsi="Times New Roman" w:cs="Times New Roman"/>
          <w:sz w:val="24"/>
          <w:szCs w:val="24"/>
        </w:rPr>
        <w:t xml:space="preserve">39% in </w:t>
      </w:r>
      <w:r w:rsidR="00D359CD">
        <w:rPr>
          <w:rFonts w:ascii="Times New Roman" w:hAnsi="Times New Roman" w:cs="Times New Roman"/>
          <w:sz w:val="24"/>
          <w:szCs w:val="24"/>
        </w:rPr>
        <w:t>Afghanistan</w:t>
      </w:r>
      <w:r w:rsidR="0039082A">
        <w:rPr>
          <w:rFonts w:ascii="Times New Roman" w:hAnsi="Times New Roman" w:cs="Times New Roman"/>
          <w:sz w:val="24"/>
          <w:szCs w:val="24"/>
        </w:rPr>
        <w:t xml:space="preserve">, </w:t>
      </w:r>
      <w:r w:rsidR="005106B2">
        <w:rPr>
          <w:rFonts w:ascii="Times New Roman" w:hAnsi="Times New Roman" w:cs="Times New Roman"/>
          <w:sz w:val="24"/>
          <w:szCs w:val="24"/>
        </w:rPr>
        <w:t>10–19%</w:t>
      </w:r>
      <w:r w:rsidR="008C53B6">
        <w:rPr>
          <w:rFonts w:ascii="Times New Roman" w:hAnsi="Times New Roman" w:cs="Times New Roman"/>
          <w:sz w:val="24"/>
          <w:szCs w:val="24"/>
        </w:rPr>
        <w:t xml:space="preserve"> in Colombia, India, Ecuador, Bangladesh, </w:t>
      </w:r>
      <w:r w:rsidR="00E304E4">
        <w:rPr>
          <w:rFonts w:ascii="Times New Roman" w:hAnsi="Times New Roman" w:cs="Times New Roman"/>
          <w:sz w:val="24"/>
          <w:szCs w:val="24"/>
        </w:rPr>
        <w:t xml:space="preserve">Ghana, and Ethiopia, and </w:t>
      </w:r>
      <w:r w:rsidR="00CF76E2">
        <w:rPr>
          <w:rFonts w:ascii="Times New Roman" w:hAnsi="Times New Roman" w:cs="Times New Roman"/>
          <w:sz w:val="24"/>
          <w:szCs w:val="24"/>
        </w:rPr>
        <w:t>&lt;10%</w:t>
      </w:r>
      <w:r w:rsidR="000B1D1B">
        <w:rPr>
          <w:rFonts w:ascii="Times New Roman" w:hAnsi="Times New Roman" w:cs="Times New Roman"/>
          <w:sz w:val="24"/>
          <w:szCs w:val="24"/>
        </w:rPr>
        <w:t xml:space="preserve"> in </w:t>
      </w:r>
      <w:r w:rsidR="0066519B">
        <w:rPr>
          <w:rFonts w:ascii="Times New Roman" w:hAnsi="Times New Roman" w:cs="Times New Roman"/>
          <w:sz w:val="24"/>
          <w:szCs w:val="24"/>
        </w:rPr>
        <w:t xml:space="preserve">13 </w:t>
      </w:r>
      <w:r w:rsidR="004C27E5">
        <w:rPr>
          <w:rFonts w:ascii="Times New Roman" w:hAnsi="Times New Roman" w:cs="Times New Roman"/>
          <w:sz w:val="24"/>
          <w:szCs w:val="24"/>
        </w:rPr>
        <w:t>datasets</w:t>
      </w:r>
      <w:r w:rsidR="0066519B">
        <w:rPr>
          <w:rFonts w:ascii="Times New Roman" w:hAnsi="Times New Roman" w:cs="Times New Roman"/>
          <w:sz w:val="24"/>
          <w:szCs w:val="24"/>
        </w:rPr>
        <w:t xml:space="preserve"> (Table 2).</w:t>
      </w:r>
      <w:r w:rsidR="00024CDA">
        <w:rPr>
          <w:rFonts w:ascii="Times New Roman" w:hAnsi="Times New Roman" w:cs="Times New Roman"/>
          <w:sz w:val="24"/>
          <w:szCs w:val="24"/>
        </w:rPr>
        <w:t xml:space="preserve"> </w:t>
      </w:r>
      <w:r w:rsidR="0039082A">
        <w:rPr>
          <w:rFonts w:ascii="Times New Roman" w:hAnsi="Times New Roman" w:cs="Times New Roman"/>
          <w:sz w:val="24"/>
          <w:szCs w:val="24"/>
        </w:rPr>
        <w:t xml:space="preserve">Data availability for other </w:t>
      </w:r>
      <w:r w:rsidR="00D51270">
        <w:rPr>
          <w:rFonts w:ascii="Times New Roman" w:hAnsi="Times New Roman" w:cs="Times New Roman"/>
          <w:sz w:val="24"/>
          <w:szCs w:val="24"/>
        </w:rPr>
        <w:t>micro</w:t>
      </w:r>
      <w:r w:rsidR="0039082A">
        <w:rPr>
          <w:rFonts w:ascii="Times New Roman" w:hAnsi="Times New Roman" w:cs="Times New Roman"/>
          <w:sz w:val="24"/>
          <w:szCs w:val="24"/>
        </w:rPr>
        <w:t xml:space="preserve">nutrients was </w:t>
      </w:r>
      <w:r w:rsidR="0064107F">
        <w:rPr>
          <w:rFonts w:ascii="Times New Roman" w:hAnsi="Times New Roman" w:cs="Times New Roman"/>
          <w:sz w:val="24"/>
          <w:szCs w:val="24"/>
        </w:rPr>
        <w:t>sparse</w:t>
      </w:r>
      <w:r w:rsidR="002329E5">
        <w:rPr>
          <w:rFonts w:ascii="Times New Roman" w:hAnsi="Times New Roman" w:cs="Times New Roman"/>
          <w:sz w:val="24"/>
          <w:szCs w:val="24"/>
        </w:rPr>
        <w:t>; of the 22 surveys</w:t>
      </w:r>
      <w:r w:rsidR="0064107F">
        <w:rPr>
          <w:rFonts w:ascii="Times New Roman" w:hAnsi="Times New Roman" w:cs="Times New Roman"/>
          <w:sz w:val="24"/>
          <w:szCs w:val="24"/>
        </w:rPr>
        <w:t xml:space="preserve"> of PSC</w:t>
      </w:r>
      <w:r w:rsidR="002329E5">
        <w:rPr>
          <w:rFonts w:ascii="Times New Roman" w:hAnsi="Times New Roman" w:cs="Times New Roman"/>
          <w:sz w:val="24"/>
          <w:szCs w:val="24"/>
        </w:rPr>
        <w:t xml:space="preserve">, 8 measured </w:t>
      </w:r>
      <w:r w:rsidR="0039082A">
        <w:rPr>
          <w:rFonts w:ascii="Times New Roman" w:hAnsi="Times New Roman" w:cs="Times New Roman"/>
          <w:sz w:val="24"/>
          <w:szCs w:val="24"/>
        </w:rPr>
        <w:t>folate</w:t>
      </w:r>
      <w:r w:rsidR="0080446C">
        <w:rPr>
          <w:rFonts w:ascii="Times New Roman" w:hAnsi="Times New Roman" w:cs="Times New Roman"/>
          <w:sz w:val="24"/>
          <w:szCs w:val="24"/>
        </w:rPr>
        <w:t>,</w:t>
      </w:r>
      <w:r w:rsidR="0039082A">
        <w:rPr>
          <w:rFonts w:ascii="Times New Roman" w:hAnsi="Times New Roman" w:cs="Times New Roman"/>
          <w:sz w:val="24"/>
          <w:szCs w:val="24"/>
        </w:rPr>
        <w:t xml:space="preserve"> 7</w:t>
      </w:r>
      <w:r w:rsidR="002329E5">
        <w:rPr>
          <w:rFonts w:ascii="Times New Roman" w:hAnsi="Times New Roman" w:cs="Times New Roman"/>
          <w:sz w:val="24"/>
          <w:szCs w:val="24"/>
        </w:rPr>
        <w:t xml:space="preserve"> measured </w:t>
      </w:r>
      <w:r w:rsidR="001E0F8A">
        <w:rPr>
          <w:rFonts w:ascii="Times New Roman" w:hAnsi="Times New Roman" w:cs="Times New Roman"/>
          <w:sz w:val="24"/>
          <w:szCs w:val="24"/>
        </w:rPr>
        <w:t xml:space="preserve">vitamin </w:t>
      </w:r>
      <w:r w:rsidR="0039082A">
        <w:rPr>
          <w:rFonts w:ascii="Times New Roman" w:hAnsi="Times New Roman" w:cs="Times New Roman"/>
          <w:sz w:val="24"/>
          <w:szCs w:val="24"/>
        </w:rPr>
        <w:t>B</w:t>
      </w:r>
      <w:r w:rsidR="0039082A" w:rsidRPr="00B96802">
        <w:rPr>
          <w:rFonts w:ascii="Times New Roman" w:hAnsi="Times New Roman" w:cs="Times New Roman"/>
          <w:sz w:val="24"/>
          <w:szCs w:val="24"/>
          <w:vertAlign w:val="subscript"/>
        </w:rPr>
        <w:t>12</w:t>
      </w:r>
      <w:r w:rsidR="0080446C">
        <w:rPr>
          <w:rFonts w:ascii="Times New Roman" w:hAnsi="Times New Roman" w:cs="Times New Roman"/>
          <w:sz w:val="24"/>
          <w:szCs w:val="24"/>
        </w:rPr>
        <w:t>,</w:t>
      </w:r>
      <w:r w:rsidR="0039082A">
        <w:rPr>
          <w:rFonts w:ascii="Times New Roman" w:hAnsi="Times New Roman" w:cs="Times New Roman"/>
          <w:sz w:val="24"/>
          <w:szCs w:val="24"/>
        </w:rPr>
        <w:t xml:space="preserve"> and </w:t>
      </w:r>
      <w:r w:rsidR="00025614">
        <w:rPr>
          <w:rFonts w:ascii="Times New Roman" w:hAnsi="Times New Roman" w:cs="Times New Roman"/>
          <w:sz w:val="24"/>
          <w:szCs w:val="24"/>
        </w:rPr>
        <w:t>7 measured</w:t>
      </w:r>
      <w:r w:rsidR="00954251">
        <w:rPr>
          <w:rFonts w:ascii="Times New Roman" w:hAnsi="Times New Roman" w:cs="Times New Roman"/>
          <w:sz w:val="24"/>
          <w:szCs w:val="24"/>
        </w:rPr>
        <w:t xml:space="preserve"> </w:t>
      </w:r>
      <w:r w:rsidR="0064107F">
        <w:rPr>
          <w:rFonts w:ascii="Times New Roman" w:hAnsi="Times New Roman" w:cs="Times New Roman"/>
          <w:sz w:val="24"/>
          <w:szCs w:val="24"/>
        </w:rPr>
        <w:t>vitamin</w:t>
      </w:r>
      <w:r w:rsidR="0039082A">
        <w:rPr>
          <w:rFonts w:ascii="Times New Roman" w:hAnsi="Times New Roman" w:cs="Times New Roman"/>
          <w:sz w:val="24"/>
          <w:szCs w:val="24"/>
        </w:rPr>
        <w:t xml:space="preserve"> D, with highly variable prevalence </w:t>
      </w:r>
      <w:r w:rsidR="002329E5">
        <w:rPr>
          <w:rFonts w:ascii="Times New Roman" w:hAnsi="Times New Roman" w:cs="Times New Roman"/>
          <w:sz w:val="24"/>
          <w:szCs w:val="24"/>
        </w:rPr>
        <w:t xml:space="preserve">of deficiency </w:t>
      </w:r>
      <w:r w:rsidR="0039082A">
        <w:rPr>
          <w:rFonts w:ascii="Times New Roman" w:hAnsi="Times New Roman" w:cs="Times New Roman"/>
          <w:sz w:val="24"/>
          <w:szCs w:val="24"/>
        </w:rPr>
        <w:t xml:space="preserve">for </w:t>
      </w:r>
      <w:r w:rsidR="002329E5">
        <w:rPr>
          <w:rFonts w:ascii="Times New Roman" w:hAnsi="Times New Roman" w:cs="Times New Roman"/>
          <w:sz w:val="24"/>
          <w:szCs w:val="24"/>
        </w:rPr>
        <w:t xml:space="preserve">each of these </w:t>
      </w:r>
      <w:r w:rsidR="00DA3D16">
        <w:rPr>
          <w:rFonts w:ascii="Times New Roman" w:hAnsi="Times New Roman" w:cs="Times New Roman"/>
          <w:sz w:val="24"/>
          <w:szCs w:val="24"/>
        </w:rPr>
        <w:t>micronutrients</w:t>
      </w:r>
      <w:r w:rsidR="001A5D1B">
        <w:rPr>
          <w:rFonts w:ascii="Times New Roman" w:hAnsi="Times New Roman" w:cs="Times New Roman"/>
          <w:sz w:val="24"/>
          <w:szCs w:val="24"/>
        </w:rPr>
        <w:t xml:space="preserve"> (Table </w:t>
      </w:r>
      <w:r w:rsidR="00836D46">
        <w:rPr>
          <w:rFonts w:ascii="Times New Roman" w:hAnsi="Times New Roman" w:cs="Times New Roman"/>
          <w:sz w:val="24"/>
          <w:szCs w:val="24"/>
        </w:rPr>
        <w:t>2</w:t>
      </w:r>
      <w:r w:rsidR="001A5D1B">
        <w:rPr>
          <w:rFonts w:ascii="Times New Roman" w:hAnsi="Times New Roman" w:cs="Times New Roman"/>
          <w:sz w:val="24"/>
          <w:szCs w:val="24"/>
        </w:rPr>
        <w:t>)</w:t>
      </w:r>
      <w:r w:rsidR="0039082A">
        <w:rPr>
          <w:rFonts w:ascii="Times New Roman" w:hAnsi="Times New Roman" w:cs="Times New Roman"/>
          <w:sz w:val="24"/>
          <w:szCs w:val="24"/>
        </w:rPr>
        <w:t xml:space="preserve">. Only </w:t>
      </w:r>
      <w:r w:rsidR="00664FCC">
        <w:rPr>
          <w:rFonts w:ascii="Times New Roman" w:hAnsi="Times New Roman" w:cs="Times New Roman"/>
          <w:sz w:val="24"/>
          <w:szCs w:val="24"/>
        </w:rPr>
        <w:t>two</w:t>
      </w:r>
      <w:r w:rsidR="0039082A">
        <w:rPr>
          <w:rFonts w:ascii="Times New Roman" w:hAnsi="Times New Roman" w:cs="Times New Roman"/>
          <w:sz w:val="24"/>
          <w:szCs w:val="24"/>
        </w:rPr>
        <w:t xml:space="preserve"> countries </w:t>
      </w:r>
      <w:r w:rsidR="00A52DB7">
        <w:rPr>
          <w:rFonts w:ascii="Times New Roman" w:hAnsi="Times New Roman" w:cs="Times New Roman"/>
          <w:sz w:val="24"/>
          <w:szCs w:val="24"/>
        </w:rPr>
        <w:t xml:space="preserve">(both </w:t>
      </w:r>
      <w:r w:rsidR="00A52DB7" w:rsidRPr="00A52DB7">
        <w:rPr>
          <w:rFonts w:ascii="Times New Roman" w:hAnsi="Times New Roman" w:cs="Times New Roman"/>
          <w:sz w:val="24"/>
          <w:szCs w:val="24"/>
        </w:rPr>
        <w:t>lower middle-income</w:t>
      </w:r>
      <w:r w:rsidR="00A52DB7">
        <w:rPr>
          <w:rFonts w:ascii="Times New Roman" w:hAnsi="Times New Roman" w:cs="Times New Roman"/>
          <w:sz w:val="24"/>
          <w:szCs w:val="24"/>
        </w:rPr>
        <w:t xml:space="preserve">) </w:t>
      </w:r>
      <w:r w:rsidR="00BE7A5B">
        <w:rPr>
          <w:rFonts w:ascii="Times New Roman" w:hAnsi="Times New Roman" w:cs="Times New Roman"/>
          <w:sz w:val="24"/>
          <w:szCs w:val="24"/>
        </w:rPr>
        <w:t>measured</w:t>
      </w:r>
      <w:r w:rsidR="0039082A">
        <w:rPr>
          <w:rFonts w:ascii="Times New Roman" w:hAnsi="Times New Roman" w:cs="Times New Roman"/>
          <w:sz w:val="24"/>
          <w:szCs w:val="24"/>
        </w:rPr>
        <w:t xml:space="preserve"> all </w:t>
      </w:r>
      <w:r w:rsidR="00E401E1">
        <w:rPr>
          <w:rFonts w:ascii="Times New Roman" w:hAnsi="Times New Roman" w:cs="Times New Roman"/>
          <w:sz w:val="24"/>
          <w:szCs w:val="24"/>
        </w:rPr>
        <w:t xml:space="preserve">six </w:t>
      </w:r>
      <w:r w:rsidR="0039082A">
        <w:rPr>
          <w:rFonts w:ascii="Times New Roman" w:hAnsi="Times New Roman" w:cs="Times New Roman"/>
          <w:sz w:val="24"/>
          <w:szCs w:val="24"/>
        </w:rPr>
        <w:t xml:space="preserve">sentinel </w:t>
      </w:r>
      <w:r w:rsidR="00DA3D16">
        <w:rPr>
          <w:rFonts w:ascii="Times New Roman" w:hAnsi="Times New Roman" w:cs="Times New Roman"/>
          <w:sz w:val="24"/>
          <w:szCs w:val="24"/>
        </w:rPr>
        <w:t>micronutrients</w:t>
      </w:r>
      <w:r w:rsidR="0039082A">
        <w:rPr>
          <w:rFonts w:ascii="Times New Roman" w:hAnsi="Times New Roman" w:cs="Times New Roman"/>
          <w:sz w:val="24"/>
          <w:szCs w:val="24"/>
        </w:rPr>
        <w:t xml:space="preserve"> </w:t>
      </w:r>
      <w:r w:rsidR="00D70451">
        <w:rPr>
          <w:rFonts w:ascii="Times New Roman" w:hAnsi="Times New Roman" w:cs="Times New Roman"/>
          <w:sz w:val="24"/>
          <w:szCs w:val="24"/>
        </w:rPr>
        <w:t>in PSC</w:t>
      </w:r>
      <w:r w:rsidR="0039082A">
        <w:rPr>
          <w:rFonts w:ascii="Times New Roman" w:hAnsi="Times New Roman" w:cs="Times New Roman"/>
          <w:sz w:val="24"/>
          <w:szCs w:val="24"/>
        </w:rPr>
        <w:t xml:space="preserve"> and </w:t>
      </w:r>
      <w:r w:rsidR="00B12780">
        <w:rPr>
          <w:rFonts w:ascii="Times New Roman" w:hAnsi="Times New Roman" w:cs="Times New Roman"/>
          <w:sz w:val="24"/>
          <w:szCs w:val="24"/>
        </w:rPr>
        <w:t xml:space="preserve">they both </w:t>
      </w:r>
      <w:r w:rsidR="0039082A">
        <w:rPr>
          <w:rFonts w:ascii="Times New Roman" w:hAnsi="Times New Roman" w:cs="Times New Roman"/>
          <w:sz w:val="24"/>
          <w:szCs w:val="24"/>
        </w:rPr>
        <w:t xml:space="preserve">indicated very high prevalence of </w:t>
      </w:r>
      <w:r w:rsidR="00A16FD0">
        <w:rPr>
          <w:rFonts w:ascii="Times New Roman" w:hAnsi="Times New Roman" w:cs="Times New Roman"/>
          <w:sz w:val="24"/>
          <w:szCs w:val="24"/>
        </w:rPr>
        <w:t xml:space="preserve">having </w:t>
      </w:r>
      <w:r w:rsidR="004C314C">
        <w:rPr>
          <w:rFonts w:ascii="Times New Roman" w:hAnsi="Times New Roman" w:cs="Times New Roman"/>
          <w:sz w:val="24"/>
          <w:szCs w:val="24"/>
        </w:rPr>
        <w:t>one or more</w:t>
      </w:r>
      <w:r w:rsidR="0039082A">
        <w:rPr>
          <w:rFonts w:ascii="Times New Roman" w:hAnsi="Times New Roman" w:cs="Times New Roman"/>
          <w:sz w:val="24"/>
          <w:szCs w:val="24"/>
        </w:rPr>
        <w:t xml:space="preserve"> sentinel </w:t>
      </w:r>
      <w:r w:rsidR="004C314C">
        <w:rPr>
          <w:rFonts w:ascii="Times New Roman" w:hAnsi="Times New Roman" w:cs="Times New Roman"/>
          <w:sz w:val="24"/>
          <w:szCs w:val="24"/>
        </w:rPr>
        <w:t xml:space="preserve">MNDs </w:t>
      </w:r>
      <w:r w:rsidR="0039082A">
        <w:rPr>
          <w:rFonts w:ascii="Times New Roman" w:hAnsi="Times New Roman" w:cs="Times New Roman"/>
          <w:sz w:val="24"/>
          <w:szCs w:val="24"/>
        </w:rPr>
        <w:t>(</w:t>
      </w:r>
      <w:r w:rsidR="003D41AD">
        <w:rPr>
          <w:rFonts w:ascii="Times New Roman" w:hAnsi="Times New Roman" w:cs="Times New Roman"/>
          <w:sz w:val="24"/>
          <w:szCs w:val="24"/>
        </w:rPr>
        <w:t xml:space="preserve">81% in </w:t>
      </w:r>
      <w:r w:rsidR="0039082A">
        <w:rPr>
          <w:rFonts w:ascii="Times New Roman" w:hAnsi="Times New Roman" w:cs="Times New Roman"/>
          <w:sz w:val="24"/>
          <w:szCs w:val="24"/>
        </w:rPr>
        <w:t xml:space="preserve">Cambodia </w:t>
      </w:r>
      <w:r w:rsidR="008933C8">
        <w:rPr>
          <w:rFonts w:ascii="Times New Roman" w:hAnsi="Times New Roman" w:cs="Times New Roman"/>
          <w:sz w:val="24"/>
          <w:szCs w:val="24"/>
        </w:rPr>
        <w:t>and</w:t>
      </w:r>
      <w:r w:rsidR="003D41AD">
        <w:rPr>
          <w:rFonts w:ascii="Times New Roman" w:hAnsi="Times New Roman" w:cs="Times New Roman"/>
          <w:sz w:val="24"/>
          <w:szCs w:val="24"/>
        </w:rPr>
        <w:t xml:space="preserve"> 80% in</w:t>
      </w:r>
      <w:r w:rsidR="0039082A">
        <w:rPr>
          <w:rFonts w:ascii="Times New Roman" w:hAnsi="Times New Roman" w:cs="Times New Roman"/>
          <w:sz w:val="24"/>
          <w:szCs w:val="24"/>
        </w:rPr>
        <w:t xml:space="preserve"> India)</w:t>
      </w:r>
      <w:r w:rsidR="00E12EF4">
        <w:rPr>
          <w:rFonts w:ascii="Times New Roman" w:hAnsi="Times New Roman" w:cs="Times New Roman"/>
          <w:sz w:val="24"/>
          <w:szCs w:val="24"/>
        </w:rPr>
        <w:t xml:space="preserve"> (Table </w:t>
      </w:r>
      <w:r w:rsidR="00E915CA">
        <w:rPr>
          <w:rFonts w:ascii="Times New Roman" w:hAnsi="Times New Roman" w:cs="Times New Roman"/>
          <w:sz w:val="24"/>
          <w:szCs w:val="24"/>
        </w:rPr>
        <w:t>2</w:t>
      </w:r>
      <w:r w:rsidR="00E9345A">
        <w:rPr>
          <w:rFonts w:ascii="Times New Roman" w:hAnsi="Times New Roman" w:cs="Times New Roman"/>
          <w:sz w:val="24"/>
          <w:szCs w:val="24"/>
        </w:rPr>
        <w:t>,</w:t>
      </w:r>
      <w:r w:rsidR="00F10C9F">
        <w:rPr>
          <w:rFonts w:ascii="Times New Roman" w:hAnsi="Times New Roman" w:cs="Times New Roman"/>
          <w:sz w:val="24"/>
          <w:szCs w:val="24"/>
        </w:rPr>
        <w:t xml:space="preserve"> Figure 1)</w:t>
      </w:r>
      <w:r w:rsidR="0039082A">
        <w:rPr>
          <w:rFonts w:ascii="Times New Roman" w:hAnsi="Times New Roman" w:cs="Times New Roman"/>
          <w:sz w:val="24"/>
          <w:szCs w:val="24"/>
        </w:rPr>
        <w:t>.</w:t>
      </w:r>
      <w:r w:rsidR="0039082A" w:rsidRPr="00DF5ABB">
        <w:rPr>
          <w:rFonts w:ascii="Times New Roman" w:hAnsi="Times New Roman" w:cs="Times New Roman"/>
          <w:sz w:val="24"/>
          <w:szCs w:val="24"/>
        </w:rPr>
        <w:t xml:space="preserve"> </w:t>
      </w:r>
      <w:r w:rsidR="0039082A">
        <w:rPr>
          <w:rFonts w:ascii="Times New Roman" w:hAnsi="Times New Roman" w:cs="Times New Roman"/>
          <w:sz w:val="24"/>
          <w:szCs w:val="24"/>
        </w:rPr>
        <w:t xml:space="preserve">However, an additional five country surveys measured at least </w:t>
      </w:r>
      <w:r w:rsidR="000874B5">
        <w:rPr>
          <w:rFonts w:ascii="Times New Roman" w:hAnsi="Times New Roman" w:cs="Times New Roman"/>
          <w:sz w:val="24"/>
          <w:szCs w:val="24"/>
        </w:rPr>
        <w:t xml:space="preserve">five of the </w:t>
      </w:r>
      <w:r w:rsidR="00741739">
        <w:rPr>
          <w:rFonts w:ascii="Times New Roman" w:hAnsi="Times New Roman" w:cs="Times New Roman"/>
          <w:sz w:val="24"/>
          <w:szCs w:val="24"/>
        </w:rPr>
        <w:t>six</w:t>
      </w:r>
      <w:r w:rsidR="0039082A">
        <w:rPr>
          <w:rFonts w:ascii="Times New Roman" w:hAnsi="Times New Roman" w:cs="Times New Roman"/>
          <w:sz w:val="24"/>
          <w:szCs w:val="24"/>
        </w:rPr>
        <w:t xml:space="preserve"> sentinel </w:t>
      </w:r>
      <w:r w:rsidR="002655E4">
        <w:rPr>
          <w:rFonts w:ascii="Times New Roman" w:hAnsi="Times New Roman" w:cs="Times New Roman"/>
          <w:sz w:val="24"/>
          <w:szCs w:val="24"/>
        </w:rPr>
        <w:t>micro</w:t>
      </w:r>
      <w:r w:rsidR="0039082A">
        <w:rPr>
          <w:rFonts w:ascii="Times New Roman" w:hAnsi="Times New Roman" w:cs="Times New Roman"/>
          <w:sz w:val="24"/>
          <w:szCs w:val="24"/>
        </w:rPr>
        <w:t xml:space="preserve">nutrients, which permitted </w:t>
      </w:r>
      <w:r w:rsidR="00957775">
        <w:rPr>
          <w:rFonts w:ascii="Times New Roman" w:hAnsi="Times New Roman" w:cs="Times New Roman"/>
          <w:sz w:val="24"/>
          <w:szCs w:val="24"/>
        </w:rPr>
        <w:t>visualiz</w:t>
      </w:r>
      <w:r w:rsidR="002F0C5B">
        <w:rPr>
          <w:rFonts w:ascii="Times New Roman" w:hAnsi="Times New Roman" w:cs="Times New Roman"/>
          <w:sz w:val="24"/>
          <w:szCs w:val="24"/>
        </w:rPr>
        <w:t>ation of</w:t>
      </w:r>
      <w:r w:rsidR="00957775">
        <w:rPr>
          <w:rFonts w:ascii="Times New Roman" w:hAnsi="Times New Roman" w:cs="Times New Roman"/>
          <w:sz w:val="24"/>
          <w:szCs w:val="24"/>
        </w:rPr>
        <w:t xml:space="preserve"> </w:t>
      </w:r>
      <w:r w:rsidR="002A46CA">
        <w:rPr>
          <w:rFonts w:ascii="Times New Roman" w:hAnsi="Times New Roman" w:cs="Times New Roman"/>
          <w:sz w:val="24"/>
          <w:szCs w:val="24"/>
        </w:rPr>
        <w:t>coexisting deficiencies in an individual,</w:t>
      </w:r>
      <w:r w:rsidR="00957775">
        <w:rPr>
          <w:rFonts w:ascii="Times New Roman" w:hAnsi="Times New Roman" w:cs="Times New Roman"/>
          <w:sz w:val="24"/>
          <w:szCs w:val="24"/>
        </w:rPr>
        <w:t xml:space="preserve"> </w:t>
      </w:r>
      <w:r w:rsidR="002A46CA">
        <w:rPr>
          <w:rFonts w:ascii="Times New Roman" w:hAnsi="Times New Roman" w:cs="Times New Roman"/>
          <w:sz w:val="24"/>
          <w:szCs w:val="24"/>
        </w:rPr>
        <w:t>in</w:t>
      </w:r>
      <w:r w:rsidR="00957775">
        <w:rPr>
          <w:rFonts w:ascii="Times New Roman" w:hAnsi="Times New Roman" w:cs="Times New Roman"/>
          <w:sz w:val="24"/>
          <w:szCs w:val="24"/>
        </w:rPr>
        <w:t xml:space="preserve"> </w:t>
      </w:r>
      <w:r w:rsidR="006723BC">
        <w:rPr>
          <w:rFonts w:ascii="Times New Roman" w:hAnsi="Times New Roman" w:cs="Times New Roman"/>
          <w:sz w:val="24"/>
          <w:szCs w:val="24"/>
        </w:rPr>
        <w:t xml:space="preserve">measured </w:t>
      </w:r>
      <w:r w:rsidR="006723BC" w:rsidRPr="00E44BCC">
        <w:rPr>
          <w:rFonts w:ascii="Times New Roman" w:hAnsi="Times New Roman" w:cs="Times New Roman"/>
          <w:sz w:val="24"/>
          <w:szCs w:val="24"/>
        </w:rPr>
        <w:t>micronutrients</w:t>
      </w:r>
      <w:r w:rsidR="0039082A" w:rsidRPr="00E44BCC">
        <w:rPr>
          <w:rFonts w:ascii="Times New Roman" w:hAnsi="Times New Roman" w:cs="Times New Roman"/>
          <w:sz w:val="24"/>
          <w:szCs w:val="24"/>
        </w:rPr>
        <w:t xml:space="preserve"> </w:t>
      </w:r>
      <w:r w:rsidR="0039082A" w:rsidRPr="00E44BCC">
        <w:rPr>
          <w:rFonts w:ascii="Times New Roman" w:hAnsi="Times New Roman"/>
          <w:sz w:val="24"/>
        </w:rPr>
        <w:t xml:space="preserve">(Figure </w:t>
      </w:r>
      <w:r w:rsidR="009D5996" w:rsidRPr="00E44BCC">
        <w:rPr>
          <w:rFonts w:ascii="Times New Roman" w:hAnsi="Times New Roman"/>
          <w:sz w:val="24"/>
        </w:rPr>
        <w:t>1</w:t>
      </w:r>
      <w:r w:rsidR="0039082A" w:rsidRPr="00E44BCC">
        <w:rPr>
          <w:rFonts w:ascii="Times New Roman" w:hAnsi="Times New Roman" w:cs="Times New Roman"/>
          <w:sz w:val="24"/>
          <w:szCs w:val="24"/>
        </w:rPr>
        <w:t>).</w:t>
      </w:r>
      <w:r w:rsidR="0039082A">
        <w:rPr>
          <w:rFonts w:ascii="Times New Roman" w:hAnsi="Times New Roman" w:cs="Times New Roman"/>
          <w:sz w:val="24"/>
          <w:szCs w:val="24"/>
        </w:rPr>
        <w:t xml:space="preserve"> Like Cambodia and India, Cameroon </w:t>
      </w:r>
      <w:r w:rsidR="002E733C">
        <w:rPr>
          <w:rFonts w:ascii="Times New Roman" w:hAnsi="Times New Roman" w:cs="Times New Roman"/>
          <w:sz w:val="24"/>
          <w:szCs w:val="24"/>
        </w:rPr>
        <w:t xml:space="preserve">(78%) </w:t>
      </w:r>
      <w:r w:rsidR="0039082A">
        <w:rPr>
          <w:rFonts w:ascii="Times New Roman" w:hAnsi="Times New Roman" w:cs="Times New Roman"/>
          <w:sz w:val="24"/>
          <w:szCs w:val="24"/>
        </w:rPr>
        <w:t>and Viet</w:t>
      </w:r>
      <w:r w:rsidR="00FC1DF3">
        <w:rPr>
          <w:rFonts w:ascii="Times New Roman" w:hAnsi="Times New Roman" w:cs="Times New Roman"/>
          <w:sz w:val="24"/>
          <w:szCs w:val="24"/>
        </w:rPr>
        <w:t xml:space="preserve"> N</w:t>
      </w:r>
      <w:r w:rsidR="0039082A">
        <w:rPr>
          <w:rFonts w:ascii="Times New Roman" w:hAnsi="Times New Roman" w:cs="Times New Roman"/>
          <w:sz w:val="24"/>
          <w:szCs w:val="24"/>
        </w:rPr>
        <w:t>am</w:t>
      </w:r>
      <w:r w:rsidR="002E733C">
        <w:rPr>
          <w:rFonts w:ascii="Times New Roman" w:hAnsi="Times New Roman" w:cs="Times New Roman"/>
          <w:sz w:val="24"/>
          <w:szCs w:val="24"/>
        </w:rPr>
        <w:t xml:space="preserve"> (68%)</w:t>
      </w:r>
      <w:r w:rsidR="0039082A">
        <w:rPr>
          <w:rFonts w:ascii="Times New Roman" w:hAnsi="Times New Roman" w:cs="Times New Roman"/>
          <w:sz w:val="24"/>
          <w:szCs w:val="24"/>
        </w:rPr>
        <w:t xml:space="preserve"> had very high prevalence of</w:t>
      </w:r>
      <w:r w:rsidR="00B2402D">
        <w:rPr>
          <w:rFonts w:ascii="Times New Roman" w:hAnsi="Times New Roman" w:cs="Times New Roman"/>
          <w:sz w:val="24"/>
          <w:szCs w:val="24"/>
        </w:rPr>
        <w:t xml:space="preserve"> at least one </w:t>
      </w:r>
      <w:r w:rsidR="005F2462">
        <w:rPr>
          <w:rFonts w:ascii="Times New Roman" w:hAnsi="Times New Roman" w:cs="Times New Roman"/>
          <w:sz w:val="24"/>
          <w:szCs w:val="24"/>
        </w:rPr>
        <w:t xml:space="preserve">of </w:t>
      </w:r>
      <w:r w:rsidR="0008276F">
        <w:rPr>
          <w:rFonts w:ascii="Times New Roman" w:hAnsi="Times New Roman" w:cs="Times New Roman"/>
          <w:sz w:val="24"/>
          <w:szCs w:val="24"/>
        </w:rPr>
        <w:t xml:space="preserve">five </w:t>
      </w:r>
      <w:r w:rsidR="006723BC">
        <w:rPr>
          <w:rFonts w:ascii="Times New Roman" w:hAnsi="Times New Roman" w:cs="Times New Roman"/>
          <w:sz w:val="24"/>
          <w:szCs w:val="24"/>
        </w:rPr>
        <w:t xml:space="preserve">measured </w:t>
      </w:r>
      <w:r w:rsidR="0039082A">
        <w:rPr>
          <w:rFonts w:ascii="Times New Roman" w:hAnsi="Times New Roman" w:cs="Times New Roman"/>
          <w:sz w:val="24"/>
          <w:szCs w:val="24"/>
        </w:rPr>
        <w:t xml:space="preserve">sentinel </w:t>
      </w:r>
      <w:r w:rsidR="003A5D46">
        <w:rPr>
          <w:rFonts w:ascii="Times New Roman" w:hAnsi="Times New Roman" w:cs="Times New Roman"/>
          <w:sz w:val="24"/>
          <w:szCs w:val="24"/>
        </w:rPr>
        <w:t>MNDs</w:t>
      </w:r>
      <w:r w:rsidR="003E278B">
        <w:rPr>
          <w:rFonts w:ascii="Times New Roman" w:hAnsi="Times New Roman" w:cs="Times New Roman"/>
          <w:sz w:val="24"/>
          <w:szCs w:val="24"/>
        </w:rPr>
        <w:t xml:space="preserve"> (Figure 1)</w:t>
      </w:r>
      <w:r w:rsidR="0039082A">
        <w:rPr>
          <w:rFonts w:ascii="Times New Roman" w:hAnsi="Times New Roman" w:cs="Times New Roman"/>
          <w:sz w:val="24"/>
          <w:szCs w:val="24"/>
        </w:rPr>
        <w:t xml:space="preserve">. The prevalence of any </w:t>
      </w:r>
      <w:r w:rsidR="00B72D9B">
        <w:rPr>
          <w:rFonts w:ascii="Times New Roman" w:hAnsi="Times New Roman" w:cs="Times New Roman"/>
          <w:sz w:val="24"/>
          <w:szCs w:val="24"/>
        </w:rPr>
        <w:t xml:space="preserve">sentinel </w:t>
      </w:r>
      <w:r w:rsidR="009F5620">
        <w:rPr>
          <w:rFonts w:ascii="Times New Roman" w:hAnsi="Times New Roman" w:cs="Times New Roman"/>
          <w:sz w:val="24"/>
          <w:szCs w:val="24"/>
        </w:rPr>
        <w:t>MND</w:t>
      </w:r>
      <w:r w:rsidR="0039082A">
        <w:rPr>
          <w:rFonts w:ascii="Times New Roman" w:hAnsi="Times New Roman" w:cs="Times New Roman"/>
          <w:sz w:val="24"/>
          <w:szCs w:val="24"/>
        </w:rPr>
        <w:t xml:space="preserve"> in the UK (37%</w:t>
      </w:r>
      <w:r w:rsidR="00086374">
        <w:rPr>
          <w:rFonts w:ascii="Times New Roman" w:hAnsi="Times New Roman" w:cs="Times New Roman"/>
          <w:sz w:val="24"/>
          <w:szCs w:val="24"/>
        </w:rPr>
        <w:t>, driven primarily by iron deficiency)</w:t>
      </w:r>
      <w:r w:rsidR="00BF4A81" w:rsidRPr="00BF4A81">
        <w:rPr>
          <w:rFonts w:ascii="Times New Roman" w:hAnsi="Times New Roman" w:cs="Times New Roman"/>
          <w:sz w:val="24"/>
          <w:szCs w:val="24"/>
        </w:rPr>
        <w:t xml:space="preserve"> </w:t>
      </w:r>
      <w:r w:rsidR="00BF4A81">
        <w:rPr>
          <w:rFonts w:ascii="Times New Roman" w:hAnsi="Times New Roman" w:cs="Times New Roman"/>
          <w:sz w:val="24"/>
          <w:szCs w:val="24"/>
        </w:rPr>
        <w:t xml:space="preserve">was </w:t>
      </w:r>
      <w:r w:rsidR="002C6A49">
        <w:rPr>
          <w:rFonts w:ascii="Times New Roman" w:hAnsi="Times New Roman" w:cs="Times New Roman"/>
          <w:sz w:val="24"/>
          <w:szCs w:val="24"/>
        </w:rPr>
        <w:t>similar to prevalence in</w:t>
      </w:r>
      <w:r w:rsidR="00BF4A81">
        <w:rPr>
          <w:rFonts w:ascii="Times New Roman" w:hAnsi="Times New Roman" w:cs="Times New Roman"/>
          <w:sz w:val="24"/>
          <w:szCs w:val="24"/>
        </w:rPr>
        <w:t xml:space="preserve"> Guatemala (38%)</w:t>
      </w:r>
      <w:r w:rsidR="0039082A">
        <w:rPr>
          <w:rFonts w:ascii="Times New Roman" w:hAnsi="Times New Roman" w:cs="Times New Roman"/>
          <w:sz w:val="24"/>
          <w:szCs w:val="24"/>
        </w:rPr>
        <w:t xml:space="preserve"> </w:t>
      </w:r>
      <w:r w:rsidR="00BF4A81">
        <w:rPr>
          <w:rFonts w:ascii="Times New Roman" w:hAnsi="Times New Roman" w:cs="Times New Roman"/>
          <w:sz w:val="24"/>
          <w:szCs w:val="24"/>
        </w:rPr>
        <w:t xml:space="preserve">and higher </w:t>
      </w:r>
      <w:r w:rsidR="0039082A">
        <w:rPr>
          <w:rFonts w:ascii="Times New Roman" w:hAnsi="Times New Roman" w:cs="Times New Roman"/>
          <w:sz w:val="24"/>
          <w:szCs w:val="24"/>
        </w:rPr>
        <w:t xml:space="preserve">than </w:t>
      </w:r>
      <w:r w:rsidR="00BF4A81">
        <w:rPr>
          <w:rFonts w:ascii="Times New Roman" w:hAnsi="Times New Roman" w:cs="Times New Roman"/>
          <w:sz w:val="24"/>
          <w:szCs w:val="24"/>
        </w:rPr>
        <w:t xml:space="preserve">in </w:t>
      </w:r>
      <w:r w:rsidR="0039082A">
        <w:rPr>
          <w:rFonts w:ascii="Times New Roman" w:hAnsi="Times New Roman" w:cs="Times New Roman"/>
          <w:sz w:val="24"/>
          <w:szCs w:val="24"/>
        </w:rPr>
        <w:t>Mexico (29%)</w:t>
      </w:r>
      <w:r w:rsidR="00274A45">
        <w:rPr>
          <w:rFonts w:ascii="Times New Roman" w:hAnsi="Times New Roman" w:cs="Times New Roman"/>
          <w:sz w:val="24"/>
          <w:szCs w:val="24"/>
        </w:rPr>
        <w:t xml:space="preserve"> (Figure 1)</w:t>
      </w:r>
      <w:r w:rsidR="0039082A">
        <w:rPr>
          <w:rFonts w:ascii="Times New Roman" w:hAnsi="Times New Roman" w:cs="Times New Roman"/>
          <w:sz w:val="24"/>
          <w:szCs w:val="24"/>
        </w:rPr>
        <w:t xml:space="preserve">. The prevalence of </w:t>
      </w:r>
      <w:r w:rsidR="00D257FF">
        <w:rPr>
          <w:rFonts w:ascii="Times New Roman" w:hAnsi="Times New Roman" w:cs="Times New Roman"/>
          <w:sz w:val="24"/>
          <w:szCs w:val="24"/>
        </w:rPr>
        <w:t xml:space="preserve">deficiencies in </w:t>
      </w:r>
      <w:r w:rsidR="00461A12">
        <w:rPr>
          <w:rFonts w:ascii="Times New Roman" w:hAnsi="Times New Roman" w:cs="Times New Roman"/>
          <w:sz w:val="24"/>
          <w:szCs w:val="24"/>
        </w:rPr>
        <w:t>two</w:t>
      </w:r>
      <w:r w:rsidR="0039082A">
        <w:rPr>
          <w:rFonts w:ascii="Times New Roman" w:hAnsi="Times New Roman" w:cs="Times New Roman"/>
          <w:sz w:val="24"/>
          <w:szCs w:val="24"/>
        </w:rPr>
        <w:t xml:space="preserve"> or more </w:t>
      </w:r>
      <w:r w:rsidR="00595D39">
        <w:rPr>
          <w:rFonts w:ascii="Times New Roman" w:hAnsi="Times New Roman" w:cs="Times New Roman"/>
          <w:sz w:val="24"/>
          <w:szCs w:val="24"/>
        </w:rPr>
        <w:t xml:space="preserve">measured </w:t>
      </w:r>
      <w:r w:rsidR="007C0B27">
        <w:rPr>
          <w:rFonts w:ascii="Times New Roman" w:hAnsi="Times New Roman" w:cs="Times New Roman"/>
          <w:sz w:val="24"/>
          <w:szCs w:val="24"/>
        </w:rPr>
        <w:t xml:space="preserve">sentinel </w:t>
      </w:r>
      <w:r w:rsidR="00D257FF">
        <w:rPr>
          <w:rFonts w:ascii="Times New Roman" w:hAnsi="Times New Roman" w:cs="Times New Roman"/>
          <w:sz w:val="24"/>
          <w:szCs w:val="24"/>
        </w:rPr>
        <w:t>micronutrients</w:t>
      </w:r>
      <w:r w:rsidR="0039082A">
        <w:rPr>
          <w:rFonts w:ascii="Times New Roman" w:hAnsi="Times New Roman" w:cs="Times New Roman"/>
          <w:sz w:val="24"/>
          <w:szCs w:val="24"/>
        </w:rPr>
        <w:t xml:space="preserve"> </w:t>
      </w:r>
      <w:r w:rsidR="00DE40DA">
        <w:rPr>
          <w:rFonts w:ascii="Times New Roman" w:hAnsi="Times New Roman" w:cs="Times New Roman"/>
          <w:sz w:val="24"/>
          <w:szCs w:val="24"/>
        </w:rPr>
        <w:t>was</w:t>
      </w:r>
      <w:r w:rsidR="0039082A">
        <w:rPr>
          <w:rFonts w:ascii="Times New Roman" w:hAnsi="Times New Roman" w:cs="Times New Roman"/>
          <w:sz w:val="24"/>
          <w:szCs w:val="24"/>
        </w:rPr>
        <w:t xml:space="preserve"> highly variable from</w:t>
      </w:r>
      <w:r w:rsidR="002A2142">
        <w:rPr>
          <w:rFonts w:ascii="Times New Roman" w:hAnsi="Times New Roman" w:cs="Times New Roman"/>
          <w:sz w:val="24"/>
          <w:szCs w:val="24"/>
        </w:rPr>
        <w:t xml:space="preserve"> </w:t>
      </w:r>
      <w:r w:rsidR="00124FE5">
        <w:rPr>
          <w:rFonts w:ascii="Times New Roman" w:hAnsi="Times New Roman" w:cs="Times New Roman"/>
          <w:sz w:val="24"/>
          <w:szCs w:val="24"/>
        </w:rPr>
        <w:t xml:space="preserve">about </w:t>
      </w:r>
      <w:r w:rsidR="00520464">
        <w:rPr>
          <w:rFonts w:ascii="Times New Roman" w:hAnsi="Times New Roman" w:cs="Times New Roman"/>
          <w:sz w:val="24"/>
          <w:szCs w:val="24"/>
        </w:rPr>
        <w:t>41% in</w:t>
      </w:r>
      <w:r w:rsidR="0039082A">
        <w:rPr>
          <w:rFonts w:ascii="Times New Roman" w:hAnsi="Times New Roman" w:cs="Times New Roman"/>
          <w:sz w:val="24"/>
          <w:szCs w:val="24"/>
        </w:rPr>
        <w:t xml:space="preserve"> Cameroon</w:t>
      </w:r>
      <w:r w:rsidR="00D512E3">
        <w:rPr>
          <w:rFonts w:ascii="Times New Roman" w:hAnsi="Times New Roman" w:cs="Times New Roman"/>
          <w:sz w:val="24"/>
          <w:szCs w:val="24"/>
        </w:rPr>
        <w:t xml:space="preserve"> and </w:t>
      </w:r>
      <w:r w:rsidR="00520464">
        <w:rPr>
          <w:rFonts w:ascii="Times New Roman" w:hAnsi="Times New Roman" w:cs="Times New Roman"/>
          <w:sz w:val="24"/>
          <w:szCs w:val="24"/>
        </w:rPr>
        <w:t>40</w:t>
      </w:r>
      <w:r w:rsidR="00710783">
        <w:rPr>
          <w:rFonts w:ascii="Times New Roman" w:hAnsi="Times New Roman" w:cs="Times New Roman"/>
          <w:sz w:val="24"/>
          <w:szCs w:val="24"/>
        </w:rPr>
        <w:t>%</w:t>
      </w:r>
      <w:r w:rsidR="00520464">
        <w:rPr>
          <w:rFonts w:ascii="Times New Roman" w:hAnsi="Times New Roman" w:cs="Times New Roman"/>
          <w:sz w:val="24"/>
          <w:szCs w:val="24"/>
        </w:rPr>
        <w:t xml:space="preserve"> in </w:t>
      </w:r>
      <w:r w:rsidR="00D512E3">
        <w:rPr>
          <w:rFonts w:ascii="Times New Roman" w:hAnsi="Times New Roman" w:cs="Times New Roman"/>
          <w:sz w:val="24"/>
          <w:szCs w:val="24"/>
        </w:rPr>
        <w:t>India</w:t>
      </w:r>
      <w:r w:rsidR="0039082A">
        <w:rPr>
          <w:rFonts w:ascii="Times New Roman" w:hAnsi="Times New Roman" w:cs="Times New Roman"/>
          <w:sz w:val="24"/>
          <w:szCs w:val="24"/>
        </w:rPr>
        <w:t xml:space="preserve"> to </w:t>
      </w:r>
      <w:r w:rsidR="00BF53BB">
        <w:rPr>
          <w:rFonts w:ascii="Times New Roman" w:hAnsi="Times New Roman" w:cs="Times New Roman"/>
          <w:sz w:val="24"/>
          <w:szCs w:val="24"/>
        </w:rPr>
        <w:t>just</w:t>
      </w:r>
      <w:r w:rsidR="00E63484">
        <w:rPr>
          <w:rFonts w:ascii="Times New Roman" w:hAnsi="Times New Roman" w:cs="Times New Roman"/>
          <w:sz w:val="24"/>
          <w:szCs w:val="24"/>
        </w:rPr>
        <w:t xml:space="preserve"> </w:t>
      </w:r>
      <w:r w:rsidR="0039082A">
        <w:rPr>
          <w:rFonts w:ascii="Times New Roman" w:hAnsi="Times New Roman" w:cs="Times New Roman"/>
          <w:sz w:val="24"/>
          <w:szCs w:val="24"/>
        </w:rPr>
        <w:t>1% in the UK</w:t>
      </w:r>
      <w:r w:rsidR="00A73541">
        <w:rPr>
          <w:rFonts w:ascii="Times New Roman" w:hAnsi="Times New Roman" w:cs="Times New Roman"/>
          <w:sz w:val="24"/>
          <w:szCs w:val="24"/>
        </w:rPr>
        <w:t xml:space="preserve"> (Figure 1)</w:t>
      </w:r>
      <w:r w:rsidR="0039082A">
        <w:rPr>
          <w:rFonts w:ascii="Times New Roman" w:hAnsi="Times New Roman" w:cs="Times New Roman"/>
          <w:sz w:val="24"/>
          <w:szCs w:val="24"/>
        </w:rPr>
        <w:t>.</w:t>
      </w:r>
    </w:p>
    <w:p w14:paraId="1CAE9DFB" w14:textId="77777777" w:rsidR="0039082A" w:rsidRDefault="0039082A" w:rsidP="0039082A">
      <w:pPr>
        <w:rPr>
          <w:rFonts w:ascii="Times New Roman" w:hAnsi="Times New Roman" w:cs="Times New Roman"/>
          <w:sz w:val="24"/>
          <w:szCs w:val="24"/>
        </w:rPr>
      </w:pPr>
    </w:p>
    <w:p w14:paraId="28BFEC28" w14:textId="6E686316" w:rsidR="00DC3982" w:rsidRDefault="00ED655A" w:rsidP="002C21BB">
      <w:pPr>
        <w:rPr>
          <w:rFonts w:ascii="Times New Roman" w:hAnsi="Times New Roman" w:cs="Times New Roman"/>
          <w:sz w:val="24"/>
          <w:szCs w:val="24"/>
        </w:rPr>
      </w:pPr>
      <w:r>
        <w:rPr>
          <w:rFonts w:ascii="Times New Roman" w:hAnsi="Times New Roman" w:cs="Times New Roman"/>
          <w:sz w:val="24"/>
          <w:szCs w:val="24"/>
        </w:rPr>
        <w:t xml:space="preserve">Among </w:t>
      </w:r>
      <w:r w:rsidR="00E81ADE">
        <w:rPr>
          <w:rFonts w:ascii="Times New Roman" w:hAnsi="Times New Roman" w:cs="Times New Roman"/>
          <w:sz w:val="24"/>
          <w:szCs w:val="24"/>
        </w:rPr>
        <w:t xml:space="preserve">NPW </w:t>
      </w:r>
      <w:r>
        <w:rPr>
          <w:rFonts w:ascii="Times New Roman" w:hAnsi="Times New Roman" w:cs="Times New Roman"/>
          <w:sz w:val="24"/>
          <w:szCs w:val="24"/>
        </w:rPr>
        <w:t xml:space="preserve">from individual country </w:t>
      </w:r>
      <w:r w:rsidR="00AB0E67">
        <w:rPr>
          <w:rFonts w:ascii="Times New Roman" w:hAnsi="Times New Roman" w:cs="Times New Roman"/>
          <w:sz w:val="24"/>
          <w:szCs w:val="24"/>
        </w:rPr>
        <w:t>survey data</w:t>
      </w:r>
      <w:r>
        <w:rPr>
          <w:rFonts w:ascii="Times New Roman" w:hAnsi="Times New Roman" w:cs="Times New Roman"/>
          <w:sz w:val="24"/>
          <w:szCs w:val="24"/>
        </w:rPr>
        <w:t xml:space="preserve">, </w:t>
      </w:r>
      <w:r w:rsidR="0055187C">
        <w:rPr>
          <w:rFonts w:ascii="Times New Roman" w:hAnsi="Times New Roman" w:cs="Times New Roman"/>
          <w:sz w:val="24"/>
          <w:szCs w:val="24"/>
        </w:rPr>
        <w:t xml:space="preserve">iron status was </w:t>
      </w:r>
      <w:r w:rsidR="005C471C">
        <w:rPr>
          <w:rFonts w:ascii="Times New Roman" w:hAnsi="Times New Roman" w:cs="Times New Roman"/>
          <w:sz w:val="24"/>
          <w:szCs w:val="24"/>
        </w:rPr>
        <w:t>available</w:t>
      </w:r>
      <w:r w:rsidR="0055187C">
        <w:rPr>
          <w:rFonts w:ascii="Times New Roman" w:hAnsi="Times New Roman" w:cs="Times New Roman"/>
          <w:sz w:val="24"/>
          <w:szCs w:val="24"/>
        </w:rPr>
        <w:t xml:space="preserve"> in all </w:t>
      </w:r>
      <w:r w:rsidR="002D2FBB">
        <w:rPr>
          <w:rFonts w:ascii="Times New Roman" w:hAnsi="Times New Roman" w:cs="Times New Roman"/>
          <w:sz w:val="24"/>
          <w:szCs w:val="24"/>
        </w:rPr>
        <w:t>20</w:t>
      </w:r>
      <w:r w:rsidR="0055187C">
        <w:rPr>
          <w:rFonts w:ascii="Times New Roman" w:hAnsi="Times New Roman" w:cs="Times New Roman"/>
          <w:sz w:val="24"/>
          <w:szCs w:val="24"/>
        </w:rPr>
        <w:t xml:space="preserve"> </w:t>
      </w:r>
      <w:r w:rsidR="008C16B8">
        <w:rPr>
          <w:rFonts w:ascii="Times New Roman" w:hAnsi="Times New Roman" w:cs="Times New Roman"/>
          <w:sz w:val="24"/>
          <w:szCs w:val="24"/>
        </w:rPr>
        <w:t>datasets</w:t>
      </w:r>
      <w:r w:rsidR="005F4909">
        <w:rPr>
          <w:rFonts w:ascii="Times New Roman" w:hAnsi="Times New Roman" w:cs="Times New Roman"/>
          <w:sz w:val="24"/>
          <w:szCs w:val="24"/>
        </w:rPr>
        <w:t>,</w:t>
      </w:r>
      <w:r w:rsidR="00E206F7">
        <w:rPr>
          <w:rFonts w:ascii="Times New Roman" w:hAnsi="Times New Roman" w:cs="Times New Roman"/>
          <w:sz w:val="24"/>
          <w:szCs w:val="24"/>
        </w:rPr>
        <w:t xml:space="preserve"> </w:t>
      </w:r>
      <w:r w:rsidR="0055187C">
        <w:rPr>
          <w:rFonts w:ascii="Times New Roman" w:hAnsi="Times New Roman" w:cs="Times New Roman"/>
          <w:sz w:val="24"/>
          <w:szCs w:val="24"/>
        </w:rPr>
        <w:t xml:space="preserve">folate and vitamin A in </w:t>
      </w:r>
      <w:r w:rsidR="002D2FBB">
        <w:rPr>
          <w:rFonts w:ascii="Times New Roman" w:hAnsi="Times New Roman" w:cs="Times New Roman"/>
          <w:sz w:val="24"/>
          <w:szCs w:val="24"/>
        </w:rPr>
        <w:t>1</w:t>
      </w:r>
      <w:r w:rsidR="000C1BD8">
        <w:rPr>
          <w:rFonts w:ascii="Times New Roman" w:hAnsi="Times New Roman" w:cs="Times New Roman"/>
          <w:sz w:val="24"/>
          <w:szCs w:val="24"/>
        </w:rPr>
        <w:t>6</w:t>
      </w:r>
      <w:r w:rsidR="005F4909">
        <w:rPr>
          <w:rFonts w:ascii="Times New Roman" w:hAnsi="Times New Roman" w:cs="Times New Roman"/>
          <w:sz w:val="24"/>
          <w:szCs w:val="24"/>
        </w:rPr>
        <w:t xml:space="preserve">, </w:t>
      </w:r>
      <w:r w:rsidR="00E206F7">
        <w:rPr>
          <w:rFonts w:ascii="Times New Roman" w:hAnsi="Times New Roman" w:cs="Times New Roman"/>
          <w:sz w:val="24"/>
          <w:szCs w:val="24"/>
        </w:rPr>
        <w:t xml:space="preserve">and </w:t>
      </w:r>
      <w:r w:rsidR="000C1BD8">
        <w:rPr>
          <w:rFonts w:ascii="Times New Roman" w:hAnsi="Times New Roman" w:cs="Times New Roman"/>
          <w:sz w:val="24"/>
          <w:szCs w:val="24"/>
        </w:rPr>
        <w:t xml:space="preserve">zinc and </w:t>
      </w:r>
      <w:r w:rsidR="00E206F7">
        <w:rPr>
          <w:rFonts w:ascii="Times New Roman" w:hAnsi="Times New Roman" w:cs="Times New Roman"/>
          <w:sz w:val="24"/>
          <w:szCs w:val="24"/>
        </w:rPr>
        <w:t>vitamin B</w:t>
      </w:r>
      <w:r w:rsidR="00E206F7" w:rsidRPr="00B96802">
        <w:rPr>
          <w:rFonts w:ascii="Times New Roman" w:hAnsi="Times New Roman" w:cs="Times New Roman"/>
          <w:sz w:val="24"/>
          <w:szCs w:val="24"/>
          <w:vertAlign w:val="subscript"/>
        </w:rPr>
        <w:t>12</w:t>
      </w:r>
      <w:r w:rsidR="00E206F7">
        <w:rPr>
          <w:rFonts w:ascii="Times New Roman" w:hAnsi="Times New Roman" w:cs="Times New Roman"/>
          <w:sz w:val="24"/>
          <w:szCs w:val="24"/>
        </w:rPr>
        <w:t xml:space="preserve"> in </w:t>
      </w:r>
      <w:r w:rsidR="002D2FBB">
        <w:rPr>
          <w:rFonts w:ascii="Times New Roman" w:hAnsi="Times New Roman" w:cs="Times New Roman"/>
          <w:sz w:val="24"/>
          <w:szCs w:val="24"/>
        </w:rPr>
        <w:t>15</w:t>
      </w:r>
      <w:r w:rsidR="00B46966">
        <w:rPr>
          <w:rFonts w:ascii="Times New Roman" w:hAnsi="Times New Roman" w:cs="Times New Roman"/>
          <w:sz w:val="24"/>
          <w:szCs w:val="24"/>
        </w:rPr>
        <w:t xml:space="preserve"> (Table </w:t>
      </w:r>
      <w:r w:rsidR="00A65C6D">
        <w:rPr>
          <w:rFonts w:ascii="Times New Roman" w:hAnsi="Times New Roman" w:cs="Times New Roman"/>
          <w:sz w:val="24"/>
          <w:szCs w:val="24"/>
        </w:rPr>
        <w:t>3</w:t>
      </w:r>
      <w:r w:rsidR="00B46966">
        <w:rPr>
          <w:rFonts w:ascii="Times New Roman" w:hAnsi="Times New Roman" w:cs="Times New Roman"/>
          <w:sz w:val="24"/>
          <w:szCs w:val="24"/>
        </w:rPr>
        <w:t>)</w:t>
      </w:r>
      <w:r w:rsidR="00E206F7">
        <w:rPr>
          <w:rFonts w:ascii="Times New Roman" w:hAnsi="Times New Roman" w:cs="Times New Roman"/>
          <w:sz w:val="24"/>
          <w:szCs w:val="24"/>
        </w:rPr>
        <w:t>.</w:t>
      </w:r>
      <w:r w:rsidR="00E12DA2">
        <w:rPr>
          <w:rFonts w:ascii="Times New Roman" w:hAnsi="Times New Roman" w:cs="Times New Roman"/>
          <w:sz w:val="24"/>
          <w:szCs w:val="24"/>
        </w:rPr>
        <w:t xml:space="preserve"> </w:t>
      </w:r>
      <w:r w:rsidR="0039082A">
        <w:rPr>
          <w:rFonts w:ascii="Times New Roman" w:hAnsi="Times New Roman" w:cs="Times New Roman"/>
          <w:sz w:val="24"/>
          <w:szCs w:val="24"/>
        </w:rPr>
        <w:t xml:space="preserve">Iron, zinc, and folate deficiency were highly prevalent among </w:t>
      </w:r>
      <w:r w:rsidR="007A641A">
        <w:rPr>
          <w:rFonts w:ascii="Times New Roman" w:hAnsi="Times New Roman" w:cs="Times New Roman"/>
          <w:sz w:val="24"/>
          <w:szCs w:val="24"/>
        </w:rPr>
        <w:t>NPW</w:t>
      </w:r>
      <w:r w:rsidR="00E12DA2">
        <w:rPr>
          <w:rFonts w:ascii="Times New Roman" w:hAnsi="Times New Roman" w:cs="Times New Roman"/>
          <w:sz w:val="24"/>
          <w:szCs w:val="24"/>
        </w:rPr>
        <w:t xml:space="preserve"> in most </w:t>
      </w:r>
      <w:r w:rsidR="00AB0E67">
        <w:rPr>
          <w:rFonts w:ascii="Times New Roman" w:hAnsi="Times New Roman" w:cs="Times New Roman"/>
          <w:sz w:val="24"/>
          <w:szCs w:val="24"/>
        </w:rPr>
        <w:t>countries</w:t>
      </w:r>
      <w:r w:rsidR="0039082A">
        <w:rPr>
          <w:rFonts w:ascii="Times New Roman" w:hAnsi="Times New Roman" w:cs="Times New Roman"/>
          <w:sz w:val="24"/>
          <w:szCs w:val="24"/>
        </w:rPr>
        <w:t xml:space="preserve"> (Table </w:t>
      </w:r>
      <w:r w:rsidR="0007466F">
        <w:rPr>
          <w:rFonts w:ascii="Times New Roman" w:hAnsi="Times New Roman" w:cs="Times New Roman"/>
          <w:sz w:val="24"/>
          <w:szCs w:val="24"/>
        </w:rPr>
        <w:t>3</w:t>
      </w:r>
      <w:r w:rsidR="0039082A">
        <w:rPr>
          <w:rFonts w:ascii="Times New Roman" w:hAnsi="Times New Roman" w:cs="Times New Roman"/>
          <w:sz w:val="24"/>
          <w:szCs w:val="24"/>
        </w:rPr>
        <w:t xml:space="preserve">). </w:t>
      </w:r>
      <w:r w:rsidR="00EE01FB">
        <w:rPr>
          <w:rFonts w:ascii="Times New Roman" w:hAnsi="Times New Roman" w:cs="Times New Roman"/>
          <w:sz w:val="24"/>
          <w:szCs w:val="24"/>
        </w:rPr>
        <w:t>I</w:t>
      </w:r>
      <w:r w:rsidR="00F50305">
        <w:rPr>
          <w:rFonts w:ascii="Times New Roman" w:hAnsi="Times New Roman" w:cs="Times New Roman"/>
          <w:sz w:val="24"/>
          <w:szCs w:val="24"/>
        </w:rPr>
        <w:t xml:space="preserve">ron </w:t>
      </w:r>
      <w:r w:rsidR="00F50305">
        <w:rPr>
          <w:rFonts w:ascii="Times New Roman" w:hAnsi="Times New Roman" w:cs="Times New Roman"/>
          <w:sz w:val="24"/>
          <w:szCs w:val="24"/>
        </w:rPr>
        <w:lastRenderedPageBreak/>
        <w:t>deficiency</w:t>
      </w:r>
      <w:r w:rsidR="005C5642">
        <w:rPr>
          <w:rFonts w:ascii="Times New Roman" w:hAnsi="Times New Roman" w:cs="Times New Roman"/>
          <w:sz w:val="24"/>
          <w:szCs w:val="24"/>
        </w:rPr>
        <w:t xml:space="preserve"> </w:t>
      </w:r>
      <w:r w:rsidR="00B831CC">
        <w:rPr>
          <w:rFonts w:ascii="Times New Roman" w:hAnsi="Times New Roman" w:cs="Times New Roman"/>
          <w:sz w:val="24"/>
          <w:szCs w:val="24"/>
        </w:rPr>
        <w:t xml:space="preserve">among NPW </w:t>
      </w:r>
      <w:r w:rsidR="005C5642">
        <w:rPr>
          <w:rFonts w:ascii="Times New Roman" w:hAnsi="Times New Roman" w:cs="Times New Roman"/>
          <w:sz w:val="24"/>
          <w:szCs w:val="24"/>
        </w:rPr>
        <w:t>was</w:t>
      </w:r>
      <w:r w:rsidR="001B1C0C">
        <w:rPr>
          <w:rFonts w:ascii="Times New Roman" w:hAnsi="Times New Roman" w:cs="Times New Roman"/>
          <w:sz w:val="24"/>
          <w:szCs w:val="24"/>
        </w:rPr>
        <w:t xml:space="preserve"> </w:t>
      </w:r>
      <w:r w:rsidR="00266670">
        <w:rPr>
          <w:rFonts w:ascii="Times New Roman" w:hAnsi="Times New Roman" w:cs="Times New Roman"/>
          <w:sz w:val="24"/>
          <w:szCs w:val="24"/>
        </w:rPr>
        <w:t>≥</w:t>
      </w:r>
      <w:r w:rsidR="00A301D2">
        <w:rPr>
          <w:rFonts w:ascii="Times New Roman" w:hAnsi="Times New Roman" w:cs="Times New Roman"/>
          <w:sz w:val="24"/>
          <w:szCs w:val="24"/>
        </w:rPr>
        <w:t xml:space="preserve">20% in </w:t>
      </w:r>
      <w:r w:rsidR="00026D5F">
        <w:rPr>
          <w:rFonts w:ascii="Times New Roman" w:hAnsi="Times New Roman" w:cs="Times New Roman"/>
          <w:sz w:val="24"/>
          <w:szCs w:val="24"/>
        </w:rPr>
        <w:t xml:space="preserve">10 </w:t>
      </w:r>
      <w:r w:rsidR="00AB0E67">
        <w:rPr>
          <w:rFonts w:ascii="Times New Roman" w:hAnsi="Times New Roman" w:cs="Times New Roman"/>
          <w:sz w:val="24"/>
          <w:szCs w:val="24"/>
        </w:rPr>
        <w:t>datasets</w:t>
      </w:r>
      <w:r w:rsidR="00026D5F">
        <w:rPr>
          <w:rFonts w:ascii="Times New Roman" w:hAnsi="Times New Roman" w:cs="Times New Roman"/>
          <w:sz w:val="24"/>
          <w:szCs w:val="24"/>
        </w:rPr>
        <w:t xml:space="preserve"> (&gt;40% in </w:t>
      </w:r>
      <w:r w:rsidR="007C0D88">
        <w:rPr>
          <w:rFonts w:ascii="Times New Roman" w:hAnsi="Times New Roman" w:cs="Times New Roman"/>
          <w:sz w:val="24"/>
          <w:szCs w:val="24"/>
        </w:rPr>
        <w:t>Azerbaijan, Mexico in 2012, and Pakista</w:t>
      </w:r>
      <w:r w:rsidR="00B4103C">
        <w:rPr>
          <w:rFonts w:ascii="Times New Roman" w:hAnsi="Times New Roman" w:cs="Times New Roman"/>
          <w:sz w:val="24"/>
          <w:szCs w:val="24"/>
        </w:rPr>
        <w:t>n)</w:t>
      </w:r>
      <w:r w:rsidR="007C0D88">
        <w:rPr>
          <w:rFonts w:ascii="Times New Roman" w:hAnsi="Times New Roman" w:cs="Times New Roman"/>
          <w:sz w:val="24"/>
          <w:szCs w:val="24"/>
        </w:rPr>
        <w:t>,</w:t>
      </w:r>
      <w:r w:rsidR="0091342C">
        <w:rPr>
          <w:rFonts w:ascii="Times New Roman" w:hAnsi="Times New Roman" w:cs="Times New Roman"/>
          <w:sz w:val="24"/>
          <w:szCs w:val="24"/>
        </w:rPr>
        <w:t xml:space="preserve"> including the US (22%) and UK (21%),</w:t>
      </w:r>
      <w:r w:rsidR="007C0D88">
        <w:rPr>
          <w:rFonts w:ascii="Times New Roman" w:hAnsi="Times New Roman" w:cs="Times New Roman"/>
          <w:sz w:val="24"/>
          <w:szCs w:val="24"/>
        </w:rPr>
        <w:t xml:space="preserve"> </w:t>
      </w:r>
      <w:r w:rsidR="00F74918">
        <w:rPr>
          <w:rFonts w:ascii="Times New Roman" w:hAnsi="Times New Roman" w:cs="Times New Roman"/>
          <w:sz w:val="24"/>
          <w:szCs w:val="24"/>
        </w:rPr>
        <w:t xml:space="preserve">10–19% in </w:t>
      </w:r>
      <w:r w:rsidR="00AC75C8">
        <w:rPr>
          <w:rFonts w:ascii="Times New Roman" w:hAnsi="Times New Roman" w:cs="Times New Roman"/>
          <w:sz w:val="24"/>
          <w:szCs w:val="24"/>
        </w:rPr>
        <w:t>six</w:t>
      </w:r>
      <w:r w:rsidR="00073DED">
        <w:rPr>
          <w:rFonts w:ascii="Times New Roman" w:hAnsi="Times New Roman" w:cs="Times New Roman"/>
          <w:sz w:val="24"/>
          <w:szCs w:val="24"/>
        </w:rPr>
        <w:t xml:space="preserve"> </w:t>
      </w:r>
      <w:r w:rsidR="00AB0E67">
        <w:rPr>
          <w:rFonts w:ascii="Times New Roman" w:hAnsi="Times New Roman" w:cs="Times New Roman"/>
          <w:sz w:val="24"/>
          <w:szCs w:val="24"/>
        </w:rPr>
        <w:t>datasets</w:t>
      </w:r>
      <w:r w:rsidR="00073DED">
        <w:rPr>
          <w:rFonts w:ascii="Times New Roman" w:hAnsi="Times New Roman" w:cs="Times New Roman"/>
          <w:sz w:val="24"/>
          <w:szCs w:val="24"/>
        </w:rPr>
        <w:t xml:space="preserve">, </w:t>
      </w:r>
      <w:r w:rsidR="000A4BF8">
        <w:rPr>
          <w:rFonts w:ascii="Times New Roman" w:hAnsi="Times New Roman" w:cs="Times New Roman"/>
          <w:sz w:val="24"/>
          <w:szCs w:val="24"/>
        </w:rPr>
        <w:t xml:space="preserve">and &lt;10% in </w:t>
      </w:r>
      <w:r w:rsidR="00304B9D">
        <w:rPr>
          <w:rFonts w:ascii="Times New Roman" w:hAnsi="Times New Roman" w:cs="Times New Roman"/>
          <w:sz w:val="24"/>
          <w:szCs w:val="24"/>
        </w:rPr>
        <w:t>Georgia, Cambodia, Bangladesh, and Ethiopia</w:t>
      </w:r>
      <w:r w:rsidR="00C81FBB">
        <w:rPr>
          <w:rFonts w:ascii="Times New Roman" w:hAnsi="Times New Roman" w:cs="Times New Roman"/>
          <w:sz w:val="24"/>
          <w:szCs w:val="24"/>
        </w:rPr>
        <w:t xml:space="preserve"> (Table 3). </w:t>
      </w:r>
      <w:r w:rsidR="00C94362">
        <w:rPr>
          <w:rFonts w:ascii="Times New Roman" w:hAnsi="Times New Roman" w:cs="Times New Roman"/>
          <w:sz w:val="24"/>
          <w:szCs w:val="24"/>
        </w:rPr>
        <w:t xml:space="preserve">Zinc deficiency was ≥20% in </w:t>
      </w:r>
      <w:r w:rsidR="004E3E62">
        <w:rPr>
          <w:rFonts w:ascii="Times New Roman" w:hAnsi="Times New Roman" w:cs="Times New Roman"/>
          <w:sz w:val="24"/>
          <w:szCs w:val="24"/>
        </w:rPr>
        <w:t xml:space="preserve">13 </w:t>
      </w:r>
      <w:r w:rsidR="00AB0E67">
        <w:rPr>
          <w:rFonts w:ascii="Times New Roman" w:hAnsi="Times New Roman" w:cs="Times New Roman"/>
          <w:sz w:val="24"/>
          <w:szCs w:val="24"/>
        </w:rPr>
        <w:t>datasets</w:t>
      </w:r>
      <w:r w:rsidR="004E3E62">
        <w:rPr>
          <w:rFonts w:ascii="Times New Roman" w:hAnsi="Times New Roman" w:cs="Times New Roman"/>
          <w:sz w:val="24"/>
          <w:szCs w:val="24"/>
        </w:rPr>
        <w:t xml:space="preserve"> (&gt;50% in </w:t>
      </w:r>
      <w:r w:rsidR="004E3E62" w:rsidRPr="004E3E62">
        <w:rPr>
          <w:rFonts w:ascii="Times New Roman" w:hAnsi="Times New Roman" w:cs="Times New Roman"/>
          <w:sz w:val="24"/>
          <w:szCs w:val="24"/>
        </w:rPr>
        <w:t>Cameroon, Vietnam, Cambodia, Malawi, and Ecuador</w:t>
      </w:r>
      <w:r w:rsidR="004E3E62">
        <w:rPr>
          <w:rFonts w:ascii="Times New Roman" w:hAnsi="Times New Roman" w:cs="Times New Roman"/>
          <w:sz w:val="24"/>
          <w:szCs w:val="24"/>
        </w:rPr>
        <w:t xml:space="preserve">), </w:t>
      </w:r>
      <w:r w:rsidR="00A93D1E">
        <w:rPr>
          <w:rFonts w:ascii="Times New Roman" w:hAnsi="Times New Roman" w:cs="Times New Roman"/>
          <w:sz w:val="24"/>
          <w:szCs w:val="24"/>
        </w:rPr>
        <w:t xml:space="preserve">14% in the US and 10% in the UK, and </w:t>
      </w:r>
      <w:r w:rsidR="00AA34B5">
        <w:rPr>
          <w:rFonts w:ascii="Times New Roman" w:hAnsi="Times New Roman" w:cs="Times New Roman"/>
          <w:sz w:val="24"/>
          <w:szCs w:val="24"/>
        </w:rPr>
        <w:t>&lt;10% in no countries</w:t>
      </w:r>
      <w:r w:rsidR="00362706">
        <w:rPr>
          <w:rFonts w:ascii="Times New Roman" w:hAnsi="Times New Roman" w:cs="Times New Roman"/>
          <w:sz w:val="24"/>
          <w:szCs w:val="24"/>
        </w:rPr>
        <w:t xml:space="preserve"> (Table 3).</w:t>
      </w:r>
      <w:r w:rsidR="005B44C2">
        <w:rPr>
          <w:rFonts w:ascii="Times New Roman" w:hAnsi="Times New Roman" w:cs="Times New Roman"/>
          <w:sz w:val="24"/>
          <w:szCs w:val="24"/>
        </w:rPr>
        <w:t xml:space="preserve"> Folate deficiency was </w:t>
      </w:r>
      <w:r w:rsidR="00526952">
        <w:rPr>
          <w:rFonts w:ascii="Times New Roman" w:hAnsi="Times New Roman" w:cs="Times New Roman"/>
          <w:sz w:val="24"/>
          <w:szCs w:val="24"/>
        </w:rPr>
        <w:t xml:space="preserve">≥20% in </w:t>
      </w:r>
      <w:r w:rsidR="00603245">
        <w:rPr>
          <w:rFonts w:ascii="Times New Roman" w:hAnsi="Times New Roman" w:cs="Times New Roman"/>
          <w:sz w:val="24"/>
          <w:szCs w:val="24"/>
        </w:rPr>
        <w:t xml:space="preserve">11 </w:t>
      </w:r>
      <w:r w:rsidR="00C22B1D">
        <w:rPr>
          <w:rFonts w:ascii="Times New Roman" w:hAnsi="Times New Roman" w:cs="Times New Roman"/>
          <w:sz w:val="24"/>
          <w:szCs w:val="24"/>
        </w:rPr>
        <w:t>datasets</w:t>
      </w:r>
      <w:r w:rsidR="00603245">
        <w:rPr>
          <w:rFonts w:ascii="Times New Roman" w:hAnsi="Times New Roman" w:cs="Times New Roman"/>
          <w:sz w:val="24"/>
          <w:szCs w:val="24"/>
        </w:rPr>
        <w:t xml:space="preserve"> (&gt;50% in </w:t>
      </w:r>
      <w:r w:rsidR="00603245" w:rsidRPr="00603245">
        <w:rPr>
          <w:rFonts w:ascii="Times New Roman" w:hAnsi="Times New Roman" w:cs="Times New Roman"/>
          <w:sz w:val="24"/>
          <w:szCs w:val="24"/>
        </w:rPr>
        <w:t>Côte d’Ivoire, Bangladesh, Cambodia, Ghana, India, and Georgia</w:t>
      </w:r>
      <w:r w:rsidR="00603245">
        <w:rPr>
          <w:rFonts w:ascii="Times New Roman" w:hAnsi="Times New Roman" w:cs="Times New Roman"/>
          <w:sz w:val="24"/>
          <w:szCs w:val="24"/>
        </w:rPr>
        <w:t xml:space="preserve">), 10–19% in </w:t>
      </w:r>
      <w:r w:rsidR="00C34156">
        <w:rPr>
          <w:rFonts w:ascii="Times New Roman" w:hAnsi="Times New Roman" w:cs="Times New Roman"/>
          <w:sz w:val="24"/>
          <w:szCs w:val="24"/>
        </w:rPr>
        <w:t xml:space="preserve">the UK (19%), Nepal (16%), </w:t>
      </w:r>
      <w:r w:rsidR="00421481">
        <w:rPr>
          <w:rFonts w:ascii="Times New Roman" w:hAnsi="Times New Roman" w:cs="Times New Roman"/>
          <w:sz w:val="24"/>
          <w:szCs w:val="24"/>
        </w:rPr>
        <w:t>and Ecuador (10%), and &lt;10% in only Mexico in 2012 (3%) and the US (0%)</w:t>
      </w:r>
      <w:r w:rsidR="005C705B">
        <w:rPr>
          <w:rFonts w:ascii="Times New Roman" w:hAnsi="Times New Roman" w:cs="Times New Roman"/>
          <w:sz w:val="24"/>
          <w:szCs w:val="24"/>
        </w:rPr>
        <w:t xml:space="preserve"> (Table 3).</w:t>
      </w:r>
      <w:r w:rsidR="0061078F">
        <w:rPr>
          <w:rFonts w:ascii="Times New Roman" w:hAnsi="Times New Roman" w:cs="Times New Roman"/>
          <w:sz w:val="24"/>
          <w:szCs w:val="24"/>
        </w:rPr>
        <w:t xml:space="preserve"> Vitamin A deficiency was 42% in Pakistan, 10–19% in India (12%) and Afghanistan (10%)</w:t>
      </w:r>
      <w:r w:rsidR="00635455">
        <w:rPr>
          <w:rFonts w:ascii="Times New Roman" w:hAnsi="Times New Roman" w:cs="Times New Roman"/>
          <w:sz w:val="24"/>
          <w:szCs w:val="24"/>
        </w:rPr>
        <w:t xml:space="preserve">, and &lt;10% in 13 </w:t>
      </w:r>
      <w:r w:rsidR="006A5287">
        <w:rPr>
          <w:rFonts w:ascii="Times New Roman" w:hAnsi="Times New Roman" w:cs="Times New Roman"/>
          <w:sz w:val="24"/>
          <w:szCs w:val="24"/>
        </w:rPr>
        <w:t>datasets</w:t>
      </w:r>
      <w:r w:rsidR="00635455">
        <w:rPr>
          <w:rFonts w:ascii="Times New Roman" w:hAnsi="Times New Roman" w:cs="Times New Roman"/>
          <w:sz w:val="24"/>
          <w:szCs w:val="24"/>
        </w:rPr>
        <w:t xml:space="preserve"> (Table 3). </w:t>
      </w:r>
      <w:r w:rsidR="005E47C8">
        <w:rPr>
          <w:rFonts w:ascii="Times New Roman" w:hAnsi="Times New Roman" w:cs="Times New Roman"/>
          <w:sz w:val="24"/>
          <w:szCs w:val="24"/>
        </w:rPr>
        <w:t>Vitamin B</w:t>
      </w:r>
      <w:r w:rsidR="005E47C8" w:rsidRPr="00B96802">
        <w:rPr>
          <w:rFonts w:ascii="Times New Roman" w:hAnsi="Times New Roman" w:cs="Times New Roman"/>
          <w:sz w:val="24"/>
          <w:szCs w:val="24"/>
          <w:vertAlign w:val="subscript"/>
        </w:rPr>
        <w:t>12</w:t>
      </w:r>
      <w:r w:rsidR="005E47C8">
        <w:rPr>
          <w:rFonts w:ascii="Times New Roman" w:hAnsi="Times New Roman" w:cs="Times New Roman"/>
          <w:sz w:val="24"/>
          <w:szCs w:val="24"/>
        </w:rPr>
        <w:t xml:space="preserve"> deficiency was 52% in Pakistan, 29% in India, 20% in Azerbaijan, 10–19% in six </w:t>
      </w:r>
      <w:r w:rsidR="00C22B1D">
        <w:rPr>
          <w:rFonts w:ascii="Times New Roman" w:hAnsi="Times New Roman" w:cs="Times New Roman"/>
          <w:sz w:val="24"/>
          <w:szCs w:val="24"/>
        </w:rPr>
        <w:t>datasets</w:t>
      </w:r>
      <w:r w:rsidR="005E47C8">
        <w:rPr>
          <w:rFonts w:ascii="Times New Roman" w:hAnsi="Times New Roman" w:cs="Times New Roman"/>
          <w:sz w:val="24"/>
          <w:szCs w:val="24"/>
        </w:rPr>
        <w:t xml:space="preserve">, and &lt;10% in six </w:t>
      </w:r>
      <w:r w:rsidR="00C22B1D">
        <w:rPr>
          <w:rFonts w:ascii="Times New Roman" w:hAnsi="Times New Roman" w:cs="Times New Roman"/>
          <w:sz w:val="24"/>
          <w:szCs w:val="24"/>
        </w:rPr>
        <w:t>datasets</w:t>
      </w:r>
      <w:r w:rsidR="005E47C8">
        <w:rPr>
          <w:rFonts w:ascii="Times New Roman" w:hAnsi="Times New Roman" w:cs="Times New Roman"/>
          <w:sz w:val="24"/>
          <w:szCs w:val="24"/>
        </w:rPr>
        <w:t xml:space="preserve"> (Table 3).</w:t>
      </w:r>
      <w:r w:rsidR="00EB67F2">
        <w:rPr>
          <w:rFonts w:ascii="Times New Roman" w:hAnsi="Times New Roman" w:cs="Times New Roman"/>
          <w:sz w:val="24"/>
          <w:szCs w:val="24"/>
        </w:rPr>
        <w:t xml:space="preserve"> </w:t>
      </w:r>
      <w:r w:rsidR="007D7887">
        <w:rPr>
          <w:rFonts w:ascii="Times New Roman" w:hAnsi="Times New Roman" w:cs="Times New Roman"/>
          <w:sz w:val="24"/>
          <w:szCs w:val="24"/>
        </w:rPr>
        <w:t xml:space="preserve">Data availability for vitamin D </w:t>
      </w:r>
      <w:r w:rsidR="006268C7">
        <w:rPr>
          <w:rFonts w:ascii="Times New Roman" w:hAnsi="Times New Roman" w:cs="Times New Roman"/>
          <w:sz w:val="24"/>
          <w:szCs w:val="24"/>
        </w:rPr>
        <w:t xml:space="preserve">deficiency </w:t>
      </w:r>
      <w:r w:rsidR="007D7887">
        <w:rPr>
          <w:rFonts w:ascii="Times New Roman" w:hAnsi="Times New Roman" w:cs="Times New Roman"/>
          <w:sz w:val="24"/>
          <w:szCs w:val="24"/>
        </w:rPr>
        <w:t>was spar</w:t>
      </w:r>
      <w:r w:rsidR="00BD4770">
        <w:rPr>
          <w:rFonts w:ascii="Times New Roman" w:hAnsi="Times New Roman" w:cs="Times New Roman"/>
          <w:sz w:val="24"/>
          <w:szCs w:val="24"/>
        </w:rPr>
        <w:t>s</w:t>
      </w:r>
      <w:r w:rsidR="007D7887">
        <w:rPr>
          <w:rFonts w:ascii="Times New Roman" w:hAnsi="Times New Roman" w:cs="Times New Roman"/>
          <w:sz w:val="24"/>
          <w:szCs w:val="24"/>
        </w:rPr>
        <w:t>e (</w:t>
      </w:r>
      <w:r w:rsidR="00A54E4A">
        <w:rPr>
          <w:rFonts w:ascii="Times New Roman" w:hAnsi="Times New Roman" w:cs="Times New Roman"/>
          <w:sz w:val="24"/>
          <w:szCs w:val="24"/>
        </w:rPr>
        <w:t>measured in seven of 20 surveys</w:t>
      </w:r>
      <w:r w:rsidR="009E61C7">
        <w:rPr>
          <w:rFonts w:ascii="Times New Roman" w:hAnsi="Times New Roman" w:cs="Times New Roman"/>
          <w:sz w:val="24"/>
          <w:szCs w:val="24"/>
        </w:rPr>
        <w:t>)</w:t>
      </w:r>
      <w:r w:rsidR="00262A95">
        <w:rPr>
          <w:rFonts w:ascii="Times New Roman" w:hAnsi="Times New Roman" w:cs="Times New Roman"/>
          <w:sz w:val="24"/>
          <w:szCs w:val="24"/>
        </w:rPr>
        <w:t xml:space="preserve"> and highly variable</w:t>
      </w:r>
      <w:r w:rsidR="00A54E4A">
        <w:rPr>
          <w:rFonts w:ascii="Times New Roman" w:hAnsi="Times New Roman" w:cs="Times New Roman"/>
          <w:sz w:val="24"/>
          <w:szCs w:val="24"/>
        </w:rPr>
        <w:t>;</w:t>
      </w:r>
      <w:r w:rsidR="00262A95">
        <w:rPr>
          <w:rFonts w:ascii="Times New Roman" w:hAnsi="Times New Roman" w:cs="Times New Roman"/>
          <w:sz w:val="24"/>
          <w:szCs w:val="24"/>
        </w:rPr>
        <w:t xml:space="preserve"> </w:t>
      </w:r>
      <w:r w:rsidR="00EA33A8">
        <w:rPr>
          <w:rFonts w:ascii="Times New Roman" w:hAnsi="Times New Roman" w:cs="Times New Roman"/>
          <w:sz w:val="24"/>
          <w:szCs w:val="24"/>
        </w:rPr>
        <w:t xml:space="preserve">78% in Afghanistan, </w:t>
      </w:r>
      <w:r w:rsidR="0029485E">
        <w:rPr>
          <w:rFonts w:ascii="Times New Roman" w:hAnsi="Times New Roman" w:cs="Times New Roman"/>
          <w:sz w:val="24"/>
          <w:szCs w:val="24"/>
        </w:rPr>
        <w:t xml:space="preserve">31% in </w:t>
      </w:r>
      <w:r w:rsidR="00AF060C">
        <w:rPr>
          <w:rFonts w:ascii="Times New Roman" w:hAnsi="Times New Roman" w:cs="Times New Roman"/>
          <w:sz w:val="24"/>
          <w:szCs w:val="24"/>
        </w:rPr>
        <w:t xml:space="preserve">Pakistan, </w:t>
      </w:r>
      <w:r w:rsidR="0029485E">
        <w:rPr>
          <w:rFonts w:ascii="Times New Roman" w:hAnsi="Times New Roman" w:cs="Times New Roman"/>
          <w:sz w:val="24"/>
          <w:szCs w:val="24"/>
        </w:rPr>
        <w:t xml:space="preserve">24% in </w:t>
      </w:r>
      <w:r w:rsidR="00AF060C">
        <w:rPr>
          <w:rFonts w:ascii="Times New Roman" w:hAnsi="Times New Roman" w:cs="Times New Roman"/>
          <w:sz w:val="24"/>
          <w:szCs w:val="24"/>
        </w:rPr>
        <w:t xml:space="preserve">India, </w:t>
      </w:r>
      <w:r w:rsidR="0029485E">
        <w:rPr>
          <w:rFonts w:ascii="Times New Roman" w:hAnsi="Times New Roman" w:cs="Times New Roman"/>
          <w:sz w:val="24"/>
          <w:szCs w:val="24"/>
        </w:rPr>
        <w:t>22% in the</w:t>
      </w:r>
      <w:r w:rsidR="00AF060C">
        <w:rPr>
          <w:rFonts w:ascii="Times New Roman" w:hAnsi="Times New Roman" w:cs="Times New Roman"/>
          <w:sz w:val="24"/>
          <w:szCs w:val="24"/>
        </w:rPr>
        <w:t xml:space="preserve"> UK</w:t>
      </w:r>
      <w:r w:rsidR="004175E9">
        <w:rPr>
          <w:rFonts w:ascii="Times New Roman" w:hAnsi="Times New Roman" w:cs="Times New Roman"/>
          <w:sz w:val="24"/>
          <w:szCs w:val="24"/>
        </w:rPr>
        <w:t>,</w:t>
      </w:r>
      <w:r w:rsidR="00EA33A8">
        <w:rPr>
          <w:rFonts w:ascii="Times New Roman" w:hAnsi="Times New Roman" w:cs="Times New Roman"/>
          <w:sz w:val="24"/>
          <w:szCs w:val="24"/>
        </w:rPr>
        <w:t xml:space="preserve"> </w:t>
      </w:r>
      <w:r w:rsidR="002C21BB">
        <w:rPr>
          <w:rFonts w:ascii="Times New Roman" w:hAnsi="Times New Roman" w:cs="Times New Roman"/>
          <w:sz w:val="24"/>
          <w:szCs w:val="24"/>
        </w:rPr>
        <w:t xml:space="preserve">and &lt;10% in </w:t>
      </w:r>
      <w:r w:rsidR="00945520">
        <w:rPr>
          <w:rFonts w:ascii="Times New Roman" w:hAnsi="Times New Roman" w:cs="Times New Roman"/>
          <w:sz w:val="24"/>
          <w:szCs w:val="24"/>
        </w:rPr>
        <w:t>Cambodia, the US, and Vietnam</w:t>
      </w:r>
      <w:r w:rsidR="005E1079">
        <w:rPr>
          <w:rFonts w:ascii="Times New Roman" w:hAnsi="Times New Roman" w:cs="Times New Roman"/>
          <w:sz w:val="24"/>
          <w:szCs w:val="24"/>
        </w:rPr>
        <w:t>.</w:t>
      </w:r>
      <w:r w:rsidR="00251FA1">
        <w:rPr>
          <w:rFonts w:ascii="Times New Roman" w:hAnsi="Times New Roman" w:cs="Times New Roman"/>
          <w:sz w:val="24"/>
          <w:szCs w:val="24"/>
        </w:rPr>
        <w:t xml:space="preserve"> </w:t>
      </w:r>
      <w:r w:rsidR="000E388B">
        <w:rPr>
          <w:rFonts w:ascii="Times New Roman" w:hAnsi="Times New Roman" w:cs="Times New Roman"/>
          <w:sz w:val="24"/>
          <w:szCs w:val="24"/>
        </w:rPr>
        <w:t xml:space="preserve">Only four </w:t>
      </w:r>
      <w:r w:rsidR="00504DE5">
        <w:rPr>
          <w:rFonts w:ascii="Times New Roman" w:hAnsi="Times New Roman" w:cs="Times New Roman"/>
          <w:sz w:val="24"/>
          <w:szCs w:val="24"/>
        </w:rPr>
        <w:t xml:space="preserve">datasets </w:t>
      </w:r>
      <w:r w:rsidR="002F2B9F">
        <w:rPr>
          <w:rFonts w:ascii="Times New Roman" w:hAnsi="Times New Roman" w:cs="Times New Roman"/>
          <w:sz w:val="24"/>
          <w:szCs w:val="24"/>
        </w:rPr>
        <w:t>contain</w:t>
      </w:r>
      <w:r w:rsidR="00EB0B9F">
        <w:rPr>
          <w:rFonts w:ascii="Times New Roman" w:hAnsi="Times New Roman" w:cs="Times New Roman"/>
          <w:sz w:val="24"/>
          <w:szCs w:val="24"/>
        </w:rPr>
        <w:t>ed</w:t>
      </w:r>
      <w:r w:rsidR="002F2B9F">
        <w:rPr>
          <w:rFonts w:ascii="Times New Roman" w:hAnsi="Times New Roman" w:cs="Times New Roman"/>
          <w:sz w:val="24"/>
          <w:szCs w:val="24"/>
        </w:rPr>
        <w:t xml:space="preserve"> </w:t>
      </w:r>
      <w:r w:rsidR="000E388B">
        <w:rPr>
          <w:rFonts w:ascii="Times New Roman" w:hAnsi="Times New Roman" w:cs="Times New Roman"/>
          <w:sz w:val="24"/>
          <w:szCs w:val="24"/>
        </w:rPr>
        <w:t xml:space="preserve">all </w:t>
      </w:r>
      <w:r w:rsidR="00A133D8">
        <w:rPr>
          <w:rFonts w:ascii="Times New Roman" w:hAnsi="Times New Roman" w:cs="Times New Roman"/>
          <w:sz w:val="24"/>
          <w:szCs w:val="24"/>
        </w:rPr>
        <w:t xml:space="preserve">six </w:t>
      </w:r>
      <w:r w:rsidR="000E388B">
        <w:rPr>
          <w:rFonts w:ascii="Times New Roman" w:hAnsi="Times New Roman" w:cs="Times New Roman"/>
          <w:sz w:val="24"/>
          <w:szCs w:val="24"/>
        </w:rPr>
        <w:t xml:space="preserve">sentinel </w:t>
      </w:r>
      <w:r w:rsidR="00DA3D16">
        <w:rPr>
          <w:rFonts w:ascii="Times New Roman" w:hAnsi="Times New Roman" w:cs="Times New Roman"/>
          <w:sz w:val="24"/>
          <w:szCs w:val="24"/>
        </w:rPr>
        <w:t>micronutrients</w:t>
      </w:r>
      <w:r w:rsidR="000E388B">
        <w:rPr>
          <w:rFonts w:ascii="Times New Roman" w:hAnsi="Times New Roman" w:cs="Times New Roman"/>
          <w:sz w:val="24"/>
          <w:szCs w:val="24"/>
        </w:rPr>
        <w:t xml:space="preserve"> and they all indicated prevalence</w:t>
      </w:r>
      <w:r w:rsidR="00A71BE1">
        <w:rPr>
          <w:rFonts w:ascii="Times New Roman" w:hAnsi="Times New Roman" w:cs="Times New Roman"/>
          <w:sz w:val="24"/>
          <w:szCs w:val="24"/>
        </w:rPr>
        <w:t xml:space="preserve"> of </w:t>
      </w:r>
      <w:r w:rsidR="00EF7AC6">
        <w:rPr>
          <w:rFonts w:ascii="Times New Roman" w:hAnsi="Times New Roman" w:cs="Times New Roman"/>
          <w:sz w:val="24"/>
          <w:szCs w:val="24"/>
        </w:rPr>
        <w:t>deficiency in at least one out of the six</w:t>
      </w:r>
      <w:r w:rsidR="00CA72A6">
        <w:rPr>
          <w:rFonts w:ascii="Times New Roman" w:hAnsi="Times New Roman" w:cs="Times New Roman"/>
          <w:sz w:val="24"/>
          <w:szCs w:val="24"/>
        </w:rPr>
        <w:t xml:space="preserve"> to be</w:t>
      </w:r>
      <w:r w:rsidR="00EB0B9F">
        <w:rPr>
          <w:rFonts w:ascii="Times New Roman" w:hAnsi="Times New Roman" w:cs="Times New Roman"/>
          <w:sz w:val="24"/>
          <w:szCs w:val="24"/>
        </w:rPr>
        <w:t xml:space="preserve"> &gt;</w:t>
      </w:r>
      <w:r w:rsidR="000E388B">
        <w:rPr>
          <w:rFonts w:ascii="Times New Roman" w:hAnsi="Times New Roman" w:cs="Times New Roman"/>
          <w:sz w:val="24"/>
          <w:szCs w:val="24"/>
        </w:rPr>
        <w:t>50%</w:t>
      </w:r>
      <w:r w:rsidR="001A765B">
        <w:rPr>
          <w:rFonts w:ascii="Times New Roman" w:hAnsi="Times New Roman" w:cs="Times New Roman"/>
          <w:sz w:val="24"/>
          <w:szCs w:val="24"/>
          <w:lang w:val="en-GB"/>
        </w:rPr>
        <w:t xml:space="preserve">: </w:t>
      </w:r>
      <w:r w:rsidR="006C20CC">
        <w:rPr>
          <w:rFonts w:ascii="Times New Roman" w:hAnsi="Times New Roman" w:cs="Times New Roman"/>
          <w:sz w:val="24"/>
          <w:szCs w:val="24"/>
        </w:rPr>
        <w:t>89% in India, 85% in Cambodia, 78% in Viet</w:t>
      </w:r>
      <w:r w:rsidR="0083786E">
        <w:rPr>
          <w:rFonts w:ascii="Times New Roman" w:hAnsi="Times New Roman" w:cs="Times New Roman"/>
          <w:sz w:val="24"/>
          <w:szCs w:val="24"/>
        </w:rPr>
        <w:t xml:space="preserve"> N</w:t>
      </w:r>
      <w:r w:rsidR="006C20CC">
        <w:rPr>
          <w:rFonts w:ascii="Times New Roman" w:hAnsi="Times New Roman" w:cs="Times New Roman"/>
          <w:sz w:val="24"/>
          <w:szCs w:val="24"/>
        </w:rPr>
        <w:t>am, and 55% in the UK</w:t>
      </w:r>
      <w:r w:rsidR="00784E9B">
        <w:rPr>
          <w:rFonts w:ascii="Times New Roman" w:hAnsi="Times New Roman" w:cs="Times New Roman"/>
          <w:sz w:val="24"/>
          <w:szCs w:val="24"/>
        </w:rPr>
        <w:t xml:space="preserve"> (Table 3</w:t>
      </w:r>
      <w:r w:rsidR="004D28A8">
        <w:rPr>
          <w:rFonts w:ascii="Times New Roman" w:hAnsi="Times New Roman" w:cs="Times New Roman"/>
          <w:sz w:val="24"/>
          <w:szCs w:val="24"/>
        </w:rPr>
        <w:t>,</w:t>
      </w:r>
      <w:r w:rsidR="00784E9B">
        <w:rPr>
          <w:rFonts w:ascii="Times New Roman" w:hAnsi="Times New Roman" w:cs="Times New Roman"/>
          <w:sz w:val="24"/>
          <w:szCs w:val="24"/>
        </w:rPr>
        <w:t xml:space="preserve"> Figure 2)</w:t>
      </w:r>
      <w:r w:rsidR="006C20CC">
        <w:rPr>
          <w:rFonts w:ascii="Times New Roman" w:hAnsi="Times New Roman" w:cs="Times New Roman"/>
          <w:sz w:val="24"/>
          <w:szCs w:val="24"/>
        </w:rPr>
        <w:t xml:space="preserve">. </w:t>
      </w:r>
      <w:r w:rsidR="00A00336">
        <w:rPr>
          <w:rFonts w:ascii="Times New Roman" w:hAnsi="Times New Roman" w:cs="Times New Roman"/>
          <w:sz w:val="24"/>
          <w:szCs w:val="24"/>
        </w:rPr>
        <w:t xml:space="preserve">An additional </w:t>
      </w:r>
      <w:r w:rsidR="00237064">
        <w:rPr>
          <w:rFonts w:ascii="Times New Roman" w:hAnsi="Times New Roman" w:cs="Times New Roman"/>
          <w:sz w:val="24"/>
          <w:szCs w:val="24"/>
        </w:rPr>
        <w:t xml:space="preserve">seven </w:t>
      </w:r>
      <w:r w:rsidR="008C5C29">
        <w:rPr>
          <w:rFonts w:ascii="Times New Roman" w:hAnsi="Times New Roman" w:cs="Times New Roman"/>
          <w:sz w:val="24"/>
          <w:szCs w:val="24"/>
        </w:rPr>
        <w:t xml:space="preserve">country surveys measured </w:t>
      </w:r>
      <w:r w:rsidR="00962241" w:rsidRPr="00962241">
        <w:rPr>
          <w:rFonts w:ascii="Times New Roman" w:hAnsi="Times New Roman" w:cs="Times New Roman"/>
          <w:sz w:val="24"/>
          <w:szCs w:val="24"/>
        </w:rPr>
        <w:t xml:space="preserve">at least </w:t>
      </w:r>
      <w:r w:rsidR="00B73DA1">
        <w:rPr>
          <w:rFonts w:ascii="Times New Roman" w:hAnsi="Times New Roman" w:cs="Times New Roman"/>
          <w:sz w:val="24"/>
          <w:szCs w:val="24"/>
        </w:rPr>
        <w:t>five</w:t>
      </w:r>
      <w:r w:rsidR="00B73DA1" w:rsidRPr="00962241">
        <w:rPr>
          <w:rFonts w:ascii="Times New Roman" w:hAnsi="Times New Roman" w:cs="Times New Roman"/>
          <w:sz w:val="24"/>
          <w:szCs w:val="24"/>
        </w:rPr>
        <w:t xml:space="preserve"> </w:t>
      </w:r>
      <w:r w:rsidR="00962241" w:rsidRPr="00962241">
        <w:rPr>
          <w:rFonts w:ascii="Times New Roman" w:hAnsi="Times New Roman" w:cs="Times New Roman"/>
          <w:sz w:val="24"/>
          <w:szCs w:val="24"/>
        </w:rPr>
        <w:t xml:space="preserve">of </w:t>
      </w:r>
      <w:r w:rsidR="00DA3D16">
        <w:rPr>
          <w:rFonts w:ascii="Times New Roman" w:hAnsi="Times New Roman" w:cs="Times New Roman"/>
          <w:sz w:val="24"/>
          <w:szCs w:val="24"/>
        </w:rPr>
        <w:t>the</w:t>
      </w:r>
      <w:r w:rsidR="00962241" w:rsidRPr="00962241">
        <w:rPr>
          <w:rFonts w:ascii="Times New Roman" w:hAnsi="Times New Roman" w:cs="Times New Roman"/>
          <w:sz w:val="24"/>
          <w:szCs w:val="24"/>
        </w:rPr>
        <w:t xml:space="preserve"> </w:t>
      </w:r>
      <w:r w:rsidR="00B73DA1">
        <w:rPr>
          <w:rFonts w:ascii="Times New Roman" w:hAnsi="Times New Roman" w:cs="Times New Roman"/>
          <w:sz w:val="24"/>
          <w:szCs w:val="24"/>
        </w:rPr>
        <w:t>six</w:t>
      </w:r>
      <w:r w:rsidR="00962241" w:rsidRPr="00962241">
        <w:rPr>
          <w:rFonts w:ascii="Times New Roman" w:hAnsi="Times New Roman" w:cs="Times New Roman"/>
          <w:sz w:val="24"/>
          <w:szCs w:val="24"/>
        </w:rPr>
        <w:t xml:space="preserve"> sentinel </w:t>
      </w:r>
      <w:r w:rsidR="00DA3D16">
        <w:rPr>
          <w:rFonts w:ascii="Times New Roman" w:hAnsi="Times New Roman" w:cs="Times New Roman"/>
          <w:sz w:val="24"/>
          <w:szCs w:val="24"/>
        </w:rPr>
        <w:t>micronutrients</w:t>
      </w:r>
      <w:r w:rsidR="00962241">
        <w:rPr>
          <w:rFonts w:ascii="Times New Roman" w:hAnsi="Times New Roman" w:cs="Times New Roman"/>
          <w:sz w:val="24"/>
          <w:szCs w:val="24"/>
        </w:rPr>
        <w:t xml:space="preserve"> (Figure </w:t>
      </w:r>
      <w:r w:rsidR="009D5996">
        <w:rPr>
          <w:rFonts w:ascii="Times New Roman" w:hAnsi="Times New Roman" w:cs="Times New Roman"/>
          <w:sz w:val="24"/>
          <w:szCs w:val="24"/>
        </w:rPr>
        <w:t>2</w:t>
      </w:r>
      <w:r w:rsidR="00962241">
        <w:rPr>
          <w:rFonts w:ascii="Times New Roman" w:hAnsi="Times New Roman" w:cs="Times New Roman"/>
          <w:sz w:val="24"/>
          <w:szCs w:val="24"/>
        </w:rPr>
        <w:t xml:space="preserve">). </w:t>
      </w:r>
      <w:r w:rsidR="004D03EC">
        <w:rPr>
          <w:rFonts w:ascii="Times New Roman" w:hAnsi="Times New Roman" w:cs="Times New Roman"/>
          <w:sz w:val="24"/>
          <w:szCs w:val="24"/>
        </w:rPr>
        <w:t xml:space="preserve">Among these, prevalence of </w:t>
      </w:r>
      <w:r w:rsidR="00771A57">
        <w:rPr>
          <w:rFonts w:ascii="Times New Roman" w:hAnsi="Times New Roman" w:cs="Times New Roman"/>
          <w:sz w:val="24"/>
          <w:szCs w:val="24"/>
        </w:rPr>
        <w:t>deficiency in one or more</w:t>
      </w:r>
      <w:r w:rsidR="004D03EC">
        <w:rPr>
          <w:rFonts w:ascii="Times New Roman" w:hAnsi="Times New Roman" w:cs="Times New Roman"/>
          <w:sz w:val="24"/>
          <w:szCs w:val="24"/>
        </w:rPr>
        <w:t xml:space="preserve"> </w:t>
      </w:r>
      <w:r w:rsidR="00431156">
        <w:rPr>
          <w:rFonts w:ascii="Times New Roman" w:hAnsi="Times New Roman" w:cs="Times New Roman"/>
          <w:sz w:val="24"/>
          <w:szCs w:val="24"/>
        </w:rPr>
        <w:t xml:space="preserve">measured </w:t>
      </w:r>
      <w:r w:rsidR="004D03EC">
        <w:rPr>
          <w:rFonts w:ascii="Times New Roman" w:hAnsi="Times New Roman" w:cs="Times New Roman"/>
          <w:sz w:val="24"/>
          <w:szCs w:val="24"/>
        </w:rPr>
        <w:t xml:space="preserve">sentinel </w:t>
      </w:r>
      <w:r w:rsidR="00771A57">
        <w:rPr>
          <w:rFonts w:ascii="Times New Roman" w:hAnsi="Times New Roman" w:cs="Times New Roman"/>
          <w:sz w:val="24"/>
          <w:szCs w:val="24"/>
        </w:rPr>
        <w:t>micronutrients</w:t>
      </w:r>
      <w:r w:rsidR="004D03EC">
        <w:rPr>
          <w:rFonts w:ascii="Times New Roman" w:hAnsi="Times New Roman" w:cs="Times New Roman"/>
          <w:sz w:val="24"/>
          <w:szCs w:val="24"/>
        </w:rPr>
        <w:t xml:space="preserve"> was </w:t>
      </w:r>
      <w:r w:rsidR="009145D8">
        <w:rPr>
          <w:rFonts w:ascii="Times New Roman" w:hAnsi="Times New Roman" w:cs="Times New Roman"/>
          <w:sz w:val="24"/>
          <w:szCs w:val="24"/>
        </w:rPr>
        <w:t xml:space="preserve">very high in </w:t>
      </w:r>
      <w:r w:rsidR="00B65A67">
        <w:rPr>
          <w:rFonts w:ascii="Times New Roman" w:hAnsi="Times New Roman" w:cs="Times New Roman"/>
          <w:sz w:val="24"/>
          <w:szCs w:val="24"/>
        </w:rPr>
        <w:t>Pakistan</w:t>
      </w:r>
      <w:r w:rsidR="003C2585">
        <w:rPr>
          <w:rFonts w:ascii="Times New Roman" w:hAnsi="Times New Roman" w:cs="Times New Roman"/>
          <w:sz w:val="24"/>
          <w:szCs w:val="24"/>
        </w:rPr>
        <w:t>, Bangladesh, and Cameroon</w:t>
      </w:r>
      <w:r w:rsidR="00B65A67">
        <w:rPr>
          <w:rFonts w:ascii="Times New Roman" w:hAnsi="Times New Roman" w:cs="Times New Roman"/>
          <w:sz w:val="24"/>
          <w:szCs w:val="24"/>
        </w:rPr>
        <w:t xml:space="preserve"> (</w:t>
      </w:r>
      <w:r w:rsidR="00563931">
        <w:rPr>
          <w:rFonts w:ascii="Times New Roman" w:hAnsi="Times New Roman" w:cs="Times New Roman"/>
          <w:sz w:val="24"/>
          <w:szCs w:val="24"/>
        </w:rPr>
        <w:t xml:space="preserve">all </w:t>
      </w:r>
      <w:r w:rsidR="00B65A67">
        <w:rPr>
          <w:rFonts w:ascii="Times New Roman" w:hAnsi="Times New Roman" w:cs="Times New Roman"/>
          <w:sz w:val="24"/>
          <w:szCs w:val="24"/>
        </w:rPr>
        <w:t>93%)</w:t>
      </w:r>
      <w:r w:rsidR="00841F60">
        <w:rPr>
          <w:rFonts w:ascii="Times New Roman" w:hAnsi="Times New Roman" w:cs="Times New Roman"/>
          <w:sz w:val="24"/>
          <w:szCs w:val="24"/>
        </w:rPr>
        <w:t>, Malawi (75%), and Ecuador (68%).</w:t>
      </w:r>
      <w:r w:rsidR="00515931">
        <w:rPr>
          <w:rFonts w:ascii="Times New Roman" w:hAnsi="Times New Roman" w:cs="Times New Roman"/>
          <w:sz w:val="24"/>
          <w:szCs w:val="24"/>
        </w:rPr>
        <w:t xml:space="preserve"> </w:t>
      </w:r>
      <w:r w:rsidR="005739D2">
        <w:rPr>
          <w:rFonts w:ascii="Times New Roman" w:hAnsi="Times New Roman" w:cs="Times New Roman"/>
          <w:sz w:val="24"/>
          <w:szCs w:val="24"/>
        </w:rPr>
        <w:t>T</w:t>
      </w:r>
      <w:r w:rsidR="007B2C0A">
        <w:rPr>
          <w:rFonts w:ascii="Times New Roman" w:hAnsi="Times New Roman" w:cs="Times New Roman"/>
          <w:sz w:val="24"/>
          <w:szCs w:val="24"/>
        </w:rPr>
        <w:t xml:space="preserve">he prevalence of </w:t>
      </w:r>
      <w:r w:rsidR="00604924">
        <w:rPr>
          <w:rFonts w:ascii="Times New Roman" w:hAnsi="Times New Roman" w:cs="Times New Roman"/>
          <w:sz w:val="24"/>
          <w:szCs w:val="24"/>
        </w:rPr>
        <w:t>deficiency in one or more</w:t>
      </w:r>
      <w:r w:rsidR="007B2C0A">
        <w:rPr>
          <w:rFonts w:ascii="Times New Roman" w:hAnsi="Times New Roman" w:cs="Times New Roman"/>
          <w:sz w:val="24"/>
          <w:szCs w:val="24"/>
        </w:rPr>
        <w:t xml:space="preserve"> </w:t>
      </w:r>
      <w:r w:rsidR="00912C28">
        <w:rPr>
          <w:rFonts w:ascii="Times New Roman" w:hAnsi="Times New Roman" w:cs="Times New Roman"/>
          <w:sz w:val="24"/>
          <w:szCs w:val="24"/>
        </w:rPr>
        <w:t xml:space="preserve">measured </w:t>
      </w:r>
      <w:r w:rsidR="005F1FC0">
        <w:rPr>
          <w:rFonts w:ascii="Times New Roman" w:hAnsi="Times New Roman" w:cs="Times New Roman"/>
          <w:sz w:val="24"/>
          <w:szCs w:val="24"/>
        </w:rPr>
        <w:t xml:space="preserve">sentinel </w:t>
      </w:r>
      <w:r w:rsidR="00604924">
        <w:rPr>
          <w:rFonts w:ascii="Times New Roman" w:hAnsi="Times New Roman" w:cs="Times New Roman"/>
          <w:sz w:val="24"/>
          <w:szCs w:val="24"/>
        </w:rPr>
        <w:t>micronutrients</w:t>
      </w:r>
      <w:r w:rsidR="007B2C0A">
        <w:rPr>
          <w:rFonts w:ascii="Times New Roman" w:hAnsi="Times New Roman" w:cs="Times New Roman"/>
          <w:sz w:val="24"/>
          <w:szCs w:val="24"/>
        </w:rPr>
        <w:t xml:space="preserve"> was higher in the UK</w:t>
      </w:r>
      <w:r w:rsidR="00CF16B7">
        <w:rPr>
          <w:rFonts w:ascii="Times New Roman" w:hAnsi="Times New Roman" w:cs="Times New Roman"/>
          <w:sz w:val="24"/>
          <w:szCs w:val="24"/>
        </w:rPr>
        <w:t xml:space="preserve"> (55%)</w:t>
      </w:r>
      <w:r w:rsidR="007B2C0A">
        <w:rPr>
          <w:rFonts w:ascii="Times New Roman" w:hAnsi="Times New Roman" w:cs="Times New Roman"/>
          <w:sz w:val="24"/>
          <w:szCs w:val="24"/>
        </w:rPr>
        <w:t xml:space="preserve"> than </w:t>
      </w:r>
      <w:r w:rsidR="00CB03E2">
        <w:rPr>
          <w:rFonts w:ascii="Times New Roman" w:hAnsi="Times New Roman" w:cs="Times New Roman"/>
          <w:sz w:val="24"/>
          <w:szCs w:val="24"/>
        </w:rPr>
        <w:t xml:space="preserve">in </w:t>
      </w:r>
      <w:r w:rsidR="00421CE1">
        <w:rPr>
          <w:rFonts w:ascii="Times New Roman" w:hAnsi="Times New Roman" w:cs="Times New Roman"/>
          <w:sz w:val="24"/>
          <w:szCs w:val="24"/>
        </w:rPr>
        <w:t xml:space="preserve">Guatemala </w:t>
      </w:r>
      <w:r w:rsidR="0087596C">
        <w:rPr>
          <w:rFonts w:ascii="Times New Roman" w:hAnsi="Times New Roman" w:cs="Times New Roman"/>
          <w:sz w:val="24"/>
          <w:szCs w:val="24"/>
        </w:rPr>
        <w:t>(</w:t>
      </w:r>
      <w:r w:rsidR="00421CE1">
        <w:rPr>
          <w:rFonts w:ascii="Times New Roman" w:hAnsi="Times New Roman" w:cs="Times New Roman"/>
          <w:sz w:val="24"/>
          <w:szCs w:val="24"/>
        </w:rPr>
        <w:t>44</w:t>
      </w:r>
      <w:r w:rsidR="007B2C0A">
        <w:rPr>
          <w:rFonts w:ascii="Times New Roman" w:hAnsi="Times New Roman" w:cs="Times New Roman"/>
          <w:sz w:val="24"/>
          <w:szCs w:val="24"/>
        </w:rPr>
        <w:t xml:space="preserve">%), and similar </w:t>
      </w:r>
      <w:r w:rsidR="00556F86">
        <w:rPr>
          <w:rFonts w:ascii="Times New Roman" w:hAnsi="Times New Roman" w:cs="Times New Roman"/>
          <w:sz w:val="24"/>
          <w:szCs w:val="24"/>
        </w:rPr>
        <w:t xml:space="preserve">to </w:t>
      </w:r>
      <w:r w:rsidR="00A577D5">
        <w:rPr>
          <w:rFonts w:ascii="Times New Roman" w:hAnsi="Times New Roman" w:cs="Times New Roman"/>
          <w:sz w:val="24"/>
          <w:szCs w:val="24"/>
        </w:rPr>
        <w:t xml:space="preserve">the prevalence in </w:t>
      </w:r>
      <w:r w:rsidR="00421CE1">
        <w:rPr>
          <w:rFonts w:ascii="Times New Roman" w:hAnsi="Times New Roman" w:cs="Times New Roman"/>
          <w:sz w:val="24"/>
          <w:szCs w:val="24"/>
        </w:rPr>
        <w:t>Ethiopia</w:t>
      </w:r>
      <w:r w:rsidR="007B2C0A">
        <w:rPr>
          <w:rFonts w:ascii="Times New Roman" w:hAnsi="Times New Roman" w:cs="Times New Roman"/>
          <w:sz w:val="24"/>
          <w:szCs w:val="24"/>
        </w:rPr>
        <w:t xml:space="preserve"> (</w:t>
      </w:r>
      <w:r w:rsidR="00421CE1">
        <w:rPr>
          <w:rFonts w:ascii="Times New Roman" w:hAnsi="Times New Roman" w:cs="Times New Roman"/>
          <w:sz w:val="24"/>
          <w:szCs w:val="24"/>
        </w:rPr>
        <w:t>55</w:t>
      </w:r>
      <w:r w:rsidR="007B2C0A">
        <w:rPr>
          <w:rFonts w:ascii="Times New Roman" w:hAnsi="Times New Roman" w:cs="Times New Roman"/>
          <w:sz w:val="24"/>
          <w:szCs w:val="24"/>
        </w:rPr>
        <w:t xml:space="preserve">%). The prevalence of </w:t>
      </w:r>
      <w:r w:rsidR="003D392E">
        <w:rPr>
          <w:rFonts w:ascii="Times New Roman" w:hAnsi="Times New Roman" w:cs="Times New Roman"/>
          <w:sz w:val="24"/>
          <w:szCs w:val="24"/>
        </w:rPr>
        <w:t xml:space="preserve">deficiencies in </w:t>
      </w:r>
      <w:r w:rsidR="007B2C0A">
        <w:rPr>
          <w:rFonts w:ascii="Times New Roman" w:hAnsi="Times New Roman" w:cs="Times New Roman"/>
          <w:sz w:val="24"/>
          <w:szCs w:val="24"/>
        </w:rPr>
        <w:t xml:space="preserve">two or more </w:t>
      </w:r>
      <w:r w:rsidR="00054E7A">
        <w:rPr>
          <w:rFonts w:ascii="Times New Roman" w:hAnsi="Times New Roman" w:cs="Times New Roman"/>
          <w:sz w:val="24"/>
          <w:szCs w:val="24"/>
        </w:rPr>
        <w:t xml:space="preserve">measured </w:t>
      </w:r>
      <w:r w:rsidR="003D392E">
        <w:rPr>
          <w:rFonts w:ascii="Times New Roman" w:hAnsi="Times New Roman" w:cs="Times New Roman"/>
          <w:sz w:val="24"/>
          <w:szCs w:val="24"/>
        </w:rPr>
        <w:t xml:space="preserve">sentinel micronutrients </w:t>
      </w:r>
      <w:r w:rsidR="007B2C0A">
        <w:rPr>
          <w:rFonts w:ascii="Times New Roman" w:hAnsi="Times New Roman" w:cs="Times New Roman"/>
          <w:sz w:val="24"/>
          <w:szCs w:val="24"/>
        </w:rPr>
        <w:t>was highly variable</w:t>
      </w:r>
      <w:r w:rsidR="00DF17C3">
        <w:rPr>
          <w:rFonts w:ascii="Times New Roman" w:hAnsi="Times New Roman" w:cs="Times New Roman"/>
          <w:sz w:val="24"/>
          <w:szCs w:val="24"/>
        </w:rPr>
        <w:t>,</w:t>
      </w:r>
      <w:r w:rsidR="007B2C0A">
        <w:rPr>
          <w:rFonts w:ascii="Times New Roman" w:hAnsi="Times New Roman" w:cs="Times New Roman"/>
          <w:sz w:val="24"/>
          <w:szCs w:val="24"/>
        </w:rPr>
        <w:t xml:space="preserve"> from </w:t>
      </w:r>
      <w:r w:rsidR="002A27EF">
        <w:rPr>
          <w:rFonts w:ascii="Times New Roman" w:hAnsi="Times New Roman" w:cs="Times New Roman"/>
          <w:sz w:val="24"/>
          <w:szCs w:val="24"/>
        </w:rPr>
        <w:t>69</w:t>
      </w:r>
      <w:r w:rsidR="007B2C0A">
        <w:rPr>
          <w:rFonts w:ascii="Times New Roman" w:hAnsi="Times New Roman" w:cs="Times New Roman"/>
          <w:sz w:val="24"/>
          <w:szCs w:val="24"/>
        </w:rPr>
        <w:t xml:space="preserve">% in </w:t>
      </w:r>
      <w:r w:rsidR="000D193C">
        <w:rPr>
          <w:rFonts w:ascii="Times New Roman" w:hAnsi="Times New Roman" w:cs="Times New Roman"/>
          <w:sz w:val="24"/>
          <w:szCs w:val="24"/>
        </w:rPr>
        <w:t xml:space="preserve">Pakistan and </w:t>
      </w:r>
      <w:r w:rsidR="002A27EF">
        <w:rPr>
          <w:rFonts w:ascii="Times New Roman" w:hAnsi="Times New Roman" w:cs="Times New Roman"/>
          <w:sz w:val="24"/>
          <w:szCs w:val="24"/>
        </w:rPr>
        <w:t xml:space="preserve">57% in </w:t>
      </w:r>
      <w:r w:rsidR="000D193C">
        <w:rPr>
          <w:rFonts w:ascii="Times New Roman" w:hAnsi="Times New Roman" w:cs="Times New Roman"/>
          <w:sz w:val="24"/>
          <w:szCs w:val="24"/>
        </w:rPr>
        <w:t>India to only 7% in Guat</w:t>
      </w:r>
      <w:r w:rsidR="00F04B78">
        <w:rPr>
          <w:rFonts w:ascii="Times New Roman" w:hAnsi="Times New Roman" w:cs="Times New Roman"/>
          <w:sz w:val="24"/>
          <w:szCs w:val="24"/>
        </w:rPr>
        <w:t>e</w:t>
      </w:r>
      <w:r w:rsidR="000D193C">
        <w:rPr>
          <w:rFonts w:ascii="Times New Roman" w:hAnsi="Times New Roman" w:cs="Times New Roman"/>
          <w:sz w:val="24"/>
          <w:szCs w:val="24"/>
        </w:rPr>
        <w:t>mala</w:t>
      </w:r>
      <w:r w:rsidR="00AF060C">
        <w:rPr>
          <w:rFonts w:ascii="Times New Roman" w:hAnsi="Times New Roman" w:cs="Times New Roman"/>
          <w:sz w:val="24"/>
          <w:szCs w:val="24"/>
        </w:rPr>
        <w:t>.</w:t>
      </w:r>
    </w:p>
    <w:p w14:paraId="095D56E5" w14:textId="77777777" w:rsidR="0039082A" w:rsidRDefault="0039082A" w:rsidP="0039082A">
      <w:pPr>
        <w:rPr>
          <w:rFonts w:ascii="Times New Roman" w:hAnsi="Times New Roman" w:cs="Times New Roman"/>
          <w:sz w:val="24"/>
          <w:szCs w:val="24"/>
        </w:rPr>
      </w:pPr>
    </w:p>
    <w:p w14:paraId="07A24FEA" w14:textId="33164878" w:rsidR="00F1002A" w:rsidRPr="00EE01FB" w:rsidRDefault="00F1002A" w:rsidP="0039082A">
      <w:pPr>
        <w:rPr>
          <w:rFonts w:ascii="Times New Roman" w:hAnsi="Times New Roman" w:cs="Times New Roman"/>
          <w:i/>
          <w:iCs/>
          <w:sz w:val="24"/>
          <w:szCs w:val="24"/>
        </w:rPr>
      </w:pPr>
      <w:r>
        <w:rPr>
          <w:rFonts w:ascii="Times New Roman" w:hAnsi="Times New Roman" w:cs="Times New Roman"/>
          <w:i/>
          <w:iCs/>
          <w:sz w:val="24"/>
          <w:szCs w:val="24"/>
        </w:rPr>
        <w:t xml:space="preserve">Regional and global </w:t>
      </w:r>
      <w:r w:rsidR="00D1763D">
        <w:rPr>
          <w:rFonts w:ascii="Times New Roman" w:hAnsi="Times New Roman" w:cs="Times New Roman"/>
          <w:i/>
          <w:iCs/>
          <w:sz w:val="24"/>
          <w:szCs w:val="24"/>
        </w:rPr>
        <w:t xml:space="preserve">estimates </w:t>
      </w:r>
      <w:r>
        <w:rPr>
          <w:rFonts w:ascii="Times New Roman" w:hAnsi="Times New Roman" w:cs="Times New Roman"/>
          <w:i/>
          <w:iCs/>
          <w:sz w:val="24"/>
          <w:szCs w:val="24"/>
        </w:rPr>
        <w:t xml:space="preserve">of </w:t>
      </w:r>
      <w:r w:rsidR="00B065BE">
        <w:rPr>
          <w:rFonts w:ascii="Times New Roman" w:hAnsi="Times New Roman" w:cs="Times New Roman"/>
          <w:i/>
          <w:iCs/>
          <w:sz w:val="24"/>
          <w:szCs w:val="24"/>
        </w:rPr>
        <w:t>deficiency in at least one of three</w:t>
      </w:r>
      <w:r>
        <w:rPr>
          <w:rFonts w:ascii="Times New Roman" w:hAnsi="Times New Roman" w:cs="Times New Roman"/>
          <w:i/>
          <w:iCs/>
          <w:sz w:val="24"/>
          <w:szCs w:val="24"/>
        </w:rPr>
        <w:t xml:space="preserve"> core micronutrient</w:t>
      </w:r>
      <w:r w:rsidR="00B065BE">
        <w:rPr>
          <w:rFonts w:ascii="Times New Roman" w:hAnsi="Times New Roman" w:cs="Times New Roman"/>
          <w:i/>
          <w:iCs/>
          <w:sz w:val="24"/>
          <w:szCs w:val="24"/>
        </w:rPr>
        <w:t>s</w:t>
      </w:r>
    </w:p>
    <w:p w14:paraId="5CDB39F9" w14:textId="21535ECC" w:rsidR="0039082A" w:rsidRDefault="0039082A" w:rsidP="0039082A">
      <w:pPr>
        <w:rPr>
          <w:rFonts w:ascii="Times New Roman" w:hAnsi="Times New Roman" w:cs="Times New Roman"/>
          <w:sz w:val="24"/>
          <w:szCs w:val="24"/>
        </w:rPr>
      </w:pPr>
      <w:r>
        <w:rPr>
          <w:rFonts w:ascii="Times New Roman" w:hAnsi="Times New Roman" w:cs="Times New Roman"/>
          <w:sz w:val="24"/>
          <w:szCs w:val="24"/>
        </w:rPr>
        <w:t xml:space="preserve">Regionally, </w:t>
      </w:r>
      <w:r w:rsidR="00A4521B">
        <w:rPr>
          <w:rFonts w:ascii="Times New Roman" w:hAnsi="Times New Roman" w:cs="Times New Roman"/>
          <w:sz w:val="24"/>
          <w:szCs w:val="24"/>
        </w:rPr>
        <w:t xml:space="preserve">among PSC </w:t>
      </w:r>
      <w:r w:rsidR="000A146D">
        <w:rPr>
          <w:rFonts w:ascii="Times New Roman" w:hAnsi="Times New Roman" w:cs="Times New Roman"/>
          <w:sz w:val="24"/>
          <w:szCs w:val="24"/>
        </w:rPr>
        <w:t xml:space="preserve">the estimated prevalence of </w:t>
      </w:r>
      <w:r>
        <w:rPr>
          <w:rFonts w:ascii="Times New Roman" w:hAnsi="Times New Roman" w:cs="Times New Roman"/>
          <w:sz w:val="24"/>
          <w:szCs w:val="24"/>
        </w:rPr>
        <w:t xml:space="preserve">deficiency in at least one of three core micronutrients was highest in Sub-Saharan Africa (62%, 95% uncertainty interval [UI] 53 to 72) and lowest in Europe and Central Asia (45%, 27 to 64), high-income (45%, 25 to 68), and Latin America and the Caribbean (48%, 38 to 58) (Table </w:t>
      </w:r>
      <w:r w:rsidR="004F21C1">
        <w:rPr>
          <w:rFonts w:ascii="Times New Roman" w:hAnsi="Times New Roman" w:cs="Times New Roman"/>
          <w:sz w:val="24"/>
          <w:szCs w:val="24"/>
        </w:rPr>
        <w:t>4</w:t>
      </w:r>
      <w:r>
        <w:rPr>
          <w:rFonts w:ascii="Times New Roman" w:hAnsi="Times New Roman" w:cs="Times New Roman"/>
          <w:sz w:val="24"/>
          <w:szCs w:val="24"/>
        </w:rPr>
        <w:t>, Figure 3). A</w:t>
      </w:r>
      <w:r w:rsidRPr="00FB3ED4">
        <w:rPr>
          <w:rFonts w:ascii="Times New Roman" w:hAnsi="Times New Roman" w:cs="Times New Roman"/>
          <w:sz w:val="24"/>
          <w:szCs w:val="24"/>
        </w:rPr>
        <w:t xml:space="preserve">mong </w:t>
      </w:r>
      <w:r w:rsidR="007A641A">
        <w:rPr>
          <w:rFonts w:ascii="Times New Roman" w:hAnsi="Times New Roman" w:cs="Times New Roman"/>
          <w:sz w:val="24"/>
          <w:szCs w:val="24"/>
        </w:rPr>
        <w:t>NPW</w:t>
      </w:r>
      <w:r>
        <w:rPr>
          <w:rFonts w:ascii="Times New Roman" w:hAnsi="Times New Roman" w:cs="Times New Roman"/>
          <w:sz w:val="24"/>
          <w:szCs w:val="24"/>
        </w:rPr>
        <w:t xml:space="preserve"> </w:t>
      </w:r>
      <w:r w:rsidR="0081758E">
        <w:rPr>
          <w:rFonts w:ascii="Times New Roman" w:hAnsi="Times New Roman" w:cs="Times New Roman"/>
          <w:sz w:val="24"/>
          <w:szCs w:val="24"/>
        </w:rPr>
        <w:t xml:space="preserve">the </w:t>
      </w:r>
      <w:r w:rsidR="00CF6212">
        <w:rPr>
          <w:rFonts w:ascii="Times New Roman" w:hAnsi="Times New Roman" w:cs="Times New Roman"/>
          <w:sz w:val="24"/>
          <w:szCs w:val="24"/>
        </w:rPr>
        <w:t xml:space="preserve">estimated </w:t>
      </w:r>
      <w:r w:rsidR="0081758E">
        <w:rPr>
          <w:rFonts w:ascii="Times New Roman" w:hAnsi="Times New Roman" w:cs="Times New Roman"/>
          <w:sz w:val="24"/>
          <w:szCs w:val="24"/>
        </w:rPr>
        <w:t xml:space="preserve">prevalence of </w:t>
      </w:r>
      <w:r w:rsidR="00DB733B">
        <w:rPr>
          <w:rFonts w:ascii="Times New Roman" w:hAnsi="Times New Roman" w:cs="Times New Roman"/>
          <w:sz w:val="24"/>
          <w:szCs w:val="24"/>
        </w:rPr>
        <w:t xml:space="preserve">deficiency in </w:t>
      </w:r>
      <w:r>
        <w:rPr>
          <w:rFonts w:ascii="Times New Roman" w:hAnsi="Times New Roman" w:cs="Times New Roman"/>
          <w:sz w:val="24"/>
          <w:szCs w:val="24"/>
        </w:rPr>
        <w:t xml:space="preserve">at least one of three core </w:t>
      </w:r>
      <w:r w:rsidR="00DB733B">
        <w:rPr>
          <w:rFonts w:ascii="Times New Roman" w:hAnsi="Times New Roman" w:cs="Times New Roman"/>
          <w:sz w:val="24"/>
          <w:szCs w:val="24"/>
        </w:rPr>
        <w:t>micronutrients</w:t>
      </w:r>
      <w:r>
        <w:rPr>
          <w:rFonts w:ascii="Times New Roman" w:hAnsi="Times New Roman" w:cs="Times New Roman"/>
          <w:sz w:val="24"/>
          <w:szCs w:val="24"/>
        </w:rPr>
        <w:t xml:space="preserve"> was also highest in Sub-Saharan Africa (80%, 70 to 89) and lowest in high-income</w:t>
      </w:r>
      <w:r w:rsidR="0081758E">
        <w:rPr>
          <w:rFonts w:ascii="Times New Roman" w:hAnsi="Times New Roman" w:cs="Times New Roman"/>
          <w:sz w:val="24"/>
          <w:szCs w:val="24"/>
        </w:rPr>
        <w:t xml:space="preserve"> countries</w:t>
      </w:r>
      <w:r>
        <w:rPr>
          <w:rFonts w:ascii="Times New Roman" w:hAnsi="Times New Roman" w:cs="Times New Roman"/>
          <w:sz w:val="24"/>
          <w:szCs w:val="24"/>
        </w:rPr>
        <w:t xml:space="preserve"> (48%, 26 to 73) (Table </w:t>
      </w:r>
      <w:r w:rsidR="00A92B5C">
        <w:rPr>
          <w:rFonts w:ascii="Times New Roman" w:hAnsi="Times New Roman" w:cs="Times New Roman"/>
          <w:sz w:val="24"/>
          <w:szCs w:val="24"/>
        </w:rPr>
        <w:t>4</w:t>
      </w:r>
      <w:r>
        <w:rPr>
          <w:rFonts w:ascii="Times New Roman" w:hAnsi="Times New Roman" w:cs="Times New Roman"/>
          <w:sz w:val="24"/>
          <w:szCs w:val="24"/>
        </w:rPr>
        <w:t xml:space="preserve">, Figure 4). Uncertainty intervals for both PSC and </w:t>
      </w:r>
      <w:r w:rsidR="007A641A">
        <w:rPr>
          <w:rFonts w:ascii="Times New Roman" w:hAnsi="Times New Roman" w:cs="Times New Roman"/>
          <w:sz w:val="24"/>
          <w:szCs w:val="24"/>
        </w:rPr>
        <w:t>NPW</w:t>
      </w:r>
      <w:r>
        <w:rPr>
          <w:rFonts w:ascii="Times New Roman" w:hAnsi="Times New Roman" w:cs="Times New Roman"/>
          <w:sz w:val="24"/>
          <w:szCs w:val="24"/>
        </w:rPr>
        <w:t xml:space="preserve"> were largest in the Middle East and North Africa due to </w:t>
      </w:r>
      <w:r w:rsidR="003D7088">
        <w:rPr>
          <w:rFonts w:ascii="Times New Roman" w:hAnsi="Times New Roman" w:cs="Times New Roman"/>
          <w:sz w:val="24"/>
          <w:szCs w:val="24"/>
        </w:rPr>
        <w:t>lac</w:t>
      </w:r>
      <w:r w:rsidR="004B5821">
        <w:rPr>
          <w:rFonts w:ascii="Times New Roman" w:hAnsi="Times New Roman" w:cs="Times New Roman"/>
          <w:sz w:val="24"/>
          <w:szCs w:val="24"/>
        </w:rPr>
        <w:t>k</w:t>
      </w:r>
      <w:r w:rsidR="003D7088">
        <w:rPr>
          <w:rFonts w:ascii="Times New Roman" w:hAnsi="Times New Roman" w:cs="Times New Roman"/>
          <w:sz w:val="24"/>
          <w:szCs w:val="24"/>
        </w:rPr>
        <w:t xml:space="preserve"> of</w:t>
      </w:r>
      <w:r>
        <w:rPr>
          <w:rFonts w:ascii="Times New Roman" w:hAnsi="Times New Roman" w:cs="Times New Roman"/>
          <w:sz w:val="24"/>
          <w:szCs w:val="24"/>
        </w:rPr>
        <w:t xml:space="preserve"> data sources, followed by high-income, Europe and Central Asia, and East Asia and Pacific, due to only one or two included data sources.</w:t>
      </w:r>
    </w:p>
    <w:p w14:paraId="614BFACB" w14:textId="77777777" w:rsidR="0039082A" w:rsidRDefault="0039082A" w:rsidP="0039082A">
      <w:pPr>
        <w:rPr>
          <w:rFonts w:ascii="Times New Roman" w:hAnsi="Times New Roman" w:cs="Times New Roman"/>
          <w:sz w:val="24"/>
          <w:szCs w:val="24"/>
        </w:rPr>
      </w:pPr>
    </w:p>
    <w:p w14:paraId="7AC72ECE" w14:textId="030FE019" w:rsidR="00FC4407" w:rsidRDefault="0039082A" w:rsidP="00645FE9">
      <w:pPr>
        <w:rPr>
          <w:rFonts w:ascii="Times New Roman" w:hAnsi="Times New Roman" w:cs="Times New Roman"/>
          <w:sz w:val="24"/>
          <w:szCs w:val="24"/>
        </w:rPr>
      </w:pPr>
      <w:r>
        <w:rPr>
          <w:rFonts w:ascii="Times New Roman" w:hAnsi="Times New Roman" w:cs="Times New Roman"/>
          <w:sz w:val="24"/>
          <w:szCs w:val="24"/>
        </w:rPr>
        <w:t xml:space="preserve">Globally, </w:t>
      </w:r>
      <w:r w:rsidR="006814E6">
        <w:rPr>
          <w:rFonts w:ascii="Times New Roman" w:hAnsi="Times New Roman" w:cs="Times New Roman"/>
          <w:sz w:val="24"/>
          <w:szCs w:val="24"/>
        </w:rPr>
        <w:t xml:space="preserve">the </w:t>
      </w:r>
      <w:r w:rsidR="00791EDD">
        <w:rPr>
          <w:rFonts w:ascii="Times New Roman" w:hAnsi="Times New Roman" w:cs="Times New Roman"/>
          <w:sz w:val="24"/>
          <w:szCs w:val="24"/>
        </w:rPr>
        <w:t xml:space="preserve">estimated prevalence of </w:t>
      </w:r>
      <w:r>
        <w:rPr>
          <w:rFonts w:ascii="Times New Roman" w:hAnsi="Times New Roman" w:cs="Times New Roman"/>
          <w:sz w:val="24"/>
          <w:szCs w:val="24"/>
        </w:rPr>
        <w:t xml:space="preserve">deficiency in at least one of three core micronutrients was 56% (48 to 64) among PSC, and 69% (59 to 78) among </w:t>
      </w:r>
      <w:r w:rsidR="007A641A">
        <w:rPr>
          <w:rFonts w:ascii="Times New Roman" w:hAnsi="Times New Roman" w:cs="Times New Roman"/>
          <w:sz w:val="24"/>
          <w:szCs w:val="24"/>
        </w:rPr>
        <w:t>NPW</w:t>
      </w:r>
      <w:r>
        <w:rPr>
          <w:rFonts w:ascii="Times New Roman" w:hAnsi="Times New Roman" w:cs="Times New Roman"/>
          <w:sz w:val="24"/>
          <w:szCs w:val="24"/>
        </w:rPr>
        <w:t xml:space="preserve"> (Table </w:t>
      </w:r>
      <w:r w:rsidR="00296100">
        <w:rPr>
          <w:rFonts w:ascii="Times New Roman" w:hAnsi="Times New Roman" w:cs="Times New Roman"/>
          <w:sz w:val="24"/>
          <w:szCs w:val="24"/>
        </w:rPr>
        <w:t>4</w:t>
      </w:r>
      <w:r>
        <w:rPr>
          <w:rFonts w:ascii="Times New Roman" w:hAnsi="Times New Roman" w:cs="Times New Roman"/>
          <w:sz w:val="24"/>
          <w:szCs w:val="24"/>
        </w:rPr>
        <w:t>, Figures 3</w:t>
      </w:r>
      <w:r w:rsidR="002173E3">
        <w:rPr>
          <w:rFonts w:ascii="Times New Roman" w:hAnsi="Times New Roman" w:cs="Times New Roman"/>
          <w:sz w:val="24"/>
          <w:szCs w:val="24"/>
        </w:rPr>
        <w:t>–</w:t>
      </w:r>
      <w:r>
        <w:rPr>
          <w:rFonts w:ascii="Times New Roman" w:hAnsi="Times New Roman" w:cs="Times New Roman"/>
          <w:sz w:val="24"/>
          <w:szCs w:val="24"/>
        </w:rPr>
        <w:t xml:space="preserve">4). This translates into a </w:t>
      </w:r>
      <w:r w:rsidR="004F0711">
        <w:rPr>
          <w:rFonts w:ascii="Times New Roman" w:hAnsi="Times New Roman" w:cs="Times New Roman"/>
          <w:sz w:val="24"/>
          <w:szCs w:val="24"/>
        </w:rPr>
        <w:t xml:space="preserve">global total of 372 (319 to 425) million PSC and </w:t>
      </w:r>
      <w:r w:rsidR="004F0711" w:rsidRPr="004F0711">
        <w:rPr>
          <w:rFonts w:ascii="Times New Roman" w:hAnsi="Times New Roman" w:cs="Times New Roman"/>
          <w:sz w:val="24"/>
          <w:szCs w:val="24"/>
        </w:rPr>
        <w:t>1.2 (1.0 to 1.4) billion</w:t>
      </w:r>
      <w:r w:rsidR="004F0711">
        <w:rPr>
          <w:rFonts w:ascii="Times New Roman" w:hAnsi="Times New Roman" w:cs="Times New Roman"/>
          <w:sz w:val="24"/>
          <w:szCs w:val="24"/>
        </w:rPr>
        <w:t xml:space="preserve"> NPW with MNDs (Table 4).</w:t>
      </w:r>
      <w:r w:rsidR="00645FE9">
        <w:rPr>
          <w:rFonts w:ascii="Times New Roman" w:hAnsi="Times New Roman" w:cs="Times New Roman"/>
          <w:sz w:val="24"/>
          <w:szCs w:val="24"/>
        </w:rPr>
        <w:t xml:space="preserve"> </w:t>
      </w:r>
      <w:r>
        <w:rPr>
          <w:rFonts w:ascii="Times New Roman" w:hAnsi="Times New Roman" w:cs="Times New Roman"/>
          <w:sz w:val="24"/>
          <w:szCs w:val="24"/>
        </w:rPr>
        <w:t>Considering regional population</w:t>
      </w:r>
      <w:r w:rsidR="006E16A7">
        <w:rPr>
          <w:rFonts w:ascii="Times New Roman" w:hAnsi="Times New Roman" w:cs="Times New Roman"/>
          <w:sz w:val="24"/>
          <w:szCs w:val="24"/>
        </w:rPr>
        <w:t>s</w:t>
      </w:r>
      <w:r>
        <w:rPr>
          <w:rFonts w:ascii="Times New Roman" w:hAnsi="Times New Roman" w:cs="Times New Roman"/>
          <w:sz w:val="24"/>
          <w:szCs w:val="24"/>
        </w:rPr>
        <w:t xml:space="preserve">, three quarters of PSC with </w:t>
      </w:r>
      <w:r w:rsidR="008F166E">
        <w:rPr>
          <w:rFonts w:ascii="Times New Roman" w:hAnsi="Times New Roman" w:cs="Times New Roman"/>
          <w:sz w:val="24"/>
          <w:szCs w:val="24"/>
        </w:rPr>
        <w:t>MNDs</w:t>
      </w:r>
      <w:r>
        <w:rPr>
          <w:rFonts w:ascii="Times New Roman" w:hAnsi="Times New Roman" w:cs="Times New Roman"/>
          <w:sz w:val="24"/>
          <w:szCs w:val="24"/>
        </w:rPr>
        <w:t xml:space="preserve"> live in South Asia (99 million, 80 to 118), Sub-Saharan Africa (98 million, 83 to 113), or East Asia and the Pacific (85 million, 61 to 110) (Table 3). Over half (57%) of </w:t>
      </w:r>
      <w:r w:rsidR="007A641A">
        <w:rPr>
          <w:rFonts w:ascii="Times New Roman" w:hAnsi="Times New Roman" w:cs="Times New Roman"/>
          <w:sz w:val="24"/>
          <w:szCs w:val="24"/>
        </w:rPr>
        <w:t>NPW</w:t>
      </w:r>
      <w:r>
        <w:rPr>
          <w:rFonts w:ascii="Times New Roman" w:hAnsi="Times New Roman" w:cs="Times New Roman"/>
          <w:sz w:val="24"/>
          <w:szCs w:val="24"/>
        </w:rPr>
        <w:t xml:space="preserve"> with </w:t>
      </w:r>
      <w:r w:rsidR="006E70FB">
        <w:rPr>
          <w:rFonts w:ascii="Times New Roman" w:hAnsi="Times New Roman" w:cs="Times New Roman"/>
          <w:sz w:val="24"/>
          <w:szCs w:val="24"/>
        </w:rPr>
        <w:t>MNDs</w:t>
      </w:r>
      <w:r>
        <w:rPr>
          <w:rFonts w:ascii="Times New Roman" w:hAnsi="Times New Roman" w:cs="Times New Roman"/>
          <w:sz w:val="24"/>
          <w:szCs w:val="24"/>
        </w:rPr>
        <w:t xml:space="preserve"> live in East Asia and the Pacific (384 million, 279 to 470) or South Asia (307 million, 255 to 351).</w:t>
      </w:r>
    </w:p>
    <w:p w14:paraId="4434BE00" w14:textId="10F416CC" w:rsidR="00FC4407" w:rsidRDefault="00FC4407">
      <w:pPr>
        <w:rPr>
          <w:rFonts w:ascii="Times New Roman" w:hAnsi="Times New Roman" w:cs="Times New Roman"/>
          <w:sz w:val="24"/>
          <w:szCs w:val="24"/>
        </w:rPr>
      </w:pPr>
    </w:p>
    <w:p w14:paraId="7F1B4F92" w14:textId="512E0940" w:rsidR="00FC4407" w:rsidRPr="009C6295" w:rsidRDefault="00FC4407">
      <w:pPr>
        <w:rPr>
          <w:rFonts w:ascii="Times New Roman" w:hAnsi="Times New Roman" w:cs="Times New Roman"/>
          <w:sz w:val="24"/>
          <w:szCs w:val="24"/>
        </w:rPr>
      </w:pPr>
      <w:r w:rsidRPr="000D48EC">
        <w:rPr>
          <w:rFonts w:ascii="Times New Roman" w:hAnsi="Times New Roman" w:cs="Times New Roman"/>
          <w:b/>
          <w:bCs/>
          <w:sz w:val="24"/>
          <w:szCs w:val="24"/>
        </w:rPr>
        <w:t>Discussion</w:t>
      </w:r>
    </w:p>
    <w:p w14:paraId="652C45D1" w14:textId="1D8A86B5" w:rsidR="009A34BC" w:rsidRDefault="009A34BC" w:rsidP="000348CE">
      <w:pPr>
        <w:rPr>
          <w:rFonts w:ascii="Times New Roman" w:hAnsi="Times New Roman" w:cs="Times New Roman"/>
          <w:sz w:val="24"/>
          <w:szCs w:val="24"/>
        </w:rPr>
      </w:pPr>
      <w:r w:rsidRPr="000348CE">
        <w:rPr>
          <w:rFonts w:ascii="Times New Roman" w:hAnsi="Times New Roman" w:cs="Times New Roman"/>
          <w:sz w:val="24"/>
          <w:szCs w:val="24"/>
        </w:rPr>
        <w:t xml:space="preserve">Our analysis suggests that </w:t>
      </w:r>
      <w:r>
        <w:rPr>
          <w:rFonts w:ascii="Times New Roman" w:hAnsi="Times New Roman" w:cs="Times New Roman"/>
          <w:sz w:val="24"/>
          <w:szCs w:val="24"/>
        </w:rPr>
        <w:t>between 2005</w:t>
      </w:r>
      <w:r w:rsidR="006823E0">
        <w:rPr>
          <w:rFonts w:ascii="Times New Roman" w:hAnsi="Times New Roman" w:cs="Times New Roman"/>
          <w:sz w:val="24"/>
          <w:szCs w:val="24"/>
        </w:rPr>
        <w:t>–</w:t>
      </w:r>
      <w:r>
        <w:rPr>
          <w:rFonts w:ascii="Times New Roman" w:hAnsi="Times New Roman" w:cs="Times New Roman"/>
          <w:sz w:val="24"/>
          <w:szCs w:val="24"/>
        </w:rPr>
        <w:t xml:space="preserve">2019 there were </w:t>
      </w:r>
      <w:r w:rsidR="00627717">
        <w:rPr>
          <w:rFonts w:ascii="Times New Roman" w:hAnsi="Times New Roman" w:cs="Times New Roman"/>
          <w:sz w:val="24"/>
          <w:szCs w:val="24"/>
        </w:rPr>
        <w:t>about</w:t>
      </w:r>
      <w:r w:rsidRPr="000348CE">
        <w:rPr>
          <w:rFonts w:ascii="Times New Roman" w:hAnsi="Times New Roman" w:cs="Times New Roman"/>
          <w:sz w:val="24"/>
          <w:szCs w:val="24"/>
        </w:rPr>
        <w:t xml:space="preserve"> 1.6 billion </w:t>
      </w:r>
      <w:r w:rsidR="00BA5F93">
        <w:rPr>
          <w:rFonts w:ascii="Times New Roman" w:hAnsi="Times New Roman" w:cs="Times New Roman"/>
          <w:sz w:val="24"/>
          <w:szCs w:val="24"/>
        </w:rPr>
        <w:t>PSC and NPW with one or more MNDs worldwide</w:t>
      </w:r>
      <w:r w:rsidRPr="000348CE">
        <w:rPr>
          <w:rFonts w:ascii="Times New Roman" w:hAnsi="Times New Roman" w:cs="Times New Roman"/>
          <w:sz w:val="24"/>
          <w:szCs w:val="24"/>
        </w:rPr>
        <w:t>. This number should not be interpreted as a reduction from the previous 2 billion</w:t>
      </w:r>
      <w:r w:rsidR="004A5ACF">
        <w:rPr>
          <w:rFonts w:ascii="Times New Roman" w:hAnsi="Times New Roman" w:cs="Times New Roman"/>
          <w:sz w:val="24"/>
          <w:szCs w:val="24"/>
        </w:rPr>
        <w:t xml:space="preserve"> estimate</w:t>
      </w:r>
      <w:r w:rsidRPr="000348CE">
        <w:rPr>
          <w:rFonts w:ascii="Times New Roman" w:hAnsi="Times New Roman" w:cs="Times New Roman"/>
          <w:sz w:val="24"/>
          <w:szCs w:val="24"/>
        </w:rPr>
        <w:t xml:space="preserve">, </w:t>
      </w:r>
      <w:r w:rsidR="00421E90">
        <w:rPr>
          <w:rFonts w:ascii="Times New Roman" w:hAnsi="Times New Roman" w:cs="Times New Roman"/>
          <w:sz w:val="24"/>
          <w:szCs w:val="24"/>
        </w:rPr>
        <w:t xml:space="preserve">which is over three decades old and was </w:t>
      </w:r>
      <w:r w:rsidR="00DF41DD">
        <w:rPr>
          <w:rFonts w:ascii="Times New Roman" w:hAnsi="Times New Roman" w:cs="Times New Roman"/>
          <w:sz w:val="24"/>
          <w:szCs w:val="24"/>
        </w:rPr>
        <w:t>based on anemia alone</w:t>
      </w:r>
      <w:r w:rsidRPr="000348CE">
        <w:rPr>
          <w:rFonts w:ascii="Times New Roman" w:hAnsi="Times New Roman" w:cs="Times New Roman"/>
          <w:sz w:val="24"/>
          <w:szCs w:val="24"/>
        </w:rPr>
        <w:t xml:space="preserve">. Rather it can be considered a new starting point for global </w:t>
      </w:r>
      <w:r>
        <w:rPr>
          <w:rFonts w:ascii="Times New Roman" w:hAnsi="Times New Roman" w:cs="Times New Roman"/>
          <w:sz w:val="24"/>
          <w:szCs w:val="24"/>
        </w:rPr>
        <w:t>monitoring</w:t>
      </w:r>
      <w:r w:rsidRPr="000348CE">
        <w:rPr>
          <w:rFonts w:ascii="Times New Roman" w:hAnsi="Times New Roman" w:cs="Times New Roman"/>
          <w:sz w:val="24"/>
          <w:szCs w:val="24"/>
        </w:rPr>
        <w:t xml:space="preserve"> of </w:t>
      </w:r>
      <w:r>
        <w:rPr>
          <w:rFonts w:ascii="Times New Roman" w:hAnsi="Times New Roman" w:cs="Times New Roman"/>
          <w:sz w:val="24"/>
          <w:szCs w:val="24"/>
        </w:rPr>
        <w:t>a better-informed estimate</w:t>
      </w:r>
      <w:r w:rsidRPr="000348CE">
        <w:rPr>
          <w:rFonts w:ascii="Times New Roman" w:hAnsi="Times New Roman" w:cs="Times New Roman"/>
          <w:sz w:val="24"/>
          <w:szCs w:val="24"/>
        </w:rPr>
        <w:t xml:space="preserve"> of </w:t>
      </w:r>
      <w:r>
        <w:rPr>
          <w:rFonts w:ascii="Times New Roman" w:hAnsi="Times New Roman" w:cs="Times New Roman"/>
          <w:sz w:val="24"/>
          <w:szCs w:val="24"/>
        </w:rPr>
        <w:t>MNDs</w:t>
      </w:r>
      <w:r w:rsidRPr="000348CE">
        <w:rPr>
          <w:rFonts w:ascii="Times New Roman" w:hAnsi="Times New Roman" w:cs="Times New Roman"/>
          <w:sz w:val="24"/>
          <w:szCs w:val="24"/>
        </w:rPr>
        <w:t xml:space="preserve">. </w:t>
      </w:r>
      <w:r w:rsidR="003A18FF">
        <w:rPr>
          <w:rFonts w:ascii="Times New Roman" w:hAnsi="Times New Roman" w:cs="Times New Roman"/>
          <w:sz w:val="24"/>
          <w:szCs w:val="24"/>
        </w:rPr>
        <w:t>W</w:t>
      </w:r>
      <w:r>
        <w:rPr>
          <w:rFonts w:ascii="Times New Roman" w:hAnsi="Times New Roman" w:cs="Times New Roman"/>
          <w:sz w:val="24"/>
          <w:szCs w:val="24"/>
        </w:rPr>
        <w:t>hen including all age and sex groups</w:t>
      </w:r>
      <w:r w:rsidR="00230329">
        <w:rPr>
          <w:rFonts w:ascii="Times New Roman" w:hAnsi="Times New Roman" w:cs="Times New Roman"/>
          <w:sz w:val="24"/>
          <w:szCs w:val="24"/>
        </w:rPr>
        <w:t>, and</w:t>
      </w:r>
      <w:r>
        <w:rPr>
          <w:rFonts w:ascii="Times New Roman" w:hAnsi="Times New Roman" w:cs="Times New Roman"/>
          <w:sz w:val="24"/>
          <w:szCs w:val="24"/>
        </w:rPr>
        <w:t xml:space="preserve"> all essential </w:t>
      </w:r>
      <w:r>
        <w:rPr>
          <w:rFonts w:ascii="Times New Roman" w:hAnsi="Times New Roman" w:cs="Times New Roman"/>
          <w:sz w:val="24"/>
          <w:szCs w:val="24"/>
        </w:rPr>
        <w:lastRenderedPageBreak/>
        <w:t>micronutrients, the actual number of people with MNDs worldwide is likely well over 2 billion.</w:t>
      </w:r>
    </w:p>
    <w:p w14:paraId="0B000FDB" w14:textId="77777777" w:rsidR="009A34BC" w:rsidRDefault="009A34BC" w:rsidP="000348CE">
      <w:pPr>
        <w:rPr>
          <w:rFonts w:ascii="Times New Roman" w:hAnsi="Times New Roman" w:cs="Times New Roman"/>
          <w:sz w:val="24"/>
          <w:szCs w:val="24"/>
        </w:rPr>
      </w:pPr>
    </w:p>
    <w:p w14:paraId="75DD4CB6" w14:textId="64A159EB" w:rsidR="00A157C5" w:rsidRDefault="006626B9" w:rsidP="000348CE">
      <w:pPr>
        <w:rPr>
          <w:rFonts w:ascii="Times New Roman" w:hAnsi="Times New Roman" w:cs="Times New Roman"/>
          <w:sz w:val="24"/>
          <w:szCs w:val="24"/>
        </w:rPr>
      </w:pPr>
      <w:r>
        <w:rPr>
          <w:rFonts w:ascii="Times New Roman" w:hAnsi="Times New Roman" w:cs="Times New Roman"/>
          <w:sz w:val="24"/>
          <w:szCs w:val="24"/>
        </w:rPr>
        <w:t>Robust e</w:t>
      </w:r>
      <w:r w:rsidR="000348CE" w:rsidRPr="000348CE">
        <w:rPr>
          <w:rFonts w:ascii="Times New Roman" w:hAnsi="Times New Roman" w:cs="Times New Roman"/>
          <w:sz w:val="24"/>
          <w:szCs w:val="24"/>
        </w:rPr>
        <w:t xml:space="preserve">stimates of the global burden of </w:t>
      </w:r>
      <w:r w:rsidR="00DB4F44">
        <w:rPr>
          <w:rFonts w:ascii="Times New Roman" w:hAnsi="Times New Roman" w:cs="Times New Roman"/>
          <w:sz w:val="24"/>
          <w:szCs w:val="24"/>
        </w:rPr>
        <w:t>under</w:t>
      </w:r>
      <w:r w:rsidR="000348CE" w:rsidRPr="000348CE">
        <w:rPr>
          <w:rFonts w:ascii="Times New Roman" w:hAnsi="Times New Roman" w:cs="Times New Roman"/>
          <w:sz w:val="24"/>
          <w:szCs w:val="24"/>
        </w:rPr>
        <w:t xml:space="preserve">nutrition and </w:t>
      </w:r>
      <w:r w:rsidR="00D24BD7">
        <w:rPr>
          <w:rFonts w:ascii="Times New Roman" w:hAnsi="Times New Roman" w:cs="Times New Roman"/>
          <w:sz w:val="24"/>
          <w:szCs w:val="24"/>
        </w:rPr>
        <w:t xml:space="preserve">related </w:t>
      </w:r>
      <w:r w:rsidR="000348CE" w:rsidRPr="000348CE">
        <w:rPr>
          <w:rFonts w:ascii="Times New Roman" w:hAnsi="Times New Roman" w:cs="Times New Roman"/>
          <w:sz w:val="24"/>
          <w:szCs w:val="24"/>
        </w:rPr>
        <w:t xml:space="preserve">health issues are </w:t>
      </w:r>
      <w:r w:rsidR="00CC290B">
        <w:rPr>
          <w:rFonts w:ascii="Times New Roman" w:hAnsi="Times New Roman" w:cs="Times New Roman"/>
          <w:sz w:val="24"/>
          <w:szCs w:val="24"/>
        </w:rPr>
        <w:t>essential for</w:t>
      </w:r>
      <w:r w:rsidR="000348CE" w:rsidRPr="000348CE">
        <w:rPr>
          <w:rFonts w:ascii="Times New Roman" w:hAnsi="Times New Roman" w:cs="Times New Roman"/>
          <w:sz w:val="24"/>
          <w:szCs w:val="24"/>
        </w:rPr>
        <w:t xml:space="preserve"> advocacy, policy making</w:t>
      </w:r>
      <w:r w:rsidR="000423F2">
        <w:rPr>
          <w:rFonts w:ascii="Times New Roman" w:hAnsi="Times New Roman" w:cs="Times New Roman"/>
          <w:sz w:val="24"/>
          <w:szCs w:val="24"/>
        </w:rPr>
        <w:t>,</w:t>
      </w:r>
      <w:r w:rsidR="000348CE" w:rsidRPr="000348CE">
        <w:rPr>
          <w:rFonts w:ascii="Times New Roman" w:hAnsi="Times New Roman" w:cs="Times New Roman"/>
          <w:sz w:val="24"/>
          <w:szCs w:val="24"/>
        </w:rPr>
        <w:t xml:space="preserve"> and priority setting </w:t>
      </w:r>
      <w:r w:rsidR="00CC290B">
        <w:rPr>
          <w:rFonts w:ascii="Times New Roman" w:hAnsi="Times New Roman" w:cs="Times New Roman"/>
          <w:sz w:val="24"/>
          <w:szCs w:val="24"/>
        </w:rPr>
        <w:t>by</w:t>
      </w:r>
      <w:r w:rsidR="000348CE" w:rsidRPr="000348CE">
        <w:rPr>
          <w:rFonts w:ascii="Times New Roman" w:hAnsi="Times New Roman" w:cs="Times New Roman"/>
          <w:sz w:val="24"/>
          <w:szCs w:val="24"/>
        </w:rPr>
        <w:t xml:space="preserve"> donors and policy makers alike, and in some instances can be used to track progress towards global goals. </w:t>
      </w:r>
      <w:r w:rsidR="00DE5514">
        <w:rPr>
          <w:rFonts w:ascii="Times New Roman" w:hAnsi="Times New Roman" w:cs="Times New Roman"/>
          <w:sz w:val="24"/>
          <w:szCs w:val="24"/>
        </w:rPr>
        <w:t>However, t</w:t>
      </w:r>
      <w:r w:rsidR="000348CE" w:rsidRPr="000348CE">
        <w:rPr>
          <w:rFonts w:ascii="Times New Roman" w:hAnsi="Times New Roman" w:cs="Times New Roman"/>
          <w:sz w:val="24"/>
          <w:szCs w:val="24"/>
        </w:rPr>
        <w:t xml:space="preserve">o </w:t>
      </w:r>
      <w:r w:rsidR="00DE5514">
        <w:rPr>
          <w:rFonts w:ascii="Times New Roman" w:hAnsi="Times New Roman" w:cs="Times New Roman"/>
          <w:sz w:val="24"/>
          <w:szCs w:val="24"/>
        </w:rPr>
        <w:t xml:space="preserve">better </w:t>
      </w:r>
      <w:r w:rsidR="00B32118">
        <w:rPr>
          <w:rFonts w:ascii="Times New Roman" w:hAnsi="Times New Roman" w:cs="Times New Roman"/>
          <w:sz w:val="24"/>
          <w:szCs w:val="24"/>
        </w:rPr>
        <w:t>meet</w:t>
      </w:r>
      <w:r w:rsidR="000348CE" w:rsidRPr="000348CE">
        <w:rPr>
          <w:rFonts w:ascii="Times New Roman" w:hAnsi="Times New Roman" w:cs="Times New Roman"/>
          <w:sz w:val="24"/>
          <w:szCs w:val="24"/>
        </w:rPr>
        <w:t xml:space="preserve"> these objectives</w:t>
      </w:r>
      <w:r w:rsidR="006A43DC">
        <w:rPr>
          <w:rFonts w:ascii="Times New Roman" w:hAnsi="Times New Roman" w:cs="Times New Roman"/>
          <w:sz w:val="24"/>
          <w:szCs w:val="24"/>
        </w:rPr>
        <w:t>,</w:t>
      </w:r>
      <w:r w:rsidR="000348CE" w:rsidRPr="000348CE">
        <w:rPr>
          <w:rFonts w:ascii="Times New Roman" w:hAnsi="Times New Roman" w:cs="Times New Roman"/>
          <w:sz w:val="24"/>
          <w:szCs w:val="24"/>
        </w:rPr>
        <w:t xml:space="preserve"> estimates should be accurate,</w:t>
      </w:r>
      <w:r w:rsidR="001443E4">
        <w:rPr>
          <w:rFonts w:ascii="Times New Roman" w:hAnsi="Times New Roman" w:cs="Times New Roman"/>
          <w:sz w:val="24"/>
          <w:szCs w:val="24"/>
        </w:rPr>
        <w:t xml:space="preserve"> representative,</w:t>
      </w:r>
      <w:r w:rsidR="000348CE" w:rsidRPr="000348CE">
        <w:rPr>
          <w:rFonts w:ascii="Times New Roman" w:hAnsi="Times New Roman" w:cs="Times New Roman"/>
          <w:sz w:val="24"/>
          <w:szCs w:val="24"/>
        </w:rPr>
        <w:t xml:space="preserve"> and reliable</w:t>
      </w:r>
      <w:r w:rsidR="00CE72B6">
        <w:rPr>
          <w:rFonts w:ascii="Times New Roman" w:hAnsi="Times New Roman" w:cs="Times New Roman"/>
          <w:sz w:val="24"/>
          <w:szCs w:val="24"/>
        </w:rPr>
        <w:t xml:space="preserve">, which requires an increased investment in monitoring of micronutrient </w:t>
      </w:r>
      <w:r w:rsidR="00FD3C6E">
        <w:rPr>
          <w:rFonts w:ascii="Times New Roman" w:hAnsi="Times New Roman" w:cs="Times New Roman"/>
          <w:sz w:val="24"/>
          <w:szCs w:val="24"/>
        </w:rPr>
        <w:t xml:space="preserve">status </w:t>
      </w:r>
      <w:r w:rsidR="00CE72B6">
        <w:rPr>
          <w:rFonts w:ascii="Times New Roman" w:hAnsi="Times New Roman" w:cs="Times New Roman"/>
          <w:sz w:val="24"/>
          <w:szCs w:val="24"/>
        </w:rPr>
        <w:t>biomarkers</w:t>
      </w:r>
      <w:r w:rsidR="0044435F">
        <w:rPr>
          <w:rFonts w:ascii="Times New Roman" w:hAnsi="Times New Roman" w:cs="Times New Roman"/>
          <w:sz w:val="24"/>
          <w:szCs w:val="24"/>
        </w:rPr>
        <w:t xml:space="preserve">. </w:t>
      </w:r>
      <w:r w:rsidR="000348CE" w:rsidRPr="000348CE">
        <w:rPr>
          <w:rFonts w:ascii="Times New Roman" w:hAnsi="Times New Roman" w:cs="Times New Roman"/>
          <w:sz w:val="24"/>
          <w:szCs w:val="24"/>
        </w:rPr>
        <w:t>To track progress over time, estimates must also be updated periodically using comparable method</w:t>
      </w:r>
      <w:r w:rsidR="00AC7D4C">
        <w:rPr>
          <w:rFonts w:ascii="Times New Roman" w:hAnsi="Times New Roman" w:cs="Times New Roman"/>
          <w:sz w:val="24"/>
          <w:szCs w:val="24"/>
        </w:rPr>
        <w:t>s</w:t>
      </w:r>
      <w:r w:rsidR="000348CE" w:rsidRPr="000348CE">
        <w:rPr>
          <w:rFonts w:ascii="Times New Roman" w:hAnsi="Times New Roman" w:cs="Times New Roman"/>
          <w:sz w:val="24"/>
          <w:szCs w:val="24"/>
        </w:rPr>
        <w:t>, or at minimum, a transparent approach that critically reviews implications of any difference in assumptions or methodology.</w:t>
      </w:r>
    </w:p>
    <w:p w14:paraId="0BCC211C" w14:textId="77777777" w:rsidR="000348CE" w:rsidRDefault="000348CE" w:rsidP="000348CE">
      <w:pPr>
        <w:rPr>
          <w:rFonts w:ascii="Times New Roman" w:hAnsi="Times New Roman" w:cs="Times New Roman"/>
          <w:sz w:val="24"/>
          <w:szCs w:val="24"/>
        </w:rPr>
      </w:pPr>
    </w:p>
    <w:p w14:paraId="0C332D79" w14:textId="5644DE58" w:rsidR="00A53041" w:rsidRDefault="000348CE" w:rsidP="00523553">
      <w:pPr>
        <w:rPr>
          <w:rFonts w:ascii="Times New Roman" w:hAnsi="Times New Roman" w:cs="Times New Roman"/>
          <w:sz w:val="24"/>
          <w:szCs w:val="24"/>
        </w:rPr>
      </w:pPr>
      <w:r w:rsidRPr="000348CE">
        <w:rPr>
          <w:rFonts w:ascii="Times New Roman" w:hAnsi="Times New Roman" w:cs="Times New Roman"/>
          <w:sz w:val="24"/>
          <w:szCs w:val="24"/>
        </w:rPr>
        <w:t>Our analytical approach</w:t>
      </w:r>
      <w:r w:rsidR="000F6FD0">
        <w:rPr>
          <w:rFonts w:ascii="Times New Roman" w:hAnsi="Times New Roman" w:cs="Times New Roman"/>
          <w:sz w:val="24"/>
          <w:szCs w:val="24"/>
        </w:rPr>
        <w:t xml:space="preserve"> to estimating the global prevalence of MNDs among </w:t>
      </w:r>
      <w:r w:rsidR="00FF1225">
        <w:rPr>
          <w:rFonts w:ascii="Times New Roman" w:hAnsi="Times New Roman" w:cs="Times New Roman"/>
          <w:sz w:val="24"/>
          <w:szCs w:val="24"/>
        </w:rPr>
        <w:t xml:space="preserve">PSC and </w:t>
      </w:r>
      <w:r w:rsidR="007A641A">
        <w:rPr>
          <w:rFonts w:ascii="Times New Roman" w:hAnsi="Times New Roman" w:cs="Times New Roman"/>
          <w:sz w:val="24"/>
          <w:szCs w:val="24"/>
        </w:rPr>
        <w:t>NPW</w:t>
      </w:r>
      <w:r w:rsidR="00CF4133">
        <w:rPr>
          <w:rFonts w:ascii="Times New Roman" w:hAnsi="Times New Roman" w:cs="Times New Roman"/>
          <w:sz w:val="24"/>
          <w:szCs w:val="24"/>
        </w:rPr>
        <w:t xml:space="preserve"> </w:t>
      </w:r>
      <w:r w:rsidRPr="000348CE">
        <w:rPr>
          <w:rFonts w:ascii="Times New Roman" w:hAnsi="Times New Roman" w:cs="Times New Roman"/>
          <w:sz w:val="24"/>
          <w:szCs w:val="24"/>
        </w:rPr>
        <w:t xml:space="preserve">has important strengths. First, </w:t>
      </w:r>
      <w:r w:rsidR="00EF4FF1" w:rsidRPr="000348CE">
        <w:rPr>
          <w:rFonts w:ascii="Times New Roman" w:hAnsi="Times New Roman" w:cs="Times New Roman"/>
          <w:sz w:val="24"/>
          <w:szCs w:val="24"/>
          <w:lang w:val="en-GB"/>
        </w:rPr>
        <w:t xml:space="preserve">we </w:t>
      </w:r>
      <w:r w:rsidR="00EF4FF1">
        <w:rPr>
          <w:rFonts w:ascii="Times New Roman" w:hAnsi="Times New Roman" w:cs="Times New Roman"/>
          <w:sz w:val="24"/>
          <w:szCs w:val="24"/>
          <w:lang w:val="en-GB"/>
        </w:rPr>
        <w:t xml:space="preserve">relied on </w:t>
      </w:r>
      <w:r w:rsidR="0049045A">
        <w:rPr>
          <w:rFonts w:ascii="Times New Roman" w:hAnsi="Times New Roman" w:cs="Times New Roman"/>
          <w:sz w:val="24"/>
          <w:szCs w:val="24"/>
          <w:lang w:val="en-GB"/>
        </w:rPr>
        <w:t xml:space="preserve">individual-level data of </w:t>
      </w:r>
      <w:r w:rsidR="00EF4FF1">
        <w:rPr>
          <w:rFonts w:ascii="Times New Roman" w:hAnsi="Times New Roman" w:cs="Times New Roman"/>
          <w:sz w:val="24"/>
          <w:szCs w:val="24"/>
          <w:lang w:val="en-GB"/>
        </w:rPr>
        <w:t xml:space="preserve">direct measurement of micronutrient </w:t>
      </w:r>
      <w:r w:rsidR="00A522C1">
        <w:rPr>
          <w:rFonts w:ascii="Times New Roman" w:hAnsi="Times New Roman" w:cs="Times New Roman"/>
          <w:sz w:val="24"/>
          <w:szCs w:val="24"/>
          <w:lang w:val="en-GB"/>
        </w:rPr>
        <w:t xml:space="preserve">status </w:t>
      </w:r>
      <w:r w:rsidR="00EF4FF1">
        <w:rPr>
          <w:rFonts w:ascii="Times New Roman" w:hAnsi="Times New Roman" w:cs="Times New Roman"/>
          <w:sz w:val="24"/>
          <w:szCs w:val="24"/>
          <w:lang w:val="en-GB"/>
        </w:rPr>
        <w:t>biomarkers</w:t>
      </w:r>
      <w:r w:rsidR="00EF4FF1">
        <w:rPr>
          <w:rFonts w:ascii="Times New Roman" w:hAnsi="Times New Roman" w:cs="Times New Roman"/>
          <w:sz w:val="24"/>
          <w:szCs w:val="24"/>
        </w:rPr>
        <w:t xml:space="preserve">. </w:t>
      </w:r>
      <w:r w:rsidR="00EF4FF1" w:rsidRPr="000348CE">
        <w:rPr>
          <w:rFonts w:ascii="Times New Roman" w:hAnsi="Times New Roman" w:cs="Times New Roman"/>
          <w:sz w:val="24"/>
          <w:szCs w:val="24"/>
          <w:lang w:val="en-GB"/>
        </w:rPr>
        <w:t xml:space="preserve">Previous efforts to estimate the burden of micronutrient malnutrition </w:t>
      </w:r>
      <w:r w:rsidR="00EF4FF1" w:rsidRPr="000348CE">
        <w:rPr>
          <w:rFonts w:ascii="Times New Roman" w:hAnsi="Times New Roman" w:cs="Times New Roman"/>
          <w:sz w:val="24"/>
          <w:szCs w:val="24"/>
        </w:rPr>
        <w:t xml:space="preserve">have used </w:t>
      </w:r>
      <w:r w:rsidR="00A259BA">
        <w:rPr>
          <w:rFonts w:ascii="Times New Roman" w:hAnsi="Times New Roman" w:cs="Times New Roman"/>
          <w:sz w:val="24"/>
          <w:szCs w:val="24"/>
        </w:rPr>
        <w:t>proxy measures (</w:t>
      </w:r>
      <w:proofErr w:type="spellStart"/>
      <w:r w:rsidR="008E0FEA">
        <w:rPr>
          <w:rFonts w:ascii="Times New Roman" w:hAnsi="Times New Roman" w:cs="Times New Roman"/>
          <w:sz w:val="24"/>
          <w:szCs w:val="24"/>
        </w:rPr>
        <w:t>eg</w:t>
      </w:r>
      <w:proofErr w:type="spellEnd"/>
      <w:r w:rsidR="00A259BA">
        <w:rPr>
          <w:rFonts w:ascii="Times New Roman" w:hAnsi="Times New Roman" w:cs="Times New Roman"/>
          <w:sz w:val="24"/>
          <w:szCs w:val="24"/>
        </w:rPr>
        <w:t xml:space="preserve">, </w:t>
      </w:r>
      <w:r w:rsidR="00B91FB3">
        <w:rPr>
          <w:rFonts w:ascii="Times New Roman" w:hAnsi="Times New Roman" w:cs="Times New Roman"/>
          <w:sz w:val="24"/>
          <w:szCs w:val="24"/>
        </w:rPr>
        <w:t xml:space="preserve">food availability data or </w:t>
      </w:r>
      <w:r w:rsidR="00A259BA">
        <w:rPr>
          <w:rFonts w:ascii="Times New Roman" w:hAnsi="Times New Roman" w:cs="Times New Roman"/>
          <w:sz w:val="24"/>
          <w:szCs w:val="24"/>
        </w:rPr>
        <w:t xml:space="preserve">stunting </w:t>
      </w:r>
      <w:r w:rsidR="00C071BD">
        <w:rPr>
          <w:rFonts w:ascii="Times New Roman" w:hAnsi="Times New Roman" w:cs="Times New Roman"/>
          <w:sz w:val="24"/>
          <w:szCs w:val="24"/>
        </w:rPr>
        <w:t xml:space="preserve">prevalence </w:t>
      </w:r>
      <w:r w:rsidR="00A259BA">
        <w:rPr>
          <w:rFonts w:ascii="Times New Roman" w:hAnsi="Times New Roman" w:cs="Times New Roman"/>
          <w:sz w:val="24"/>
          <w:szCs w:val="24"/>
        </w:rPr>
        <w:t xml:space="preserve">for zinc deficiency) or </w:t>
      </w:r>
      <w:r w:rsidR="00EF4FF1" w:rsidRPr="000348CE">
        <w:rPr>
          <w:rFonts w:ascii="Times New Roman" w:hAnsi="Times New Roman" w:cs="Times New Roman"/>
          <w:sz w:val="24"/>
          <w:szCs w:val="24"/>
        </w:rPr>
        <w:t>standardized adjustment factors to estimate the proportion of anemia due to iron deficiency, usually 50</w:t>
      </w:r>
      <w:r w:rsidR="00EF4FF1">
        <w:rPr>
          <w:rFonts w:ascii="Times New Roman" w:hAnsi="Times New Roman" w:cs="Times New Roman"/>
          <w:sz w:val="24"/>
          <w:szCs w:val="24"/>
        </w:rPr>
        <w:t>%</w:t>
      </w:r>
      <w:r w:rsidR="00EF4FF1" w:rsidRPr="000348CE">
        <w:rPr>
          <w:rFonts w:ascii="Times New Roman" w:hAnsi="Times New Roman" w:cs="Times New Roman"/>
          <w:sz w:val="24"/>
          <w:szCs w:val="24"/>
        </w:rPr>
        <w:fldChar w:fldCharType="begin"/>
      </w:r>
      <w:r w:rsidR="001D108C">
        <w:rPr>
          <w:rFonts w:ascii="Times New Roman" w:hAnsi="Times New Roman" w:cs="Times New Roman"/>
          <w:sz w:val="24"/>
          <w:szCs w:val="24"/>
        </w:rPr>
        <w:instrText xml:space="preserve"> ADDIN ZOTERO_ITEM CSL_CITATION {"citationID":"fNZpAFbW","properties":{"formattedCitation":"\\super 29\\nosupersub{}","plainCitation":"29","noteIndex":0},"citationItems":[{"id":"2a68pk1S/GMCzh8BQ","uris":["http://zotero.org/users/local/sGQfZxi7/items/KCX9FWBX"],"uri":["http://zotero.org/users/local/sGQfZxi7/items/KCX9FWBX"],"itemData":{"id":2952,"type":"book","abstract":"Micronutrient malnutrition affects approximately 2 billion people worldwide. The adverse effects of micronutrient deficiencies are profound and include premature death, poor health, blindness, growth stunting, mental retardation, learning disabilities, and low work capacity. Preventing Micronutrient Deficiencies provides a conceptual framework based on past experience that will allow funders to tailor programs to existing regional/country capabilities and to incorporate within these programs the capacity to address multiple strategies (i.e., supplementation/fortification/food-based approaches/public health measures) and multiple micronutrient deficiencies.","event-place":"Washington, DC","language":"en","note":"PMID: 25101378\nDOI: 10.17226/5962","publisher":"National Academies Press (US)","publisher-place":"Washington, DC","source":"www.ncbi.nlm.nih.gov","title":"Prevention of Micronutrient Deficiencies:  Tools for policmakers and public health workers","URL":"https://www.ncbi.nlm.nih.gov/books/NBK230107/","editor":[{"family":"Howson","given":"Christopher P."},{"family":"Kennedy","given":"Eileen T."},{"family":"Horwitz","given":"Abraham"}],"issued":{"date-parts":[["1998"]]}}}],"schema":"https://github.com/citation-style-language/schema/raw/master/csl-citation.json"} </w:instrText>
      </w:r>
      <w:r w:rsidR="00EF4FF1" w:rsidRPr="000348CE">
        <w:rPr>
          <w:rFonts w:ascii="Times New Roman" w:hAnsi="Times New Roman" w:cs="Times New Roman"/>
          <w:sz w:val="24"/>
          <w:szCs w:val="24"/>
        </w:rPr>
        <w:fldChar w:fldCharType="separate"/>
      </w:r>
      <w:r w:rsidR="001D108C" w:rsidRPr="001D108C">
        <w:rPr>
          <w:rFonts w:ascii="Times New Roman" w:hAnsi="Times New Roman" w:cs="Times New Roman"/>
          <w:color w:val="000000"/>
          <w:sz w:val="24"/>
          <w:vertAlign w:val="superscript"/>
        </w:rPr>
        <w:t>29</w:t>
      </w:r>
      <w:r w:rsidR="00EF4FF1" w:rsidRPr="000348CE">
        <w:rPr>
          <w:rFonts w:ascii="Times New Roman" w:hAnsi="Times New Roman" w:cs="Times New Roman"/>
          <w:sz w:val="24"/>
          <w:szCs w:val="24"/>
        </w:rPr>
        <w:fldChar w:fldCharType="end"/>
      </w:r>
      <w:r w:rsidR="00EF4FF1" w:rsidRPr="000348CE">
        <w:rPr>
          <w:rFonts w:ascii="Times New Roman" w:hAnsi="Times New Roman" w:cs="Times New Roman"/>
          <w:sz w:val="24"/>
          <w:szCs w:val="24"/>
        </w:rPr>
        <w:t xml:space="preserve"> or 60%</w:t>
      </w:r>
      <w:r w:rsidR="00A71D61">
        <w:rPr>
          <w:rFonts w:ascii="Times New Roman" w:hAnsi="Times New Roman" w:cs="Times New Roman"/>
          <w:sz w:val="24"/>
          <w:szCs w:val="24"/>
        </w:rPr>
        <w:t>,</w:t>
      </w:r>
      <w:r w:rsidR="00EF4FF1" w:rsidRPr="000348CE">
        <w:rPr>
          <w:rFonts w:ascii="Times New Roman" w:hAnsi="Times New Roman" w:cs="Times New Roman"/>
          <w:sz w:val="24"/>
          <w:szCs w:val="24"/>
        </w:rPr>
        <w:fldChar w:fldCharType="begin"/>
      </w:r>
      <w:r w:rsidR="001D108C">
        <w:rPr>
          <w:rFonts w:ascii="Times New Roman" w:hAnsi="Times New Roman" w:cs="Times New Roman"/>
          <w:sz w:val="24"/>
          <w:szCs w:val="24"/>
        </w:rPr>
        <w:instrText xml:space="preserve"> ADDIN ZOTERO_ITEM CSL_CITATION {"citationID":"bYzo0LPW","properties":{"formattedCitation":"\\super 30\\nosupersub{}","plainCitation":"30","noteIndex":0},"citationItems":[{"id":"2a68pk1S/DImkYIPL","uris":["http://zotero.org/users/local/sGQfZxi7/items/8LCBIW9W"],"uri":["http://zotero.org/users/local/sGQfZxi7/items/8LCBIW9W"],"itemData":{"id":2955,"type":"article-journal","abstract":"The unified global efforts to mitigate the high burden of vitamin and mineral deficiency, known as hidden hunger, in populations around the world are crucial to the achievement of most of the Millennium Development Goals (MDGs). We developed indices and maps of global hidden hunger to help prioritize program assistance, and to serve as an evidence-based global advocacy tool. Two types of hidden hunger indices and maps were created based on i) national prevalence data on stunting, anemia due to iron deficiency, and low serum retinol levels among preschool-aged children in 149 countries; and ii) estimates of Disability Adjusted Life Years (DALYs) attributed to micronutrient deficiencies in 136 countries. A number of countries in sub-Saharan Africa, as well as India and Afghanistan, had an alarmingly high level of hidden hunger, with stunting, iron deficiency anemia, and vitamin A deficiency all being highly prevalent. The total DALY rates per 100,000 population, attributed to micronutrient deficiencies, were generally the highest in sub-Saharan African countries. In 36 countries, home to 90% of the world’s stunted children, deficiencies of micronutrients were responsible for 1.5-12% of the total DALYs. The pattern and magnitude of iodine deficiency did not conform to that of other micronutrients. The greatest proportions of children with iodine deficiency were in the Eastern Mediterranean (46.6%), European (44.2%), and African (40.4%) regions. The current indices and maps provide crucial data to optimize the prioritization of program assistance addressing global multiple micronutrient deficiencies. Moreover, the indices and maps serve as a useful advocacy tool in the call for increased commitments to scale up effective nutrition interventions.","container-title":"PLOS ONE","DOI":"10.1371/journal.pone.0067860","ISSN":"1932-6203","issue":"6","journalAbbreviation":"PLOS ONE","language":"en","note":"publisher: Public Library of Science","page":"e67860","source":"journals.plos.org","title":"The Global Hidden Hunger Indices and Maps: An Advocacy Tool for Action","title-short":"The Global Hidden Hunger Indices and Maps","volume":"8","author":[{"family":"Muthayya","given":"Sumithra"},{"family":"Rah","given":"Jee Hyun"},{"family":"Sugimoto","given":"Jonathan D."},{"family":"Roos","given":"Franz F."},{"family":"Kraemer","given":"Klaus"},{"family":"Black","given":"Robert E."}],"issued":{"date-parts":[["2013",6,12]]}}}],"schema":"https://github.com/citation-style-language/schema/raw/master/csl-citation.json"} </w:instrText>
      </w:r>
      <w:r w:rsidR="00EF4FF1" w:rsidRPr="000348CE">
        <w:rPr>
          <w:rFonts w:ascii="Times New Roman" w:hAnsi="Times New Roman" w:cs="Times New Roman"/>
          <w:sz w:val="24"/>
          <w:szCs w:val="24"/>
        </w:rPr>
        <w:fldChar w:fldCharType="separate"/>
      </w:r>
      <w:r w:rsidR="001D108C" w:rsidRPr="001D108C">
        <w:rPr>
          <w:rFonts w:ascii="Times New Roman" w:hAnsi="Times New Roman" w:cs="Times New Roman"/>
          <w:color w:val="000000"/>
          <w:sz w:val="24"/>
          <w:vertAlign w:val="superscript"/>
        </w:rPr>
        <w:t>30</w:t>
      </w:r>
      <w:r w:rsidR="00EF4FF1" w:rsidRPr="000348CE">
        <w:rPr>
          <w:rFonts w:ascii="Times New Roman" w:hAnsi="Times New Roman" w:cs="Times New Roman"/>
          <w:sz w:val="24"/>
          <w:szCs w:val="24"/>
        </w:rPr>
        <w:fldChar w:fldCharType="end"/>
      </w:r>
      <w:r w:rsidR="00A259BA">
        <w:rPr>
          <w:rFonts w:ascii="Times New Roman" w:hAnsi="Times New Roman" w:cs="Times New Roman"/>
          <w:sz w:val="24"/>
          <w:szCs w:val="24"/>
        </w:rPr>
        <w:t xml:space="preserve"> </w:t>
      </w:r>
      <w:r w:rsidR="00EF4FF1">
        <w:rPr>
          <w:rFonts w:ascii="Times New Roman" w:hAnsi="Times New Roman" w:cs="Times New Roman"/>
          <w:sz w:val="24"/>
          <w:szCs w:val="24"/>
        </w:rPr>
        <w:t>which may not be appropriate.</w:t>
      </w:r>
      <w:r w:rsidR="00EF4FF1" w:rsidRPr="000348CE">
        <w:rPr>
          <w:rFonts w:ascii="Times New Roman" w:hAnsi="Times New Roman" w:cs="Times New Roman"/>
          <w:sz w:val="24"/>
          <w:szCs w:val="24"/>
        </w:rPr>
        <w:fldChar w:fldCharType="begin"/>
      </w:r>
      <w:r w:rsidR="00D25493">
        <w:rPr>
          <w:rFonts w:ascii="Times New Roman" w:hAnsi="Times New Roman" w:cs="Times New Roman"/>
          <w:sz w:val="24"/>
          <w:szCs w:val="24"/>
        </w:rPr>
        <w:instrText xml:space="preserve"> ADDIN ZOTERO_ITEM CSL_CITATION {"citationID":"7WoEvHqm","properties":{"formattedCitation":"\\super 3\\nosupersub{}","plainCitation":"3","noteIndex":0},"citationItems":[{"id":"2a68pk1S/i8XrzJVe","uris":["http://zotero.org/users/6692154/items/DZLG5CQU"],"uri":["http://zotero.org/users/6692154/items/DZLG5CQU"],"itemData":{"id":"2a68pk1S/i8XrzJVe","type":"article-journal","abstract":"Iron deficiency is commonly assumed to cause half of all cases of anemias, with hereditary blood disorders and infections such as hookworm and malaria being the other major causes. In countries ranked as low, medium, and high by the Human Development Index, we conducted a systematic review of nationally representative surveys that reported the prevalence of iron deficiency, iron deficiency anemia, and anemia among pre-school children and non-pregnant women of reproductive age. Using random effects meta-analyses techniques, data from 23 countries for pre-school children and non-pregnant women of reproductive age was pooled, and the proportion of anemia attributable to iron deficiency was estimated by region, inflammation exposure, anemia prevalence, and urban/rural setting. For pre-school children and non-pregnant women of reproductive age, the proportion of anemia associated with iron deficiency was 25.0% (95% CI: 18.0, 32.0) and 37.0% (95% CI: 28.0, 46.0), respectively. The proportion of anemia associated with iron deficiency was lower in countries where anemia prevalence was &gt;40%, especially in rural populations (14% for pre-school children; 16% for non-pregnant women of reproductive age), and in countries with very high inflammation exposure (20% for pre-school children; 25% for non-pregnant women of reproductive age). Despite large heterogeneity, our analyses suggest that the proportion of anemia associated with iron deficiency is lower than the previously assumed 50% in countries with low, medium, or high Human Development Index ranking. Anemia-reduction strategies and programs should be based on an analysis of country-specific data, as iron deficiency may not always be the key determinant of anemia.","archive":"PubMed","archive_location":"27827838","container-title":"Nutrients","DOI":"10.3390/nu8110693","ISSN":"2072-6643","issue":"11","journalAbbreviation":"Nutrients","language":"eng","note":"publisher: MDPI","page":"693","title":"The Proportion of Anemia Associated with Iron Deficiency in Low, Medium, and High Human Development Index Countries: A Systematic Analysis of National Surveys","volume":"8","author":[{"family":"Petry","given":"Nicolai"},{"family":"Olofin","given":"Ibironke"},{"family":"Hurrell","given":"Richard F"},{"family":"Boy","given":"Erick"},{"family":"Wirth","given":"James P"},{"family":"Moursi","given":"Mourad"},{"family":"Donahue Angel","given":"Moira"},{"family":"Rohner","given":"Fabian"}],"issued":{"date-parts":[["2016",11,2]]}}}],"schema":"https://github.com/citation-style-language/schema/raw/master/csl-citation.json"} </w:instrText>
      </w:r>
      <w:r w:rsidR="00EF4FF1" w:rsidRPr="000348CE">
        <w:rPr>
          <w:rFonts w:ascii="Times New Roman" w:hAnsi="Times New Roman" w:cs="Times New Roman"/>
          <w:sz w:val="24"/>
          <w:szCs w:val="24"/>
        </w:rPr>
        <w:fldChar w:fldCharType="separate"/>
      </w:r>
      <w:r w:rsidR="00D25493" w:rsidRPr="00D25493">
        <w:rPr>
          <w:rFonts w:ascii="Times New Roman" w:hAnsi="Times New Roman" w:cs="Times New Roman"/>
          <w:color w:val="000000"/>
          <w:sz w:val="24"/>
          <w:vertAlign w:val="superscript"/>
        </w:rPr>
        <w:t>3</w:t>
      </w:r>
      <w:r w:rsidR="00EF4FF1" w:rsidRPr="000348CE">
        <w:rPr>
          <w:rFonts w:ascii="Times New Roman" w:hAnsi="Times New Roman" w:cs="Times New Roman"/>
          <w:sz w:val="24"/>
          <w:szCs w:val="24"/>
        </w:rPr>
        <w:fldChar w:fldCharType="end"/>
      </w:r>
      <w:r w:rsidR="00EF4FF1">
        <w:rPr>
          <w:rFonts w:ascii="Times New Roman" w:hAnsi="Times New Roman" w:cs="Times New Roman"/>
          <w:sz w:val="24"/>
          <w:szCs w:val="24"/>
        </w:rPr>
        <w:t xml:space="preserve"> </w:t>
      </w:r>
      <w:r w:rsidR="00AC4E01">
        <w:rPr>
          <w:rFonts w:ascii="Times New Roman" w:hAnsi="Times New Roman" w:cs="Times New Roman"/>
          <w:sz w:val="24"/>
          <w:szCs w:val="24"/>
        </w:rPr>
        <w:t xml:space="preserve">Second, we </w:t>
      </w:r>
      <w:r w:rsidR="00757289">
        <w:rPr>
          <w:rFonts w:ascii="Times New Roman" w:hAnsi="Times New Roman" w:cs="Times New Roman"/>
          <w:sz w:val="24"/>
          <w:szCs w:val="24"/>
        </w:rPr>
        <w:t xml:space="preserve">used a </w:t>
      </w:r>
      <w:r w:rsidR="008E09D0">
        <w:rPr>
          <w:rFonts w:ascii="Times New Roman" w:hAnsi="Times New Roman" w:cs="Times New Roman"/>
          <w:sz w:val="24"/>
          <w:szCs w:val="24"/>
        </w:rPr>
        <w:t xml:space="preserve">transparent and </w:t>
      </w:r>
      <w:r w:rsidR="001D53E0">
        <w:rPr>
          <w:rFonts w:ascii="Times New Roman" w:hAnsi="Times New Roman" w:cs="Times New Roman"/>
          <w:sz w:val="24"/>
          <w:szCs w:val="24"/>
        </w:rPr>
        <w:t>standardized</w:t>
      </w:r>
      <w:r w:rsidR="00757289">
        <w:rPr>
          <w:rFonts w:ascii="Times New Roman" w:hAnsi="Times New Roman" w:cs="Times New Roman"/>
          <w:sz w:val="24"/>
          <w:szCs w:val="24"/>
        </w:rPr>
        <w:t xml:space="preserve"> approach to identify</w:t>
      </w:r>
      <w:r w:rsidR="00AC4E01">
        <w:rPr>
          <w:rFonts w:ascii="Times New Roman" w:hAnsi="Times New Roman" w:cs="Times New Roman"/>
          <w:sz w:val="24"/>
          <w:szCs w:val="24"/>
        </w:rPr>
        <w:t xml:space="preserve"> micronutrients </w:t>
      </w:r>
      <w:r w:rsidR="00757289">
        <w:rPr>
          <w:rFonts w:ascii="Times New Roman" w:hAnsi="Times New Roman" w:cs="Times New Roman"/>
          <w:sz w:val="24"/>
          <w:szCs w:val="24"/>
        </w:rPr>
        <w:t xml:space="preserve">upon which we based our analysis, taking into account </w:t>
      </w:r>
      <w:r w:rsidR="00890D9A">
        <w:rPr>
          <w:rFonts w:ascii="Times New Roman" w:hAnsi="Times New Roman" w:cs="Times New Roman"/>
          <w:sz w:val="24"/>
          <w:szCs w:val="24"/>
        </w:rPr>
        <w:t>burden and data availability. Third,</w:t>
      </w:r>
      <w:r w:rsidR="00757289">
        <w:rPr>
          <w:rFonts w:ascii="Times New Roman" w:hAnsi="Times New Roman" w:cs="Times New Roman"/>
          <w:sz w:val="24"/>
          <w:szCs w:val="24"/>
        </w:rPr>
        <w:t xml:space="preserve"> </w:t>
      </w:r>
      <w:r w:rsidRPr="000348CE">
        <w:rPr>
          <w:rFonts w:ascii="Times New Roman" w:hAnsi="Times New Roman" w:cs="Times New Roman"/>
          <w:sz w:val="24"/>
          <w:szCs w:val="24"/>
        </w:rPr>
        <w:t xml:space="preserve">we </w:t>
      </w:r>
      <w:r w:rsidR="000A6697">
        <w:rPr>
          <w:rFonts w:ascii="Times New Roman" w:hAnsi="Times New Roman" w:cs="Times New Roman"/>
          <w:sz w:val="24"/>
          <w:szCs w:val="24"/>
        </w:rPr>
        <w:t>systematically identified, accessed</w:t>
      </w:r>
      <w:r w:rsidR="007D5043">
        <w:rPr>
          <w:rFonts w:ascii="Times New Roman" w:hAnsi="Times New Roman" w:cs="Times New Roman"/>
          <w:sz w:val="24"/>
          <w:szCs w:val="24"/>
        </w:rPr>
        <w:t>,</w:t>
      </w:r>
      <w:r w:rsidR="000A6697">
        <w:rPr>
          <w:rFonts w:ascii="Times New Roman" w:hAnsi="Times New Roman" w:cs="Times New Roman"/>
          <w:sz w:val="24"/>
          <w:szCs w:val="24"/>
        </w:rPr>
        <w:t xml:space="preserve"> and </w:t>
      </w:r>
      <w:r w:rsidRPr="000348CE">
        <w:rPr>
          <w:rFonts w:ascii="Times New Roman" w:hAnsi="Times New Roman" w:cs="Times New Roman"/>
          <w:sz w:val="24"/>
          <w:szCs w:val="24"/>
        </w:rPr>
        <w:t xml:space="preserve">pooled </w:t>
      </w:r>
      <w:r w:rsidR="00AA409B">
        <w:rPr>
          <w:rFonts w:ascii="Times New Roman" w:hAnsi="Times New Roman" w:cs="Times New Roman"/>
          <w:sz w:val="24"/>
          <w:szCs w:val="24"/>
        </w:rPr>
        <w:t>individual-level</w:t>
      </w:r>
      <w:r w:rsidR="00AA409B" w:rsidRPr="000348CE">
        <w:rPr>
          <w:rFonts w:ascii="Times New Roman" w:hAnsi="Times New Roman" w:cs="Times New Roman"/>
          <w:sz w:val="24"/>
          <w:szCs w:val="24"/>
        </w:rPr>
        <w:t xml:space="preserve"> </w:t>
      </w:r>
      <w:r w:rsidRPr="000348CE">
        <w:rPr>
          <w:rFonts w:ascii="Times New Roman" w:hAnsi="Times New Roman" w:cs="Times New Roman"/>
          <w:sz w:val="24"/>
          <w:szCs w:val="24"/>
        </w:rPr>
        <w:t xml:space="preserve">data from </w:t>
      </w:r>
      <w:r w:rsidR="00AA409B">
        <w:rPr>
          <w:rFonts w:ascii="Times New Roman" w:hAnsi="Times New Roman" w:cs="Times New Roman"/>
          <w:sz w:val="24"/>
          <w:szCs w:val="24"/>
        </w:rPr>
        <w:t>population-</w:t>
      </w:r>
      <w:r w:rsidRPr="000348CE">
        <w:rPr>
          <w:rFonts w:ascii="Times New Roman" w:hAnsi="Times New Roman" w:cs="Times New Roman"/>
          <w:sz w:val="24"/>
          <w:szCs w:val="24"/>
        </w:rPr>
        <w:t>representative surveys, allowing for the application of standardized and recommended cut-off</w:t>
      </w:r>
      <w:r w:rsidR="002001E8">
        <w:rPr>
          <w:rFonts w:ascii="Times New Roman" w:hAnsi="Times New Roman" w:cs="Times New Roman"/>
          <w:sz w:val="24"/>
          <w:szCs w:val="24"/>
        </w:rPr>
        <w:t>s</w:t>
      </w:r>
      <w:r w:rsidRPr="000348CE">
        <w:rPr>
          <w:rFonts w:ascii="Times New Roman" w:hAnsi="Times New Roman" w:cs="Times New Roman"/>
          <w:sz w:val="24"/>
          <w:szCs w:val="24"/>
        </w:rPr>
        <w:t xml:space="preserve"> and adjustments for </w:t>
      </w:r>
      <w:r w:rsidR="00D27FD9" w:rsidRPr="000348CE">
        <w:rPr>
          <w:rFonts w:ascii="Times New Roman" w:hAnsi="Times New Roman" w:cs="Times New Roman"/>
          <w:sz w:val="24"/>
          <w:szCs w:val="24"/>
        </w:rPr>
        <w:t>inflammation</w:t>
      </w:r>
      <w:r w:rsidR="00D27FD9">
        <w:rPr>
          <w:rFonts w:ascii="Times New Roman" w:hAnsi="Times New Roman" w:cs="Times New Roman"/>
          <w:sz w:val="24"/>
          <w:szCs w:val="24"/>
        </w:rPr>
        <w:t xml:space="preserve"> </w:t>
      </w:r>
      <w:r w:rsidRPr="000348CE">
        <w:rPr>
          <w:rFonts w:ascii="Times New Roman" w:hAnsi="Times New Roman" w:cs="Times New Roman"/>
          <w:sz w:val="24"/>
          <w:szCs w:val="24"/>
        </w:rPr>
        <w:t>as necessary.</w:t>
      </w:r>
      <w:r w:rsidRPr="000348CE">
        <w:rPr>
          <w:rFonts w:ascii="Times New Roman" w:hAnsi="Times New Roman" w:cs="Times New Roman"/>
          <w:sz w:val="24"/>
          <w:szCs w:val="24"/>
          <w:lang w:val="en-GB"/>
        </w:rPr>
        <w:t xml:space="preserve"> </w:t>
      </w:r>
      <w:r w:rsidRPr="000348CE">
        <w:rPr>
          <w:rFonts w:ascii="Times New Roman" w:hAnsi="Times New Roman" w:cs="Times New Roman"/>
          <w:sz w:val="24"/>
          <w:szCs w:val="24"/>
        </w:rPr>
        <w:t>Fo</w:t>
      </w:r>
      <w:r w:rsidR="00363283">
        <w:rPr>
          <w:rFonts w:ascii="Times New Roman" w:hAnsi="Times New Roman" w:cs="Times New Roman"/>
          <w:sz w:val="24"/>
          <w:szCs w:val="24"/>
        </w:rPr>
        <w:t>u</w:t>
      </w:r>
      <w:r w:rsidRPr="000348CE">
        <w:rPr>
          <w:rFonts w:ascii="Times New Roman" w:hAnsi="Times New Roman" w:cs="Times New Roman"/>
          <w:sz w:val="24"/>
          <w:szCs w:val="24"/>
        </w:rPr>
        <w:t xml:space="preserve">rth, </w:t>
      </w:r>
      <w:r w:rsidR="00363283">
        <w:rPr>
          <w:rFonts w:ascii="Times New Roman" w:hAnsi="Times New Roman" w:cs="Times New Roman"/>
          <w:sz w:val="24"/>
          <w:szCs w:val="24"/>
        </w:rPr>
        <w:t xml:space="preserve">we </w:t>
      </w:r>
      <w:r w:rsidR="00247AF5">
        <w:rPr>
          <w:rFonts w:ascii="Times New Roman" w:hAnsi="Times New Roman" w:cs="Times New Roman"/>
          <w:sz w:val="24"/>
          <w:szCs w:val="24"/>
        </w:rPr>
        <w:t>impute</w:t>
      </w:r>
      <w:r w:rsidR="001E70C7">
        <w:rPr>
          <w:rFonts w:ascii="Times New Roman" w:hAnsi="Times New Roman" w:cs="Times New Roman"/>
          <w:sz w:val="24"/>
          <w:szCs w:val="24"/>
        </w:rPr>
        <w:t>d</w:t>
      </w:r>
      <w:r w:rsidR="00160138">
        <w:rPr>
          <w:rFonts w:ascii="Times New Roman" w:hAnsi="Times New Roman" w:cs="Times New Roman"/>
          <w:sz w:val="24"/>
          <w:szCs w:val="24"/>
        </w:rPr>
        <w:t xml:space="preserve"> the</w:t>
      </w:r>
      <w:r w:rsidR="00247AF5">
        <w:rPr>
          <w:rFonts w:ascii="Times New Roman" w:hAnsi="Times New Roman" w:cs="Times New Roman"/>
          <w:sz w:val="24"/>
          <w:szCs w:val="24"/>
        </w:rPr>
        <w:t xml:space="preserve"> </w:t>
      </w:r>
      <w:r w:rsidR="00866AC8">
        <w:rPr>
          <w:rFonts w:ascii="Times New Roman" w:hAnsi="Times New Roman" w:cs="Times New Roman"/>
          <w:sz w:val="24"/>
          <w:szCs w:val="24"/>
        </w:rPr>
        <w:t xml:space="preserve">prevalence of </w:t>
      </w:r>
      <w:r w:rsidR="00247AF5">
        <w:rPr>
          <w:rFonts w:ascii="Times New Roman" w:hAnsi="Times New Roman" w:cs="Times New Roman"/>
          <w:sz w:val="24"/>
          <w:szCs w:val="24"/>
        </w:rPr>
        <w:t xml:space="preserve">unmeasured </w:t>
      </w:r>
      <w:r w:rsidR="00AB29B6">
        <w:rPr>
          <w:rFonts w:ascii="Times New Roman" w:hAnsi="Times New Roman" w:cs="Times New Roman"/>
          <w:sz w:val="24"/>
          <w:szCs w:val="24"/>
        </w:rPr>
        <w:t>MNDs</w:t>
      </w:r>
      <w:r w:rsidR="00247AF5">
        <w:rPr>
          <w:rFonts w:ascii="Times New Roman" w:hAnsi="Times New Roman" w:cs="Times New Roman"/>
          <w:sz w:val="24"/>
          <w:szCs w:val="24"/>
        </w:rPr>
        <w:t xml:space="preserve"> and ma</w:t>
      </w:r>
      <w:r w:rsidR="001E70C7">
        <w:rPr>
          <w:rFonts w:ascii="Times New Roman" w:hAnsi="Times New Roman" w:cs="Times New Roman"/>
          <w:sz w:val="24"/>
          <w:szCs w:val="24"/>
        </w:rPr>
        <w:t>de</w:t>
      </w:r>
      <w:r w:rsidR="00247AF5">
        <w:rPr>
          <w:rFonts w:ascii="Times New Roman" w:hAnsi="Times New Roman" w:cs="Times New Roman"/>
          <w:sz w:val="24"/>
          <w:szCs w:val="24"/>
        </w:rPr>
        <w:t xml:space="preserve"> </w:t>
      </w:r>
      <w:r w:rsidR="00881FEA">
        <w:rPr>
          <w:rFonts w:ascii="Times New Roman" w:hAnsi="Times New Roman" w:cs="Times New Roman"/>
          <w:sz w:val="24"/>
          <w:szCs w:val="24"/>
        </w:rPr>
        <w:t>regional and global estimates, accountin</w:t>
      </w:r>
      <w:r w:rsidR="00D32AF1">
        <w:rPr>
          <w:rFonts w:ascii="Times New Roman" w:hAnsi="Times New Roman" w:cs="Times New Roman"/>
          <w:sz w:val="24"/>
          <w:szCs w:val="24"/>
        </w:rPr>
        <w:t>g</w:t>
      </w:r>
      <w:r w:rsidR="00881FEA">
        <w:rPr>
          <w:rFonts w:ascii="Times New Roman" w:hAnsi="Times New Roman" w:cs="Times New Roman"/>
          <w:sz w:val="24"/>
          <w:szCs w:val="24"/>
        </w:rPr>
        <w:t xml:space="preserve"> for uncertainty in </w:t>
      </w:r>
      <w:r w:rsidR="00E87659">
        <w:rPr>
          <w:rFonts w:ascii="Times New Roman" w:hAnsi="Times New Roman" w:cs="Times New Roman"/>
          <w:sz w:val="24"/>
          <w:szCs w:val="24"/>
        </w:rPr>
        <w:t xml:space="preserve">multiple </w:t>
      </w:r>
      <w:r w:rsidR="00881FEA">
        <w:rPr>
          <w:rFonts w:ascii="Times New Roman" w:hAnsi="Times New Roman" w:cs="Times New Roman"/>
          <w:sz w:val="24"/>
          <w:szCs w:val="24"/>
        </w:rPr>
        <w:t>step</w:t>
      </w:r>
      <w:r w:rsidR="00E87659">
        <w:rPr>
          <w:rFonts w:ascii="Times New Roman" w:hAnsi="Times New Roman" w:cs="Times New Roman"/>
          <w:sz w:val="24"/>
          <w:szCs w:val="24"/>
        </w:rPr>
        <w:t>s</w:t>
      </w:r>
      <w:r w:rsidR="00881FEA">
        <w:rPr>
          <w:rFonts w:ascii="Times New Roman" w:hAnsi="Times New Roman" w:cs="Times New Roman"/>
          <w:sz w:val="24"/>
          <w:szCs w:val="24"/>
        </w:rPr>
        <w:t xml:space="preserve"> of </w:t>
      </w:r>
      <w:r w:rsidR="002001E8">
        <w:rPr>
          <w:rFonts w:ascii="Times New Roman" w:hAnsi="Times New Roman" w:cs="Times New Roman"/>
          <w:sz w:val="24"/>
          <w:szCs w:val="24"/>
        </w:rPr>
        <w:t>the</w:t>
      </w:r>
      <w:r w:rsidR="00881FEA">
        <w:rPr>
          <w:rFonts w:ascii="Times New Roman" w:hAnsi="Times New Roman" w:cs="Times New Roman"/>
          <w:sz w:val="24"/>
          <w:szCs w:val="24"/>
        </w:rPr>
        <w:t xml:space="preserve"> analysis</w:t>
      </w:r>
      <w:r w:rsidR="00842233">
        <w:rPr>
          <w:rFonts w:ascii="Times New Roman" w:hAnsi="Times New Roman" w:cs="Times New Roman"/>
          <w:sz w:val="24"/>
          <w:szCs w:val="24"/>
        </w:rPr>
        <w:t>.</w:t>
      </w:r>
      <w:r w:rsidR="00881FEA">
        <w:rPr>
          <w:rFonts w:ascii="Times New Roman" w:hAnsi="Times New Roman" w:cs="Times New Roman"/>
          <w:sz w:val="24"/>
          <w:szCs w:val="24"/>
        </w:rPr>
        <w:t xml:space="preserve"> </w:t>
      </w:r>
      <w:r w:rsidR="000D5F38">
        <w:rPr>
          <w:rFonts w:ascii="Times New Roman" w:hAnsi="Times New Roman" w:cs="Times New Roman"/>
          <w:sz w:val="24"/>
          <w:szCs w:val="24"/>
        </w:rPr>
        <w:t xml:space="preserve">Finally, </w:t>
      </w:r>
      <w:r w:rsidRPr="000348CE">
        <w:rPr>
          <w:rFonts w:ascii="Times New Roman" w:hAnsi="Times New Roman" w:cs="Times New Roman"/>
          <w:sz w:val="24"/>
          <w:szCs w:val="24"/>
        </w:rPr>
        <w:t>in this paper and the associated appendices we provide</w:t>
      </w:r>
      <w:r w:rsidR="00DA34BF">
        <w:rPr>
          <w:rFonts w:ascii="Times New Roman" w:hAnsi="Times New Roman" w:cs="Times New Roman"/>
          <w:sz w:val="24"/>
          <w:szCs w:val="24"/>
        </w:rPr>
        <w:t>d</w:t>
      </w:r>
      <w:r w:rsidRPr="000348CE">
        <w:rPr>
          <w:rFonts w:ascii="Times New Roman" w:hAnsi="Times New Roman" w:cs="Times New Roman"/>
          <w:sz w:val="24"/>
          <w:szCs w:val="24"/>
        </w:rPr>
        <w:t xml:space="preserve"> </w:t>
      </w:r>
      <w:r w:rsidR="00F40F0F">
        <w:rPr>
          <w:rFonts w:ascii="Times New Roman" w:hAnsi="Times New Roman" w:cs="Times New Roman"/>
          <w:sz w:val="24"/>
          <w:szCs w:val="24"/>
        </w:rPr>
        <w:t>detailed</w:t>
      </w:r>
      <w:r w:rsidRPr="000348CE">
        <w:rPr>
          <w:rFonts w:ascii="Times New Roman" w:hAnsi="Times New Roman" w:cs="Times New Roman"/>
          <w:sz w:val="24"/>
          <w:szCs w:val="24"/>
        </w:rPr>
        <w:t xml:space="preserve"> documentation of the method</w:t>
      </w:r>
      <w:r w:rsidR="00F40F0F">
        <w:rPr>
          <w:rFonts w:ascii="Times New Roman" w:hAnsi="Times New Roman" w:cs="Times New Roman"/>
          <w:sz w:val="24"/>
          <w:szCs w:val="24"/>
        </w:rPr>
        <w:t xml:space="preserve">s </w:t>
      </w:r>
      <w:r w:rsidRPr="000348CE">
        <w:rPr>
          <w:rFonts w:ascii="Times New Roman" w:hAnsi="Times New Roman" w:cs="Times New Roman"/>
          <w:sz w:val="24"/>
          <w:szCs w:val="24"/>
        </w:rPr>
        <w:t xml:space="preserve">and assumptions for transparency and </w:t>
      </w:r>
      <w:r w:rsidR="002001E8">
        <w:rPr>
          <w:rFonts w:ascii="Times New Roman" w:hAnsi="Times New Roman" w:cs="Times New Roman"/>
          <w:sz w:val="24"/>
          <w:szCs w:val="24"/>
        </w:rPr>
        <w:t xml:space="preserve">to </w:t>
      </w:r>
      <w:r w:rsidR="00F40F0F">
        <w:rPr>
          <w:rFonts w:ascii="Times New Roman" w:hAnsi="Times New Roman" w:cs="Times New Roman"/>
          <w:sz w:val="24"/>
          <w:szCs w:val="24"/>
        </w:rPr>
        <w:t>enable replication</w:t>
      </w:r>
      <w:r w:rsidRPr="000348CE">
        <w:rPr>
          <w:rFonts w:ascii="Times New Roman" w:hAnsi="Times New Roman" w:cs="Times New Roman"/>
          <w:sz w:val="24"/>
          <w:szCs w:val="24"/>
        </w:rPr>
        <w:t>.</w:t>
      </w:r>
    </w:p>
    <w:p w14:paraId="775C153F" w14:textId="77777777" w:rsidR="00A53041" w:rsidRDefault="00A53041" w:rsidP="00523553">
      <w:pPr>
        <w:rPr>
          <w:rFonts w:ascii="Times New Roman" w:hAnsi="Times New Roman" w:cs="Times New Roman"/>
          <w:sz w:val="24"/>
          <w:szCs w:val="24"/>
        </w:rPr>
      </w:pPr>
    </w:p>
    <w:p w14:paraId="5742290B" w14:textId="51CBB53C" w:rsidR="00037376" w:rsidRPr="000348CE" w:rsidRDefault="006641DE" w:rsidP="00836D8A">
      <w:pPr>
        <w:rPr>
          <w:rFonts w:ascii="Times New Roman" w:hAnsi="Times New Roman" w:cs="Times New Roman"/>
          <w:sz w:val="24"/>
          <w:szCs w:val="24"/>
        </w:rPr>
      </w:pPr>
      <w:r w:rsidRPr="00037376">
        <w:rPr>
          <w:rFonts w:ascii="Times New Roman" w:hAnsi="Times New Roman" w:cs="Times New Roman"/>
          <w:sz w:val="24"/>
          <w:szCs w:val="24"/>
          <w:lang w:val="en-GB"/>
        </w:rPr>
        <w:t>The</w:t>
      </w:r>
      <w:r w:rsidR="00037376" w:rsidRPr="00037376">
        <w:rPr>
          <w:rFonts w:ascii="Times New Roman" w:hAnsi="Times New Roman" w:cs="Times New Roman"/>
          <w:sz w:val="24"/>
          <w:szCs w:val="24"/>
          <w:lang w:val="en-GB"/>
        </w:rPr>
        <w:t xml:space="preserve"> primary </w:t>
      </w:r>
      <w:r w:rsidR="00B13620" w:rsidRPr="00037376">
        <w:rPr>
          <w:rFonts w:ascii="Times New Roman" w:hAnsi="Times New Roman" w:cs="Times New Roman"/>
          <w:sz w:val="24"/>
          <w:szCs w:val="24"/>
          <w:lang w:val="en-GB"/>
        </w:rPr>
        <w:t xml:space="preserve">limitation </w:t>
      </w:r>
      <w:r w:rsidR="00037376" w:rsidRPr="00037376">
        <w:rPr>
          <w:rFonts w:ascii="Times New Roman" w:hAnsi="Times New Roman" w:cs="Times New Roman"/>
          <w:sz w:val="24"/>
          <w:szCs w:val="24"/>
          <w:lang w:val="en-GB"/>
        </w:rPr>
        <w:t xml:space="preserve">of our analysis is the lack of </w:t>
      </w:r>
      <w:r w:rsidR="002723E9">
        <w:rPr>
          <w:rFonts w:ascii="Times New Roman" w:hAnsi="Times New Roman" w:cs="Times New Roman"/>
          <w:sz w:val="24"/>
          <w:szCs w:val="24"/>
          <w:lang w:val="en-GB"/>
        </w:rPr>
        <w:t xml:space="preserve">recent </w:t>
      </w:r>
      <w:r w:rsidR="00037376" w:rsidRPr="00037376">
        <w:rPr>
          <w:rFonts w:ascii="Times New Roman" w:hAnsi="Times New Roman" w:cs="Times New Roman"/>
          <w:sz w:val="24"/>
          <w:szCs w:val="24"/>
          <w:lang w:val="en-GB"/>
        </w:rPr>
        <w:t xml:space="preserve">population-based </w:t>
      </w:r>
      <w:r w:rsidR="001C40A6">
        <w:rPr>
          <w:rFonts w:ascii="Times New Roman" w:hAnsi="Times New Roman" w:cs="Times New Roman"/>
          <w:sz w:val="24"/>
          <w:szCs w:val="24"/>
          <w:lang w:val="en-GB"/>
        </w:rPr>
        <w:t>micronutrient</w:t>
      </w:r>
      <w:r w:rsidR="003B1DA7">
        <w:rPr>
          <w:rFonts w:ascii="Times New Roman" w:hAnsi="Times New Roman" w:cs="Times New Roman"/>
          <w:sz w:val="24"/>
          <w:szCs w:val="24"/>
          <w:lang w:val="en-GB"/>
        </w:rPr>
        <w:t xml:space="preserve"> status biomarker</w:t>
      </w:r>
      <w:r w:rsidR="00037376" w:rsidRPr="00037376">
        <w:rPr>
          <w:rFonts w:ascii="Times New Roman" w:hAnsi="Times New Roman" w:cs="Times New Roman"/>
          <w:sz w:val="24"/>
          <w:szCs w:val="24"/>
          <w:lang w:val="en-GB"/>
        </w:rPr>
        <w:t xml:space="preserve"> data</w:t>
      </w:r>
      <w:r w:rsidR="00B93A05">
        <w:rPr>
          <w:rFonts w:ascii="Times New Roman" w:hAnsi="Times New Roman" w:cs="Times New Roman"/>
          <w:sz w:val="24"/>
          <w:szCs w:val="24"/>
          <w:lang w:val="en-GB"/>
        </w:rPr>
        <w:t>.</w:t>
      </w:r>
      <w:r w:rsidR="00535369" w:rsidRPr="00535369">
        <w:rPr>
          <w:rFonts w:ascii="Times New Roman" w:hAnsi="Times New Roman" w:cs="Times New Roman"/>
          <w:sz w:val="24"/>
          <w:szCs w:val="24"/>
        </w:rPr>
        <w:t xml:space="preserve"> </w:t>
      </w:r>
      <w:r w:rsidR="00B93A05">
        <w:rPr>
          <w:rFonts w:ascii="Times New Roman" w:hAnsi="Times New Roman" w:cs="Times New Roman"/>
          <w:sz w:val="24"/>
          <w:szCs w:val="24"/>
        </w:rPr>
        <w:t>M</w:t>
      </w:r>
      <w:r w:rsidR="00535369" w:rsidRPr="000348CE">
        <w:rPr>
          <w:rFonts w:ascii="Times New Roman" w:hAnsi="Times New Roman" w:cs="Times New Roman"/>
          <w:sz w:val="24"/>
          <w:szCs w:val="24"/>
        </w:rPr>
        <w:t>ost importantly</w:t>
      </w:r>
      <w:r w:rsidR="00B93A05">
        <w:rPr>
          <w:rFonts w:ascii="Times New Roman" w:hAnsi="Times New Roman" w:cs="Times New Roman"/>
          <w:sz w:val="24"/>
          <w:szCs w:val="24"/>
        </w:rPr>
        <w:t>, this lack of data prevented us from</w:t>
      </w:r>
      <w:r w:rsidR="00535369" w:rsidRPr="000348CE">
        <w:rPr>
          <w:rFonts w:ascii="Times New Roman" w:hAnsi="Times New Roman" w:cs="Times New Roman"/>
          <w:sz w:val="24"/>
          <w:szCs w:val="24"/>
        </w:rPr>
        <w:t xml:space="preserve"> inclu</w:t>
      </w:r>
      <w:r w:rsidR="00B93A05">
        <w:rPr>
          <w:rFonts w:ascii="Times New Roman" w:hAnsi="Times New Roman" w:cs="Times New Roman"/>
          <w:sz w:val="24"/>
          <w:szCs w:val="24"/>
        </w:rPr>
        <w:t>ding</w:t>
      </w:r>
      <w:r w:rsidR="00167904">
        <w:rPr>
          <w:rFonts w:ascii="Times New Roman" w:hAnsi="Times New Roman" w:cs="Times New Roman"/>
          <w:sz w:val="24"/>
          <w:szCs w:val="24"/>
        </w:rPr>
        <w:t xml:space="preserve"> </w:t>
      </w:r>
      <w:r w:rsidR="002401B6">
        <w:rPr>
          <w:rFonts w:ascii="Times New Roman" w:hAnsi="Times New Roman" w:cs="Times New Roman"/>
          <w:sz w:val="24"/>
          <w:szCs w:val="24"/>
        </w:rPr>
        <w:t xml:space="preserve">other population subgroups </w:t>
      </w:r>
      <w:r w:rsidR="00B93A05">
        <w:rPr>
          <w:rFonts w:ascii="Times New Roman" w:hAnsi="Times New Roman" w:cs="Times New Roman"/>
          <w:sz w:val="24"/>
          <w:szCs w:val="24"/>
        </w:rPr>
        <w:t>in our analysis,</w:t>
      </w:r>
      <w:r w:rsidR="00523553">
        <w:rPr>
          <w:rFonts w:ascii="Times New Roman" w:hAnsi="Times New Roman" w:cs="Times New Roman"/>
          <w:sz w:val="24"/>
          <w:szCs w:val="24"/>
        </w:rPr>
        <w:t xml:space="preserve"> some of which </w:t>
      </w:r>
      <w:r w:rsidR="00626374">
        <w:rPr>
          <w:rFonts w:ascii="Times New Roman" w:hAnsi="Times New Roman" w:cs="Times New Roman"/>
          <w:sz w:val="24"/>
          <w:szCs w:val="24"/>
        </w:rPr>
        <w:t xml:space="preserve">may </w:t>
      </w:r>
      <w:r w:rsidR="00836D8A">
        <w:rPr>
          <w:rFonts w:ascii="Times New Roman" w:hAnsi="Times New Roman" w:cs="Times New Roman"/>
          <w:sz w:val="24"/>
          <w:szCs w:val="24"/>
        </w:rPr>
        <w:t>also experience a high prevalence of MNDs</w:t>
      </w:r>
      <w:r w:rsidR="00135448">
        <w:rPr>
          <w:rFonts w:ascii="Times New Roman" w:hAnsi="Times New Roman" w:cs="Times New Roman"/>
          <w:sz w:val="24"/>
          <w:szCs w:val="24"/>
        </w:rPr>
        <w:t xml:space="preserve">, </w:t>
      </w:r>
      <w:r w:rsidR="00FD04C2" w:rsidRPr="00FD04C2">
        <w:rPr>
          <w:rFonts w:ascii="Times New Roman" w:hAnsi="Times New Roman" w:cs="Times New Roman"/>
          <w:sz w:val="24"/>
          <w:szCs w:val="24"/>
        </w:rPr>
        <w:t>including pregnant women, adolescent</w:t>
      </w:r>
      <w:r w:rsidR="00794174">
        <w:rPr>
          <w:rFonts w:ascii="Times New Roman" w:hAnsi="Times New Roman" w:cs="Times New Roman"/>
          <w:sz w:val="24"/>
          <w:szCs w:val="24"/>
        </w:rPr>
        <w:t>s</w:t>
      </w:r>
      <w:r w:rsidR="00FD04C2" w:rsidRPr="00FD04C2">
        <w:rPr>
          <w:rFonts w:ascii="Times New Roman" w:hAnsi="Times New Roman" w:cs="Times New Roman"/>
          <w:sz w:val="24"/>
          <w:szCs w:val="24"/>
        </w:rPr>
        <w:t>, the elderly, school-age children, and to a lesser extent</w:t>
      </w:r>
      <w:r w:rsidR="00724FC5">
        <w:rPr>
          <w:rFonts w:ascii="Times New Roman" w:hAnsi="Times New Roman" w:cs="Times New Roman"/>
          <w:sz w:val="24"/>
          <w:szCs w:val="24"/>
        </w:rPr>
        <w:t>,</w:t>
      </w:r>
      <w:r w:rsidR="00FD04C2" w:rsidRPr="00FD04C2">
        <w:rPr>
          <w:rFonts w:ascii="Times New Roman" w:hAnsi="Times New Roman" w:cs="Times New Roman"/>
          <w:sz w:val="24"/>
          <w:szCs w:val="24"/>
        </w:rPr>
        <w:t xml:space="preserve"> adult men.</w:t>
      </w:r>
      <w:r w:rsidR="00402955" w:rsidRPr="00D27405">
        <w:rPr>
          <w:rFonts w:ascii="Times New Roman" w:hAnsi="Times New Roman" w:cs="Times New Roman"/>
          <w:sz w:val="24"/>
          <w:szCs w:val="24"/>
          <w:lang w:val="en-GB"/>
        </w:rPr>
        <w:fldChar w:fldCharType="begin"/>
      </w:r>
      <w:r w:rsidR="001D108C">
        <w:rPr>
          <w:rFonts w:ascii="Times New Roman" w:hAnsi="Times New Roman" w:cs="Times New Roman"/>
          <w:sz w:val="24"/>
          <w:szCs w:val="24"/>
          <w:lang w:val="en-GB"/>
        </w:rPr>
        <w:instrText xml:space="preserve"> ADDIN ZOTERO_ITEM CSL_CITATION {"citationID":"W5Z9R1cT","properties":{"formattedCitation":"\\super 14\\nosupersub{}","plainCitation":"14","noteIndex":0},"citationItems":[{"id":3202,"uris":["http://zotero.org/users/2850877/items/E9S5CUZZ"],"uri":["http://zotero.org/users/2850877/items/E9S5CUZZ"],"itemData":{"id":3202,"type":"article-journal","abstract":"Micronutrient (MN) deficiencies can produce a broad array of adverse health and functional outcomes. Young, preschool children and women of reproductive age in low- and middle-income countries are most affected by these deficiencies, but the true magnitude of the problems and their related disease burdens remain uncertain because of the dearth of reliable biomarker information on population MN status. The reasons for this lack of information include a limited understanding by policy makers of the importance of MNs for human health and the usefulness of information on MN status for program planning and management; insufficient professional capacity to advocate for this information and design and implement related MN status surveys; high costs and logistical constraints involved in specimen collection, transport, storage, and laboratory analyses; poor access to adequately equipped and staffed laboratories to complete the analyses reliably; and inadequate capacity to interpret and apply this information for public health program design and evaluation. This report describes the current situation with regard to data availability, the reasons for the lack of relevant information, and the steps needed to correct this situation, including implementation of a multi-component MN Data Generation Initiative to advocate for critical data collection and provide related technical assistance, laboratory services, professional training, and financial support.","container-title":"The American Journal of Clinical Nutrition","DOI":"10.1093/ajcn/nqab173","ISSN":"0002-9165","issue":"3","journalAbbreviation":"The American Journal of Clinical Nutrition","page":"862-870","source":"Silverchair","title":"Increasing the availability and utilization of reliable data on population micronutrient (MN) status globally: the MN Data Generation Initiative","title-short":"Increasing the availability and utilization of reliable data on population micronutrient (MN) status globally","volume":"114","author":[{"family":"Brown","given":"Kenneth H"},{"family":"Moore","given":"Sophie E"},{"family":"Hess","given":"Sonja Y"},{"family":"McDonald","given":"Christine M"},{"family":"Jones","given":"Kerry S"},{"family":"Meadows","given":"Sarah R"},{"family":"Manger","given":"Mari S"},{"family":"Coates","given":"Jennifer"},{"family":"Alayon","given":"Silvia"},{"family":"Osendarp","given":"Saskia J M"}],"issued":{"date-parts":[["2021",9,1]]}}}],"schema":"https://github.com/citation-style-language/schema/raw/master/csl-citation.json"} </w:instrText>
      </w:r>
      <w:r w:rsidR="00402955" w:rsidRPr="00D27405">
        <w:rPr>
          <w:rFonts w:ascii="Times New Roman" w:hAnsi="Times New Roman" w:cs="Times New Roman"/>
          <w:sz w:val="24"/>
          <w:szCs w:val="24"/>
          <w:lang w:val="en-GB"/>
        </w:rPr>
        <w:fldChar w:fldCharType="separate"/>
      </w:r>
      <w:r w:rsidR="00402955" w:rsidRPr="00A20B24">
        <w:rPr>
          <w:rFonts w:ascii="Times New Roman" w:hAnsi="Times New Roman" w:cs="Times New Roman"/>
          <w:color w:val="000000"/>
          <w:sz w:val="24"/>
          <w:vertAlign w:val="superscript"/>
        </w:rPr>
        <w:t>14</w:t>
      </w:r>
      <w:r w:rsidR="00402955" w:rsidRPr="00D27405">
        <w:rPr>
          <w:rFonts w:ascii="Times New Roman" w:hAnsi="Times New Roman" w:cs="Times New Roman"/>
          <w:sz w:val="24"/>
          <w:szCs w:val="24"/>
        </w:rPr>
        <w:fldChar w:fldCharType="end"/>
      </w:r>
      <w:r w:rsidR="00135448">
        <w:rPr>
          <w:rFonts w:ascii="Times New Roman" w:hAnsi="Times New Roman" w:cs="Times New Roman"/>
          <w:sz w:val="24"/>
          <w:szCs w:val="24"/>
        </w:rPr>
        <w:t xml:space="preserve"> </w:t>
      </w:r>
      <w:r w:rsidR="00037376" w:rsidRPr="00037376">
        <w:rPr>
          <w:rFonts w:ascii="Times New Roman" w:hAnsi="Times New Roman" w:cs="Times New Roman"/>
          <w:sz w:val="24"/>
          <w:szCs w:val="24"/>
          <w:lang w:val="en-GB"/>
        </w:rPr>
        <w:t xml:space="preserve">Due to limited data availability, we were unable to make estimates </w:t>
      </w:r>
      <w:r w:rsidR="00765A82">
        <w:rPr>
          <w:rFonts w:ascii="Times New Roman" w:hAnsi="Times New Roman" w:cs="Times New Roman"/>
          <w:sz w:val="24"/>
          <w:szCs w:val="24"/>
          <w:lang w:val="en-GB"/>
        </w:rPr>
        <w:t xml:space="preserve">by country </w:t>
      </w:r>
      <w:r w:rsidR="00037376" w:rsidRPr="00037376">
        <w:rPr>
          <w:rFonts w:ascii="Times New Roman" w:hAnsi="Times New Roman" w:cs="Times New Roman"/>
          <w:sz w:val="24"/>
          <w:szCs w:val="24"/>
          <w:lang w:val="en-GB"/>
        </w:rPr>
        <w:t xml:space="preserve">or assess change over time. </w:t>
      </w:r>
      <w:r w:rsidR="00721F4C" w:rsidRPr="000348CE">
        <w:rPr>
          <w:rFonts w:ascii="Times New Roman" w:hAnsi="Times New Roman" w:cs="Times New Roman"/>
          <w:sz w:val="24"/>
          <w:szCs w:val="24"/>
        </w:rPr>
        <w:t xml:space="preserve">The lack of up-to-date micronutrient status data has been well-recognized and </w:t>
      </w:r>
      <w:r w:rsidR="007E1193">
        <w:rPr>
          <w:rFonts w:ascii="Times New Roman" w:hAnsi="Times New Roman" w:cs="Times New Roman"/>
          <w:sz w:val="24"/>
          <w:szCs w:val="24"/>
        </w:rPr>
        <w:t xml:space="preserve">a recent publication has laid out </w:t>
      </w:r>
      <w:r w:rsidR="00721F4C" w:rsidRPr="000348CE">
        <w:rPr>
          <w:rFonts w:ascii="Times New Roman" w:hAnsi="Times New Roman" w:cs="Times New Roman"/>
          <w:sz w:val="24"/>
          <w:szCs w:val="24"/>
        </w:rPr>
        <w:t>several recommendations to address this</w:t>
      </w:r>
      <w:r w:rsidR="0068432A">
        <w:rPr>
          <w:rFonts w:ascii="Times New Roman" w:hAnsi="Times New Roman" w:cs="Times New Roman"/>
          <w:sz w:val="24"/>
          <w:szCs w:val="24"/>
        </w:rPr>
        <w:t xml:space="preserve"> problem</w:t>
      </w:r>
      <w:r w:rsidR="00721F4C" w:rsidRPr="000348CE">
        <w:rPr>
          <w:rFonts w:ascii="Times New Roman" w:hAnsi="Times New Roman" w:cs="Times New Roman"/>
          <w:sz w:val="24"/>
          <w:szCs w:val="24"/>
        </w:rPr>
        <w:t>.</w:t>
      </w:r>
      <w:r w:rsidR="00402955" w:rsidRPr="00D27405">
        <w:rPr>
          <w:rFonts w:ascii="Times New Roman" w:hAnsi="Times New Roman" w:cs="Times New Roman"/>
          <w:sz w:val="24"/>
          <w:szCs w:val="24"/>
          <w:lang w:val="en-GB"/>
        </w:rPr>
        <w:fldChar w:fldCharType="begin"/>
      </w:r>
      <w:r w:rsidR="001D108C">
        <w:rPr>
          <w:rFonts w:ascii="Times New Roman" w:hAnsi="Times New Roman" w:cs="Times New Roman"/>
          <w:sz w:val="24"/>
          <w:szCs w:val="24"/>
          <w:lang w:val="en-GB"/>
        </w:rPr>
        <w:instrText xml:space="preserve"> ADDIN ZOTERO_ITEM CSL_CITATION {"citationID":"SiLt6KY0","properties":{"formattedCitation":"\\super 14\\nosupersub{}","plainCitation":"14","noteIndex":0},"citationItems":[{"id":3202,"uris":["http://zotero.org/users/2850877/items/E9S5CUZZ"],"uri":["http://zotero.org/users/2850877/items/E9S5CUZZ"],"itemData":{"id":3202,"type":"article-journal","abstract":"Micronutrient (MN) deficiencies can produce a broad array of adverse health and functional outcomes. Young, preschool children and women of reproductive age in low- and middle-income countries are most affected by these deficiencies, but the true magnitude of the problems and their related disease burdens remain uncertain because of the dearth of reliable biomarker information on population MN status. The reasons for this lack of information include a limited understanding by policy makers of the importance of MNs for human health and the usefulness of information on MN status for program planning and management; insufficient professional capacity to advocate for this information and design and implement related MN status surveys; high costs and logistical constraints involved in specimen collection, transport, storage, and laboratory analyses; poor access to adequately equipped and staffed laboratories to complete the analyses reliably; and inadequate capacity to interpret and apply this information for public health program design and evaluation. This report describes the current situation with regard to data availability, the reasons for the lack of relevant information, and the steps needed to correct this situation, including implementation of a multi-component MN Data Generation Initiative to advocate for critical data collection and provide related technical assistance, laboratory services, professional training, and financial support.","container-title":"The American Journal of Clinical Nutrition","DOI":"10.1093/ajcn/nqab173","ISSN":"0002-9165","issue":"3","journalAbbreviation":"The American Journal of Clinical Nutrition","page":"862-870","source":"Silverchair","title":"Increasing the availability and utilization of reliable data on population micronutrient (MN) status globally: the MN Data Generation Initiative","title-short":"Increasing the availability and utilization of reliable data on population micronutrient (MN) status globally","volume":"114","author":[{"family":"Brown","given":"Kenneth H"},{"family":"Moore","given":"Sophie E"},{"family":"Hess","given":"Sonja Y"},{"family":"McDonald","given":"Christine M"},{"family":"Jones","given":"Kerry S"},{"family":"Meadows","given":"Sarah R"},{"family":"Manger","given":"Mari S"},{"family":"Coates","given":"Jennifer"},{"family":"Alayon","given":"Silvia"},{"family":"Osendarp","given":"Saskia J M"}],"issued":{"date-parts":[["2021",9,1]]}}}],"schema":"https://github.com/citation-style-language/schema/raw/master/csl-citation.json"} </w:instrText>
      </w:r>
      <w:r w:rsidR="00402955" w:rsidRPr="00D27405">
        <w:rPr>
          <w:rFonts w:ascii="Times New Roman" w:hAnsi="Times New Roman" w:cs="Times New Roman"/>
          <w:sz w:val="24"/>
          <w:szCs w:val="24"/>
          <w:lang w:val="en-GB"/>
        </w:rPr>
        <w:fldChar w:fldCharType="separate"/>
      </w:r>
      <w:r w:rsidR="00402955" w:rsidRPr="00A20B24">
        <w:rPr>
          <w:rFonts w:ascii="Times New Roman" w:hAnsi="Times New Roman" w:cs="Times New Roman"/>
          <w:color w:val="000000"/>
          <w:sz w:val="24"/>
          <w:vertAlign w:val="superscript"/>
        </w:rPr>
        <w:t>14</w:t>
      </w:r>
      <w:r w:rsidR="00402955" w:rsidRPr="00D27405">
        <w:rPr>
          <w:rFonts w:ascii="Times New Roman" w:hAnsi="Times New Roman" w:cs="Times New Roman"/>
          <w:sz w:val="24"/>
          <w:szCs w:val="24"/>
        </w:rPr>
        <w:fldChar w:fldCharType="end"/>
      </w:r>
      <w:r w:rsidR="00721F4C">
        <w:rPr>
          <w:rFonts w:ascii="Times New Roman" w:hAnsi="Times New Roman" w:cs="Times New Roman"/>
          <w:sz w:val="24"/>
          <w:szCs w:val="24"/>
        </w:rPr>
        <w:t xml:space="preserve"> </w:t>
      </w:r>
      <w:r w:rsidR="00EA157D">
        <w:rPr>
          <w:rFonts w:ascii="Times New Roman" w:hAnsi="Times New Roman" w:cs="Times New Roman"/>
          <w:sz w:val="24"/>
          <w:szCs w:val="24"/>
          <w:lang w:val="en-GB"/>
        </w:rPr>
        <w:t>Additionally, a</w:t>
      </w:r>
      <w:r w:rsidR="00EA157D" w:rsidRPr="00037376">
        <w:rPr>
          <w:rFonts w:ascii="Times New Roman" w:hAnsi="Times New Roman" w:cs="Times New Roman"/>
          <w:sz w:val="24"/>
          <w:szCs w:val="24"/>
          <w:lang w:val="en-GB"/>
        </w:rPr>
        <w:t xml:space="preserve">lthough thresholds for deficiency and adjustments for inflammation were consistently applied to all data sources, these are based on limited data and may not </w:t>
      </w:r>
      <w:r w:rsidR="00C43B31">
        <w:rPr>
          <w:rFonts w:ascii="Times New Roman" w:hAnsi="Times New Roman" w:cs="Times New Roman"/>
          <w:sz w:val="24"/>
          <w:szCs w:val="24"/>
          <w:lang w:val="en-GB"/>
        </w:rPr>
        <w:t xml:space="preserve">have </w:t>
      </w:r>
      <w:r w:rsidR="00EA157D" w:rsidRPr="00037376">
        <w:rPr>
          <w:rFonts w:ascii="Times New Roman" w:hAnsi="Times New Roman" w:cs="Times New Roman"/>
          <w:sz w:val="24"/>
          <w:szCs w:val="24"/>
          <w:lang w:val="en-GB"/>
        </w:rPr>
        <w:t>identif</w:t>
      </w:r>
      <w:r w:rsidR="00C43B31">
        <w:rPr>
          <w:rFonts w:ascii="Times New Roman" w:hAnsi="Times New Roman" w:cs="Times New Roman"/>
          <w:sz w:val="24"/>
          <w:szCs w:val="24"/>
          <w:lang w:val="en-GB"/>
        </w:rPr>
        <w:t>ied</w:t>
      </w:r>
      <w:r w:rsidR="00EA157D" w:rsidRPr="00037376">
        <w:rPr>
          <w:rFonts w:ascii="Times New Roman" w:hAnsi="Times New Roman" w:cs="Times New Roman"/>
          <w:sz w:val="24"/>
          <w:szCs w:val="24"/>
          <w:lang w:val="en-GB"/>
        </w:rPr>
        <w:t xml:space="preserve"> individuals who experience</w:t>
      </w:r>
      <w:r w:rsidR="00C43B31">
        <w:rPr>
          <w:rFonts w:ascii="Times New Roman" w:hAnsi="Times New Roman" w:cs="Times New Roman"/>
          <w:sz w:val="24"/>
          <w:szCs w:val="24"/>
          <w:lang w:val="en-GB"/>
        </w:rPr>
        <w:t>d</w:t>
      </w:r>
      <w:r w:rsidR="00EA157D" w:rsidRPr="00037376">
        <w:rPr>
          <w:rFonts w:ascii="Times New Roman" w:hAnsi="Times New Roman" w:cs="Times New Roman"/>
          <w:sz w:val="24"/>
          <w:szCs w:val="24"/>
          <w:lang w:val="en-GB"/>
        </w:rPr>
        <w:t xml:space="preserve"> a functional impairment due to their </w:t>
      </w:r>
      <w:r w:rsidR="00EA157D">
        <w:rPr>
          <w:rFonts w:ascii="Times New Roman" w:hAnsi="Times New Roman" w:cs="Times New Roman"/>
          <w:sz w:val="24"/>
          <w:szCs w:val="24"/>
          <w:lang w:val="en-GB"/>
        </w:rPr>
        <w:t>MND</w:t>
      </w:r>
      <w:r w:rsidR="00F32E4C">
        <w:rPr>
          <w:rFonts w:ascii="Times New Roman" w:hAnsi="Times New Roman" w:cs="Times New Roman"/>
          <w:sz w:val="24"/>
          <w:szCs w:val="24"/>
          <w:lang w:val="en-GB"/>
        </w:rPr>
        <w:t>s</w:t>
      </w:r>
      <w:r w:rsidR="00EA157D" w:rsidRPr="00037376">
        <w:rPr>
          <w:rFonts w:ascii="Times New Roman" w:hAnsi="Times New Roman" w:cs="Times New Roman"/>
          <w:sz w:val="24"/>
          <w:szCs w:val="24"/>
          <w:lang w:val="en-GB"/>
        </w:rPr>
        <w:t>.</w:t>
      </w:r>
      <w:r w:rsidR="000D2638">
        <w:rPr>
          <w:rFonts w:ascii="Times New Roman" w:hAnsi="Times New Roman" w:cs="Times New Roman"/>
          <w:sz w:val="24"/>
          <w:szCs w:val="24"/>
          <w:lang w:val="en-GB"/>
        </w:rPr>
        <w:t xml:space="preserve"> </w:t>
      </w:r>
      <w:r w:rsidR="00E17F88">
        <w:rPr>
          <w:rFonts w:ascii="Times New Roman" w:hAnsi="Times New Roman" w:cs="Times New Roman"/>
          <w:sz w:val="24"/>
          <w:szCs w:val="24"/>
          <w:lang w:val="en-GB"/>
        </w:rPr>
        <w:t>Moreover, s</w:t>
      </w:r>
      <w:r w:rsidR="00CE2DE8">
        <w:rPr>
          <w:rFonts w:ascii="Times New Roman" w:hAnsi="Times New Roman" w:cs="Times New Roman"/>
          <w:sz w:val="24"/>
          <w:szCs w:val="24"/>
          <w:lang w:val="en-GB"/>
        </w:rPr>
        <w:t>ome of the included</w:t>
      </w:r>
      <w:r w:rsidR="009B76A8">
        <w:rPr>
          <w:rFonts w:ascii="Times New Roman" w:hAnsi="Times New Roman" w:cs="Times New Roman"/>
          <w:sz w:val="24"/>
          <w:szCs w:val="24"/>
          <w:lang w:val="en-GB"/>
        </w:rPr>
        <w:t xml:space="preserve"> biomarkers such as serum zinc and retinol are not</w:t>
      </w:r>
      <w:r w:rsidR="00CE2DE8">
        <w:rPr>
          <w:rFonts w:ascii="Times New Roman" w:hAnsi="Times New Roman" w:cs="Times New Roman"/>
          <w:sz w:val="24"/>
          <w:szCs w:val="24"/>
          <w:lang w:val="en-GB"/>
        </w:rPr>
        <w:t xml:space="preserve"> </w:t>
      </w:r>
      <w:r w:rsidR="009B76A8">
        <w:rPr>
          <w:rFonts w:ascii="Times New Roman" w:hAnsi="Times New Roman" w:cs="Times New Roman"/>
          <w:sz w:val="24"/>
          <w:szCs w:val="24"/>
          <w:lang w:val="en-GB"/>
        </w:rPr>
        <w:t xml:space="preserve">well suited </w:t>
      </w:r>
      <w:r w:rsidR="00CE2DE8">
        <w:rPr>
          <w:rFonts w:ascii="Times New Roman" w:hAnsi="Times New Roman" w:cs="Times New Roman"/>
          <w:sz w:val="24"/>
          <w:szCs w:val="24"/>
          <w:lang w:val="en-GB"/>
        </w:rPr>
        <w:t>for identifying deficiency in individuals</w:t>
      </w:r>
      <w:r w:rsidR="00A66E20">
        <w:rPr>
          <w:rFonts w:ascii="Times New Roman" w:hAnsi="Times New Roman" w:cs="Times New Roman"/>
          <w:sz w:val="24"/>
          <w:szCs w:val="24"/>
          <w:lang w:val="en-GB"/>
        </w:rPr>
        <w:t>.</w:t>
      </w:r>
      <w:r w:rsidR="00EA157D" w:rsidRPr="00037376">
        <w:rPr>
          <w:rFonts w:ascii="Times New Roman" w:hAnsi="Times New Roman" w:cs="Times New Roman"/>
          <w:sz w:val="24"/>
          <w:szCs w:val="24"/>
          <w:lang w:val="en-GB"/>
        </w:rPr>
        <w:t xml:space="preserve"> </w:t>
      </w:r>
      <w:r w:rsidR="00AD3A53">
        <w:rPr>
          <w:rFonts w:ascii="Times New Roman" w:hAnsi="Times New Roman" w:cs="Times New Roman"/>
          <w:sz w:val="24"/>
          <w:szCs w:val="24"/>
          <w:lang w:val="en-GB"/>
        </w:rPr>
        <w:t>Further, b</w:t>
      </w:r>
      <w:r w:rsidR="00037376" w:rsidRPr="00037376">
        <w:rPr>
          <w:rFonts w:ascii="Times New Roman" w:hAnsi="Times New Roman" w:cs="Times New Roman"/>
          <w:sz w:val="24"/>
          <w:szCs w:val="24"/>
          <w:lang w:val="en-GB"/>
        </w:rPr>
        <w:t xml:space="preserve">iomarkers and </w:t>
      </w:r>
      <w:r w:rsidR="00004FC5" w:rsidRPr="00037376">
        <w:rPr>
          <w:rFonts w:ascii="Times New Roman" w:hAnsi="Times New Roman" w:cs="Times New Roman"/>
          <w:sz w:val="24"/>
          <w:szCs w:val="24"/>
          <w:lang w:val="en-GB"/>
        </w:rPr>
        <w:t xml:space="preserve">laboratory methods </w:t>
      </w:r>
      <w:r w:rsidR="00037376" w:rsidRPr="00037376">
        <w:rPr>
          <w:rFonts w:ascii="Times New Roman" w:hAnsi="Times New Roman" w:cs="Times New Roman"/>
          <w:sz w:val="24"/>
          <w:szCs w:val="24"/>
          <w:lang w:val="en-GB"/>
        </w:rPr>
        <w:t>differ</w:t>
      </w:r>
      <w:r w:rsidR="00C43B31">
        <w:rPr>
          <w:rFonts w:ascii="Times New Roman" w:hAnsi="Times New Roman" w:cs="Times New Roman"/>
          <w:sz w:val="24"/>
          <w:szCs w:val="24"/>
          <w:lang w:val="en-GB"/>
        </w:rPr>
        <w:t>ed</w:t>
      </w:r>
      <w:r w:rsidR="00037376" w:rsidRPr="00037376">
        <w:rPr>
          <w:rFonts w:ascii="Times New Roman" w:hAnsi="Times New Roman" w:cs="Times New Roman"/>
          <w:sz w:val="24"/>
          <w:szCs w:val="24"/>
          <w:lang w:val="en-GB"/>
        </w:rPr>
        <w:t xml:space="preserve"> by data source, which may </w:t>
      </w:r>
      <w:r w:rsidR="00C43B31">
        <w:rPr>
          <w:rFonts w:ascii="Times New Roman" w:hAnsi="Times New Roman" w:cs="Times New Roman"/>
          <w:sz w:val="24"/>
          <w:szCs w:val="24"/>
          <w:lang w:val="en-GB"/>
        </w:rPr>
        <w:t xml:space="preserve">have </w:t>
      </w:r>
      <w:r w:rsidR="00037376" w:rsidRPr="00037376">
        <w:rPr>
          <w:rFonts w:ascii="Times New Roman" w:hAnsi="Times New Roman" w:cs="Times New Roman"/>
          <w:sz w:val="24"/>
          <w:szCs w:val="24"/>
          <w:lang w:val="en-GB"/>
        </w:rPr>
        <w:t>affect</w:t>
      </w:r>
      <w:r w:rsidR="00C43B31">
        <w:rPr>
          <w:rFonts w:ascii="Times New Roman" w:hAnsi="Times New Roman" w:cs="Times New Roman"/>
          <w:sz w:val="24"/>
          <w:szCs w:val="24"/>
          <w:lang w:val="en-GB"/>
        </w:rPr>
        <w:t>ed</w:t>
      </w:r>
      <w:r w:rsidR="00037376" w:rsidRPr="00037376">
        <w:rPr>
          <w:rFonts w:ascii="Times New Roman" w:hAnsi="Times New Roman" w:cs="Times New Roman"/>
          <w:sz w:val="24"/>
          <w:szCs w:val="24"/>
          <w:lang w:val="en-GB"/>
        </w:rPr>
        <w:t xml:space="preserve"> </w:t>
      </w:r>
      <w:r w:rsidR="003470B5">
        <w:rPr>
          <w:rFonts w:ascii="Times New Roman" w:hAnsi="Times New Roman" w:cs="Times New Roman"/>
          <w:sz w:val="24"/>
          <w:szCs w:val="24"/>
          <w:lang w:val="en-GB"/>
        </w:rPr>
        <w:t xml:space="preserve">their </w:t>
      </w:r>
      <w:r w:rsidR="00037376" w:rsidRPr="00037376">
        <w:rPr>
          <w:rFonts w:ascii="Times New Roman" w:hAnsi="Times New Roman" w:cs="Times New Roman"/>
          <w:sz w:val="24"/>
          <w:szCs w:val="24"/>
          <w:lang w:val="en-GB"/>
        </w:rPr>
        <w:t>accuracy</w:t>
      </w:r>
      <w:r w:rsidR="00AF7D6B">
        <w:rPr>
          <w:rFonts w:ascii="Times New Roman" w:hAnsi="Times New Roman" w:cs="Times New Roman"/>
          <w:sz w:val="24"/>
          <w:szCs w:val="24"/>
          <w:lang w:val="en-GB"/>
        </w:rPr>
        <w:t xml:space="preserve"> and</w:t>
      </w:r>
      <w:r w:rsidR="00037376" w:rsidRPr="00037376">
        <w:rPr>
          <w:rFonts w:ascii="Times New Roman" w:hAnsi="Times New Roman" w:cs="Times New Roman"/>
          <w:sz w:val="24"/>
          <w:szCs w:val="24"/>
          <w:lang w:val="en-GB"/>
        </w:rPr>
        <w:t xml:space="preserve"> comparability.</w:t>
      </w:r>
      <w:r w:rsidR="001A02FA">
        <w:rPr>
          <w:rFonts w:ascii="Times New Roman" w:hAnsi="Times New Roman" w:cs="Times New Roman"/>
          <w:sz w:val="24"/>
          <w:szCs w:val="24"/>
          <w:lang w:val="en-GB"/>
        </w:rPr>
        <w:t xml:space="preserve"> </w:t>
      </w:r>
      <w:r w:rsidR="00037376" w:rsidRPr="00037376">
        <w:rPr>
          <w:rFonts w:ascii="Times New Roman" w:hAnsi="Times New Roman" w:cs="Times New Roman"/>
          <w:sz w:val="24"/>
          <w:szCs w:val="24"/>
          <w:lang w:val="en-GB"/>
        </w:rPr>
        <w:t xml:space="preserve">Thresholds used to define folate deficiency </w:t>
      </w:r>
      <w:r w:rsidR="0026196B">
        <w:rPr>
          <w:rFonts w:ascii="Times New Roman" w:hAnsi="Times New Roman" w:cs="Times New Roman"/>
          <w:sz w:val="24"/>
          <w:szCs w:val="24"/>
          <w:lang w:val="en-GB"/>
        </w:rPr>
        <w:t>were</w:t>
      </w:r>
      <w:r w:rsidR="00037376" w:rsidRPr="00037376">
        <w:rPr>
          <w:rFonts w:ascii="Times New Roman" w:hAnsi="Times New Roman" w:cs="Times New Roman"/>
          <w:sz w:val="24"/>
          <w:szCs w:val="24"/>
          <w:lang w:val="en-GB"/>
        </w:rPr>
        <w:t xml:space="preserve"> adjusted for </w:t>
      </w:r>
      <w:r w:rsidR="00BE47C6">
        <w:rPr>
          <w:rFonts w:ascii="Times New Roman" w:hAnsi="Times New Roman" w:cs="Times New Roman"/>
          <w:sz w:val="24"/>
          <w:szCs w:val="24"/>
          <w:lang w:val="en-GB"/>
        </w:rPr>
        <w:t xml:space="preserve">the </w:t>
      </w:r>
      <w:r w:rsidR="00037376" w:rsidRPr="00037376">
        <w:rPr>
          <w:rFonts w:ascii="Times New Roman" w:hAnsi="Times New Roman" w:cs="Times New Roman"/>
          <w:sz w:val="24"/>
          <w:szCs w:val="24"/>
          <w:lang w:val="en-GB"/>
        </w:rPr>
        <w:t xml:space="preserve">assay </w:t>
      </w:r>
      <w:r w:rsidR="00BE47C6">
        <w:rPr>
          <w:rFonts w:ascii="Times New Roman" w:hAnsi="Times New Roman" w:cs="Times New Roman"/>
          <w:sz w:val="24"/>
          <w:szCs w:val="24"/>
          <w:lang w:val="en-GB"/>
        </w:rPr>
        <w:t xml:space="preserve">used </w:t>
      </w:r>
      <w:r w:rsidR="00037376" w:rsidRPr="00037376">
        <w:rPr>
          <w:rFonts w:ascii="Times New Roman" w:hAnsi="Times New Roman" w:cs="Times New Roman"/>
          <w:sz w:val="24"/>
          <w:szCs w:val="24"/>
          <w:lang w:val="en-GB"/>
        </w:rPr>
        <w:t xml:space="preserve">to improve comparability, however, the adjustments </w:t>
      </w:r>
      <w:r w:rsidR="000A2E82">
        <w:rPr>
          <w:rFonts w:ascii="Times New Roman" w:hAnsi="Times New Roman" w:cs="Times New Roman"/>
          <w:sz w:val="24"/>
          <w:szCs w:val="24"/>
          <w:lang w:val="en-GB"/>
        </w:rPr>
        <w:t>were</w:t>
      </w:r>
      <w:r w:rsidR="00037376" w:rsidRPr="00037376">
        <w:rPr>
          <w:rFonts w:ascii="Times New Roman" w:hAnsi="Times New Roman" w:cs="Times New Roman"/>
          <w:sz w:val="24"/>
          <w:szCs w:val="24"/>
          <w:lang w:val="en-GB"/>
        </w:rPr>
        <w:t xml:space="preserve"> based on limited data and designed for population-level rather than </w:t>
      </w:r>
      <w:r w:rsidR="001277E4" w:rsidRPr="00037376">
        <w:rPr>
          <w:rFonts w:ascii="Times New Roman" w:hAnsi="Times New Roman" w:cs="Times New Roman"/>
          <w:sz w:val="24"/>
          <w:szCs w:val="24"/>
          <w:lang w:val="en-GB"/>
        </w:rPr>
        <w:t>individual</w:t>
      </w:r>
      <w:r w:rsidR="00037376" w:rsidRPr="00037376">
        <w:rPr>
          <w:rFonts w:ascii="Times New Roman" w:hAnsi="Times New Roman" w:cs="Times New Roman"/>
          <w:sz w:val="24"/>
          <w:szCs w:val="24"/>
          <w:lang w:val="en-GB"/>
        </w:rPr>
        <w:t xml:space="preserve">-level analysis. </w:t>
      </w:r>
      <w:r w:rsidR="00EE30B2">
        <w:rPr>
          <w:rFonts w:ascii="Times New Roman" w:hAnsi="Times New Roman" w:cs="Times New Roman"/>
          <w:sz w:val="24"/>
          <w:szCs w:val="24"/>
          <w:lang w:val="en-GB"/>
        </w:rPr>
        <w:t>When considered together,</w:t>
      </w:r>
      <w:r w:rsidR="005B725F">
        <w:rPr>
          <w:rFonts w:ascii="Times New Roman" w:hAnsi="Times New Roman" w:cs="Times New Roman"/>
          <w:sz w:val="24"/>
          <w:szCs w:val="24"/>
          <w:lang w:val="en-GB"/>
        </w:rPr>
        <w:t xml:space="preserve"> it is not clear whether these limitations may have led to an under- or overestimate of the prevalence of </w:t>
      </w:r>
      <w:r w:rsidR="001C5FF7">
        <w:rPr>
          <w:rFonts w:ascii="Times New Roman" w:hAnsi="Times New Roman" w:cs="Times New Roman"/>
          <w:sz w:val="24"/>
          <w:szCs w:val="24"/>
          <w:lang w:val="en-GB"/>
        </w:rPr>
        <w:t>one or more of the three core</w:t>
      </w:r>
      <w:r w:rsidR="005B725F">
        <w:rPr>
          <w:rFonts w:ascii="Times New Roman" w:hAnsi="Times New Roman" w:cs="Times New Roman"/>
          <w:sz w:val="24"/>
          <w:szCs w:val="24"/>
          <w:lang w:val="en-GB"/>
        </w:rPr>
        <w:t xml:space="preserve"> MNDs; our uncertainty intervals do not reflect these limitations</w:t>
      </w:r>
      <w:r w:rsidR="004A7083">
        <w:rPr>
          <w:rFonts w:ascii="Times New Roman" w:hAnsi="Times New Roman" w:cs="Times New Roman"/>
          <w:sz w:val="24"/>
          <w:szCs w:val="24"/>
          <w:lang w:val="en-GB"/>
        </w:rPr>
        <w:t xml:space="preserve">. </w:t>
      </w:r>
      <w:r w:rsidR="00037376" w:rsidRPr="00037376">
        <w:rPr>
          <w:rFonts w:ascii="Times New Roman" w:hAnsi="Times New Roman" w:cs="Times New Roman"/>
          <w:sz w:val="24"/>
          <w:szCs w:val="24"/>
          <w:lang w:val="en-GB"/>
        </w:rPr>
        <w:t xml:space="preserve">Finally, we limited our analysis to three core micronutrients in each population group based on their prevalence and frequency of measurement in population-based data sources; by definition, these </w:t>
      </w:r>
      <w:r w:rsidR="0037468C">
        <w:rPr>
          <w:rFonts w:ascii="Times New Roman" w:hAnsi="Times New Roman" w:cs="Times New Roman"/>
          <w:sz w:val="24"/>
          <w:szCs w:val="24"/>
          <w:lang w:val="en-GB"/>
        </w:rPr>
        <w:t>underestimate</w:t>
      </w:r>
      <w:r w:rsidR="00ED3F98">
        <w:rPr>
          <w:rFonts w:ascii="Times New Roman" w:hAnsi="Times New Roman" w:cs="Times New Roman"/>
          <w:sz w:val="24"/>
          <w:szCs w:val="24"/>
          <w:lang w:val="en-GB"/>
        </w:rPr>
        <w:t>d</w:t>
      </w:r>
      <w:r w:rsidR="0037468C">
        <w:rPr>
          <w:rFonts w:ascii="Times New Roman" w:hAnsi="Times New Roman" w:cs="Times New Roman"/>
          <w:sz w:val="24"/>
          <w:szCs w:val="24"/>
          <w:lang w:val="en-GB"/>
        </w:rPr>
        <w:t xml:space="preserve"> the ful</w:t>
      </w:r>
      <w:r w:rsidR="00037376" w:rsidRPr="00037376">
        <w:rPr>
          <w:rFonts w:ascii="Times New Roman" w:hAnsi="Times New Roman" w:cs="Times New Roman"/>
          <w:sz w:val="24"/>
          <w:szCs w:val="24"/>
          <w:lang w:val="en-GB"/>
        </w:rPr>
        <w:t xml:space="preserve">l </w:t>
      </w:r>
      <w:r w:rsidR="00673606">
        <w:rPr>
          <w:rFonts w:ascii="Times New Roman" w:hAnsi="Times New Roman" w:cs="Times New Roman"/>
          <w:sz w:val="24"/>
          <w:szCs w:val="24"/>
          <w:lang w:val="en-GB"/>
        </w:rPr>
        <w:t>prevalence of MNDs</w:t>
      </w:r>
      <w:r w:rsidR="00037376" w:rsidRPr="00037376">
        <w:rPr>
          <w:rFonts w:ascii="Times New Roman" w:hAnsi="Times New Roman" w:cs="Times New Roman"/>
          <w:sz w:val="24"/>
          <w:szCs w:val="24"/>
          <w:lang w:val="en-GB"/>
        </w:rPr>
        <w:t>.</w:t>
      </w:r>
    </w:p>
    <w:p w14:paraId="510E881C" w14:textId="29DE589F" w:rsidR="000348CE" w:rsidRDefault="000348CE" w:rsidP="000348CE">
      <w:pPr>
        <w:rPr>
          <w:rFonts w:ascii="Times New Roman" w:hAnsi="Times New Roman" w:cs="Times New Roman"/>
          <w:sz w:val="24"/>
          <w:szCs w:val="24"/>
        </w:rPr>
      </w:pPr>
    </w:p>
    <w:p w14:paraId="2AAA67F6" w14:textId="7170C54F" w:rsidR="007C4842" w:rsidRDefault="00497FEE" w:rsidP="009D62AF">
      <w:pPr>
        <w:rPr>
          <w:rFonts w:ascii="Times New Roman" w:hAnsi="Times New Roman" w:cs="Times New Roman"/>
          <w:sz w:val="24"/>
          <w:szCs w:val="24"/>
        </w:rPr>
      </w:pPr>
      <w:r w:rsidRPr="00497FEE">
        <w:rPr>
          <w:rFonts w:ascii="Times New Roman" w:hAnsi="Times New Roman" w:cs="Times New Roman"/>
          <w:sz w:val="24"/>
          <w:szCs w:val="24"/>
        </w:rPr>
        <w:lastRenderedPageBreak/>
        <w:t>Importantly,</w:t>
      </w:r>
      <w:r w:rsidR="006F2699">
        <w:rPr>
          <w:rFonts w:ascii="Times New Roman" w:hAnsi="Times New Roman" w:cs="Times New Roman"/>
          <w:sz w:val="24"/>
          <w:szCs w:val="24"/>
        </w:rPr>
        <w:t xml:space="preserve"> </w:t>
      </w:r>
      <w:r w:rsidR="000A2A2C">
        <w:rPr>
          <w:rFonts w:ascii="Times New Roman" w:hAnsi="Times New Roman" w:cs="Times New Roman"/>
          <w:sz w:val="24"/>
          <w:szCs w:val="24"/>
        </w:rPr>
        <w:t>data on the prevalence and burden of MNDs is lacking or limited to a minimal selection of micronutrients and population groups and is rarely updated routinely</w:t>
      </w:r>
      <w:r w:rsidR="00A625E6">
        <w:rPr>
          <w:rFonts w:ascii="Times New Roman" w:hAnsi="Times New Roman" w:cs="Times New Roman"/>
          <w:sz w:val="24"/>
          <w:szCs w:val="24"/>
        </w:rPr>
        <w:t xml:space="preserve"> in most countries</w:t>
      </w:r>
      <w:r w:rsidR="000A2A2C">
        <w:rPr>
          <w:rFonts w:ascii="Times New Roman" w:hAnsi="Times New Roman" w:cs="Times New Roman"/>
          <w:sz w:val="24"/>
          <w:szCs w:val="24"/>
        </w:rPr>
        <w:t xml:space="preserve">. </w:t>
      </w:r>
      <w:r w:rsidR="00A625E6">
        <w:rPr>
          <w:rFonts w:ascii="Times New Roman" w:hAnsi="Times New Roman" w:cs="Times New Roman"/>
          <w:sz w:val="24"/>
          <w:szCs w:val="24"/>
        </w:rPr>
        <w:t xml:space="preserve">Yet </w:t>
      </w:r>
      <w:r w:rsidR="006F2699">
        <w:rPr>
          <w:rFonts w:ascii="Times New Roman" w:hAnsi="Times New Roman" w:cs="Times New Roman"/>
          <w:sz w:val="24"/>
          <w:szCs w:val="24"/>
        </w:rPr>
        <w:t xml:space="preserve">the pattern of MNDs varies </w:t>
      </w:r>
      <w:r w:rsidR="00F85D8A">
        <w:rPr>
          <w:rFonts w:ascii="Times New Roman" w:hAnsi="Times New Roman" w:cs="Times New Roman"/>
          <w:sz w:val="24"/>
          <w:szCs w:val="24"/>
        </w:rPr>
        <w:t>across countries and regions</w:t>
      </w:r>
      <w:r w:rsidR="006F2699">
        <w:rPr>
          <w:rFonts w:ascii="Times New Roman" w:hAnsi="Times New Roman" w:cs="Times New Roman"/>
          <w:sz w:val="24"/>
          <w:szCs w:val="24"/>
        </w:rPr>
        <w:t xml:space="preserve"> and</w:t>
      </w:r>
      <w:r w:rsidR="006B6ACC">
        <w:rPr>
          <w:rFonts w:ascii="Times New Roman" w:hAnsi="Times New Roman" w:cs="Times New Roman"/>
          <w:sz w:val="24"/>
          <w:szCs w:val="24"/>
        </w:rPr>
        <w:t>,</w:t>
      </w:r>
      <w:r w:rsidR="006F2699">
        <w:rPr>
          <w:rFonts w:ascii="Times New Roman" w:hAnsi="Times New Roman" w:cs="Times New Roman"/>
          <w:sz w:val="24"/>
          <w:szCs w:val="24"/>
        </w:rPr>
        <w:t xml:space="preserve"> therefore</w:t>
      </w:r>
      <w:r w:rsidR="006B6ACC">
        <w:rPr>
          <w:rFonts w:ascii="Times New Roman" w:hAnsi="Times New Roman" w:cs="Times New Roman"/>
          <w:sz w:val="24"/>
          <w:szCs w:val="24"/>
        </w:rPr>
        <w:t>,</w:t>
      </w:r>
      <w:r w:rsidR="006F2699">
        <w:rPr>
          <w:rFonts w:ascii="Times New Roman" w:hAnsi="Times New Roman" w:cs="Times New Roman"/>
          <w:sz w:val="24"/>
          <w:szCs w:val="24"/>
        </w:rPr>
        <w:t xml:space="preserve"> it is essential to characterize each condition</w:t>
      </w:r>
      <w:r w:rsidR="004742A5">
        <w:rPr>
          <w:rFonts w:ascii="Times New Roman" w:hAnsi="Times New Roman" w:cs="Times New Roman"/>
          <w:sz w:val="24"/>
          <w:szCs w:val="24"/>
        </w:rPr>
        <w:t xml:space="preserve"> accordingly</w:t>
      </w:r>
      <w:r w:rsidR="007951E4">
        <w:rPr>
          <w:rFonts w:ascii="Times New Roman" w:hAnsi="Times New Roman" w:cs="Times New Roman"/>
          <w:sz w:val="24"/>
          <w:szCs w:val="24"/>
        </w:rPr>
        <w:t xml:space="preserve"> at the population level</w:t>
      </w:r>
      <w:r w:rsidR="006F2699">
        <w:rPr>
          <w:rFonts w:ascii="Times New Roman" w:hAnsi="Times New Roman" w:cs="Times New Roman"/>
          <w:sz w:val="24"/>
          <w:szCs w:val="24"/>
        </w:rPr>
        <w:t xml:space="preserve">. </w:t>
      </w:r>
      <w:r w:rsidR="00EE78B3">
        <w:rPr>
          <w:rFonts w:ascii="Times New Roman" w:hAnsi="Times New Roman" w:cs="Times New Roman"/>
          <w:sz w:val="24"/>
          <w:szCs w:val="24"/>
        </w:rPr>
        <w:t>W</w:t>
      </w:r>
      <w:r w:rsidR="000348CE" w:rsidRPr="000348CE">
        <w:rPr>
          <w:rFonts w:ascii="Times New Roman" w:hAnsi="Times New Roman" w:cs="Times New Roman"/>
          <w:sz w:val="24"/>
          <w:szCs w:val="24"/>
        </w:rPr>
        <w:t xml:space="preserve">e encourage re-assessment of </w:t>
      </w:r>
      <w:r w:rsidR="00C30CE8">
        <w:rPr>
          <w:rFonts w:ascii="Times New Roman" w:hAnsi="Times New Roman" w:cs="Times New Roman"/>
          <w:sz w:val="24"/>
          <w:szCs w:val="24"/>
        </w:rPr>
        <w:t>the</w:t>
      </w:r>
      <w:r w:rsidR="00C30CE8" w:rsidRPr="000348CE">
        <w:rPr>
          <w:rFonts w:ascii="Times New Roman" w:hAnsi="Times New Roman" w:cs="Times New Roman"/>
          <w:sz w:val="24"/>
          <w:szCs w:val="24"/>
        </w:rPr>
        <w:t xml:space="preserve"> </w:t>
      </w:r>
      <w:r w:rsidR="00930264">
        <w:rPr>
          <w:rFonts w:ascii="Times New Roman" w:hAnsi="Times New Roman" w:cs="Times New Roman"/>
          <w:sz w:val="24"/>
          <w:szCs w:val="24"/>
        </w:rPr>
        <w:t xml:space="preserve">global </w:t>
      </w:r>
      <w:r w:rsidR="000348CE" w:rsidRPr="000348CE">
        <w:rPr>
          <w:rFonts w:ascii="Times New Roman" w:hAnsi="Times New Roman" w:cs="Times New Roman"/>
          <w:sz w:val="24"/>
          <w:szCs w:val="24"/>
        </w:rPr>
        <w:t>burden</w:t>
      </w:r>
      <w:r w:rsidR="00054924">
        <w:rPr>
          <w:rFonts w:ascii="Times New Roman" w:hAnsi="Times New Roman" w:cs="Times New Roman"/>
          <w:sz w:val="24"/>
          <w:szCs w:val="24"/>
        </w:rPr>
        <w:t xml:space="preserve"> of MNDs</w:t>
      </w:r>
      <w:r w:rsidR="000348CE" w:rsidRPr="000348CE">
        <w:rPr>
          <w:rFonts w:ascii="Times New Roman" w:hAnsi="Times New Roman" w:cs="Times New Roman"/>
          <w:sz w:val="24"/>
          <w:szCs w:val="24"/>
        </w:rPr>
        <w:t xml:space="preserve"> </w:t>
      </w:r>
      <w:r w:rsidR="00846E15">
        <w:rPr>
          <w:rFonts w:ascii="Times New Roman" w:hAnsi="Times New Roman" w:cs="Times New Roman"/>
          <w:sz w:val="24"/>
          <w:szCs w:val="24"/>
        </w:rPr>
        <w:t>periodically</w:t>
      </w:r>
      <w:r w:rsidR="00DB4D44">
        <w:rPr>
          <w:rFonts w:ascii="Times New Roman" w:hAnsi="Times New Roman" w:cs="Times New Roman"/>
          <w:sz w:val="24"/>
          <w:szCs w:val="24"/>
        </w:rPr>
        <w:t xml:space="preserve">, </w:t>
      </w:r>
      <w:r w:rsidR="000348CE" w:rsidRPr="000348CE">
        <w:rPr>
          <w:rFonts w:ascii="Times New Roman" w:hAnsi="Times New Roman" w:cs="Times New Roman"/>
          <w:sz w:val="24"/>
          <w:szCs w:val="24"/>
        </w:rPr>
        <w:t xml:space="preserve">using </w:t>
      </w:r>
      <w:r w:rsidR="0065471B">
        <w:rPr>
          <w:rFonts w:ascii="Times New Roman" w:hAnsi="Times New Roman" w:cs="Times New Roman"/>
          <w:sz w:val="24"/>
          <w:szCs w:val="24"/>
        </w:rPr>
        <w:t xml:space="preserve">and improving upon </w:t>
      </w:r>
      <w:r w:rsidR="000348CE" w:rsidRPr="000348CE">
        <w:rPr>
          <w:rFonts w:ascii="Times New Roman" w:hAnsi="Times New Roman" w:cs="Times New Roman"/>
          <w:sz w:val="24"/>
          <w:szCs w:val="24"/>
        </w:rPr>
        <w:t xml:space="preserve">the standardized methodological approach proposed here, particularly as </w:t>
      </w:r>
      <w:r w:rsidR="000663E0">
        <w:rPr>
          <w:rFonts w:ascii="Times New Roman" w:hAnsi="Times New Roman" w:cs="Times New Roman"/>
          <w:sz w:val="24"/>
          <w:szCs w:val="24"/>
        </w:rPr>
        <w:t>additional</w:t>
      </w:r>
      <w:r w:rsidR="000348CE" w:rsidRPr="000348CE">
        <w:rPr>
          <w:rFonts w:ascii="Times New Roman" w:hAnsi="Times New Roman" w:cs="Times New Roman"/>
          <w:sz w:val="24"/>
          <w:szCs w:val="24"/>
        </w:rPr>
        <w:t xml:space="preserve"> </w:t>
      </w:r>
      <w:r w:rsidR="00675ED4">
        <w:rPr>
          <w:rFonts w:ascii="Times New Roman" w:hAnsi="Times New Roman" w:cs="Times New Roman"/>
          <w:sz w:val="24"/>
          <w:szCs w:val="24"/>
        </w:rPr>
        <w:t xml:space="preserve">and more comprehensive </w:t>
      </w:r>
      <w:r w:rsidR="000348CE" w:rsidRPr="000348CE">
        <w:rPr>
          <w:rFonts w:ascii="Times New Roman" w:hAnsi="Times New Roman" w:cs="Times New Roman"/>
          <w:sz w:val="24"/>
          <w:szCs w:val="24"/>
        </w:rPr>
        <w:t xml:space="preserve">data become </w:t>
      </w:r>
      <w:r w:rsidR="00962B5A" w:rsidRPr="000348CE">
        <w:rPr>
          <w:rFonts w:ascii="Times New Roman" w:hAnsi="Times New Roman" w:cs="Times New Roman"/>
          <w:sz w:val="24"/>
          <w:szCs w:val="24"/>
        </w:rPr>
        <w:t>available.</w:t>
      </w:r>
    </w:p>
    <w:p w14:paraId="17CF9EEE" w14:textId="77777777" w:rsidR="00962B5A" w:rsidRDefault="00962B5A">
      <w:pPr>
        <w:rPr>
          <w:rFonts w:ascii="Times New Roman" w:hAnsi="Times New Roman" w:cs="Times New Roman"/>
          <w:sz w:val="24"/>
          <w:szCs w:val="24"/>
        </w:rPr>
      </w:pPr>
    </w:p>
    <w:p w14:paraId="2A15D5AC" w14:textId="77777777" w:rsidR="00B3109C" w:rsidRDefault="00B3109C" w:rsidP="00362305">
      <w:pPr>
        <w:rPr>
          <w:rFonts w:ascii="Times New Roman" w:hAnsi="Times New Roman" w:cs="Times New Roman"/>
          <w:b/>
          <w:bCs/>
          <w:sz w:val="24"/>
          <w:szCs w:val="24"/>
        </w:rPr>
      </w:pPr>
      <w:r>
        <w:rPr>
          <w:rFonts w:ascii="Times New Roman" w:hAnsi="Times New Roman" w:cs="Times New Roman"/>
          <w:b/>
          <w:bCs/>
          <w:sz w:val="24"/>
          <w:szCs w:val="24"/>
        </w:rPr>
        <w:t>Author contributions</w:t>
      </w:r>
    </w:p>
    <w:p w14:paraId="09BC09E7" w14:textId="0D1AC770" w:rsidR="00690570" w:rsidRDefault="004A15FD" w:rsidP="00362305">
      <w:pPr>
        <w:rPr>
          <w:rFonts w:ascii="Times New Roman" w:hAnsi="Times New Roman" w:cs="Times New Roman"/>
          <w:sz w:val="24"/>
          <w:szCs w:val="24"/>
        </w:rPr>
      </w:pPr>
      <w:r>
        <w:rPr>
          <w:rFonts w:ascii="Times New Roman" w:hAnsi="Times New Roman" w:cs="Times New Roman"/>
          <w:sz w:val="24"/>
          <w:szCs w:val="24"/>
        </w:rPr>
        <w:t xml:space="preserve">TB, </w:t>
      </w:r>
      <w:r w:rsidR="003922AE">
        <w:rPr>
          <w:rFonts w:ascii="Times New Roman" w:hAnsi="Times New Roman" w:cs="Times New Roman"/>
          <w:sz w:val="24"/>
          <w:szCs w:val="24"/>
        </w:rPr>
        <w:t xml:space="preserve">GAS, MNNM, and LMN </w:t>
      </w:r>
      <w:r w:rsidR="00562A07">
        <w:rPr>
          <w:rFonts w:ascii="Times New Roman" w:hAnsi="Times New Roman" w:cs="Times New Roman"/>
          <w:sz w:val="24"/>
          <w:szCs w:val="24"/>
        </w:rPr>
        <w:t xml:space="preserve">designed the study and </w:t>
      </w:r>
      <w:r>
        <w:rPr>
          <w:rFonts w:ascii="Times New Roman" w:hAnsi="Times New Roman" w:cs="Times New Roman"/>
          <w:sz w:val="24"/>
          <w:szCs w:val="24"/>
        </w:rPr>
        <w:t>prepared the first draft of the p</w:t>
      </w:r>
      <w:r w:rsidR="003922AE">
        <w:rPr>
          <w:rFonts w:ascii="Times New Roman" w:hAnsi="Times New Roman" w:cs="Times New Roman"/>
          <w:sz w:val="24"/>
          <w:szCs w:val="24"/>
        </w:rPr>
        <w:t>aper</w:t>
      </w:r>
      <w:r w:rsidR="00FC2A81">
        <w:rPr>
          <w:rFonts w:ascii="Times New Roman" w:hAnsi="Times New Roman" w:cs="Times New Roman"/>
          <w:sz w:val="24"/>
          <w:szCs w:val="24"/>
        </w:rPr>
        <w:t>.</w:t>
      </w:r>
      <w:r w:rsidR="00A87500">
        <w:rPr>
          <w:rFonts w:ascii="Times New Roman" w:hAnsi="Times New Roman" w:cs="Times New Roman"/>
          <w:sz w:val="24"/>
          <w:szCs w:val="24"/>
        </w:rPr>
        <w:t xml:space="preserve"> GAS led the data analysis</w:t>
      </w:r>
      <w:r w:rsidR="006F637E">
        <w:rPr>
          <w:rFonts w:ascii="Times New Roman" w:hAnsi="Times New Roman" w:cs="Times New Roman"/>
          <w:sz w:val="24"/>
          <w:szCs w:val="24"/>
        </w:rPr>
        <w:t>, with support from HL. G</w:t>
      </w:r>
      <w:r w:rsidR="002A0EA9">
        <w:rPr>
          <w:rFonts w:ascii="Times New Roman" w:hAnsi="Times New Roman" w:cs="Times New Roman"/>
          <w:sz w:val="24"/>
          <w:szCs w:val="24"/>
        </w:rPr>
        <w:t>A</w:t>
      </w:r>
      <w:r w:rsidR="006F637E">
        <w:rPr>
          <w:rFonts w:ascii="Times New Roman" w:hAnsi="Times New Roman" w:cs="Times New Roman"/>
          <w:sz w:val="24"/>
          <w:szCs w:val="24"/>
        </w:rPr>
        <w:t>S</w:t>
      </w:r>
      <w:r w:rsidR="00C21A54">
        <w:rPr>
          <w:rFonts w:ascii="Times New Roman" w:hAnsi="Times New Roman" w:cs="Times New Roman"/>
          <w:sz w:val="24"/>
          <w:szCs w:val="24"/>
        </w:rPr>
        <w:t xml:space="preserve"> prepared the appendix.</w:t>
      </w:r>
      <w:r w:rsidR="00690570">
        <w:rPr>
          <w:rFonts w:ascii="Times New Roman" w:hAnsi="Times New Roman" w:cs="Times New Roman"/>
          <w:sz w:val="24"/>
          <w:szCs w:val="24"/>
        </w:rPr>
        <w:t xml:space="preserve"> GB, JK, LR, SO, SYH, and WF </w:t>
      </w:r>
      <w:r w:rsidR="00335A5A">
        <w:rPr>
          <w:rFonts w:ascii="Times New Roman" w:hAnsi="Times New Roman" w:cs="Times New Roman"/>
          <w:sz w:val="24"/>
          <w:szCs w:val="24"/>
        </w:rPr>
        <w:t>were on the Advisory Panel.</w:t>
      </w:r>
      <w:r w:rsidR="00C21A54">
        <w:rPr>
          <w:rFonts w:ascii="Times New Roman" w:hAnsi="Times New Roman" w:cs="Times New Roman"/>
          <w:sz w:val="24"/>
          <w:szCs w:val="24"/>
        </w:rPr>
        <w:t xml:space="preserve"> </w:t>
      </w:r>
      <w:r w:rsidR="001610CC" w:rsidRPr="001610CC">
        <w:rPr>
          <w:rFonts w:ascii="Times New Roman" w:hAnsi="Times New Roman" w:cs="Times New Roman"/>
          <w:sz w:val="24"/>
          <w:szCs w:val="24"/>
        </w:rPr>
        <w:t xml:space="preserve">All authors provided </w:t>
      </w:r>
      <w:r w:rsidR="001610CC">
        <w:rPr>
          <w:rFonts w:ascii="Times New Roman" w:hAnsi="Times New Roman" w:cs="Times New Roman"/>
          <w:sz w:val="24"/>
          <w:szCs w:val="24"/>
        </w:rPr>
        <w:t>feedback on</w:t>
      </w:r>
      <w:r w:rsidR="001610CC" w:rsidRPr="001610CC">
        <w:rPr>
          <w:rFonts w:ascii="Times New Roman" w:hAnsi="Times New Roman" w:cs="Times New Roman"/>
          <w:sz w:val="24"/>
          <w:szCs w:val="24"/>
        </w:rPr>
        <w:t xml:space="preserve"> the</w:t>
      </w:r>
      <w:r w:rsidR="002A0EA9">
        <w:rPr>
          <w:rFonts w:ascii="Times New Roman" w:hAnsi="Times New Roman" w:cs="Times New Roman"/>
          <w:sz w:val="24"/>
          <w:szCs w:val="24"/>
        </w:rPr>
        <w:t xml:space="preserve"> analysis and the</w:t>
      </w:r>
      <w:r w:rsidR="001610CC" w:rsidRPr="001610CC">
        <w:rPr>
          <w:rFonts w:ascii="Times New Roman" w:hAnsi="Times New Roman" w:cs="Times New Roman"/>
          <w:sz w:val="24"/>
          <w:szCs w:val="24"/>
        </w:rPr>
        <w:t xml:space="preserve"> manuscript and have read and approved the final version.</w:t>
      </w:r>
      <w:r w:rsidR="00BD2E12">
        <w:rPr>
          <w:rFonts w:ascii="Times New Roman" w:hAnsi="Times New Roman" w:cs="Times New Roman"/>
          <w:sz w:val="24"/>
          <w:szCs w:val="24"/>
        </w:rPr>
        <w:t xml:space="preserve"> </w:t>
      </w:r>
      <w:r w:rsidR="00562A07">
        <w:rPr>
          <w:rFonts w:ascii="Times New Roman" w:hAnsi="Times New Roman" w:cs="Times New Roman"/>
          <w:sz w:val="24"/>
          <w:szCs w:val="24"/>
        </w:rPr>
        <w:t>LMN</w:t>
      </w:r>
      <w:r w:rsidR="00BE5A95" w:rsidRPr="00BE5A95">
        <w:rPr>
          <w:rFonts w:ascii="Times New Roman" w:hAnsi="Times New Roman" w:cs="Times New Roman"/>
          <w:sz w:val="24"/>
          <w:szCs w:val="24"/>
        </w:rPr>
        <w:t xml:space="preserve"> holds final responsibility for its content.</w:t>
      </w:r>
    </w:p>
    <w:p w14:paraId="74177934" w14:textId="77777777" w:rsidR="00BE5A95" w:rsidRDefault="00BE5A95" w:rsidP="00362305">
      <w:pPr>
        <w:rPr>
          <w:rFonts w:ascii="Times New Roman" w:hAnsi="Times New Roman" w:cs="Times New Roman"/>
          <w:b/>
          <w:bCs/>
          <w:sz w:val="24"/>
          <w:szCs w:val="24"/>
        </w:rPr>
      </w:pPr>
    </w:p>
    <w:p w14:paraId="0BCD2E18" w14:textId="15ABC22A" w:rsidR="00D53E92" w:rsidRDefault="00D53E92" w:rsidP="00362305">
      <w:pPr>
        <w:rPr>
          <w:rFonts w:ascii="Times New Roman" w:hAnsi="Times New Roman" w:cs="Times New Roman"/>
          <w:b/>
          <w:bCs/>
          <w:sz w:val="24"/>
          <w:szCs w:val="24"/>
        </w:rPr>
      </w:pPr>
      <w:r>
        <w:rPr>
          <w:rFonts w:ascii="Times New Roman" w:hAnsi="Times New Roman" w:cs="Times New Roman"/>
          <w:b/>
          <w:bCs/>
          <w:sz w:val="24"/>
          <w:szCs w:val="24"/>
        </w:rPr>
        <w:t>Declaration of interests</w:t>
      </w:r>
    </w:p>
    <w:p w14:paraId="7D6FD214" w14:textId="5C0515E3" w:rsidR="000124BB" w:rsidRDefault="000124BB" w:rsidP="00362305">
      <w:pPr>
        <w:rPr>
          <w:rFonts w:ascii="Times New Roman" w:hAnsi="Times New Roman" w:cs="Times New Roman"/>
          <w:sz w:val="24"/>
          <w:szCs w:val="24"/>
          <w:lang w:val="en-GB"/>
        </w:rPr>
      </w:pPr>
      <w:r w:rsidRPr="000124BB">
        <w:rPr>
          <w:rFonts w:ascii="Times New Roman" w:hAnsi="Times New Roman" w:cs="Times New Roman"/>
          <w:sz w:val="24"/>
          <w:szCs w:val="24"/>
          <w:lang w:val="en-GB"/>
        </w:rPr>
        <w:t>All authors, no interests to disclose.</w:t>
      </w:r>
    </w:p>
    <w:p w14:paraId="0372963D" w14:textId="7ABD8F18" w:rsidR="00C859EA" w:rsidRPr="00C859EA" w:rsidRDefault="00C859EA" w:rsidP="00362305">
      <w:pPr>
        <w:rPr>
          <w:rFonts w:ascii="Times New Roman" w:eastAsia="Dotum" w:hAnsi="Times New Roman" w:cs="Times New Roman"/>
          <w:sz w:val="24"/>
          <w:szCs w:val="24"/>
        </w:rPr>
      </w:pPr>
      <w:r w:rsidRPr="00C859EA">
        <w:rPr>
          <w:rFonts w:ascii="Times New Roman" w:eastAsia="Dotum" w:hAnsi="Times New Roman" w:cs="Times New Roman"/>
          <w:sz w:val="24"/>
          <w:szCs w:val="24"/>
        </w:rPr>
        <w:t xml:space="preserve">The findings and conclusions in this </w:t>
      </w:r>
      <w:r w:rsidR="00756AD4">
        <w:rPr>
          <w:rFonts w:ascii="Times New Roman" w:eastAsia="Dotum" w:hAnsi="Times New Roman" w:cs="Times New Roman"/>
          <w:sz w:val="24"/>
          <w:szCs w:val="24"/>
        </w:rPr>
        <w:t>article</w:t>
      </w:r>
      <w:r w:rsidRPr="00C859EA">
        <w:rPr>
          <w:rFonts w:ascii="Times New Roman" w:eastAsia="Dotum" w:hAnsi="Times New Roman" w:cs="Times New Roman"/>
          <w:sz w:val="24"/>
          <w:szCs w:val="24"/>
        </w:rPr>
        <w:t xml:space="preserve"> are those of the authors and do not necessarily represent the official position of the Centers for Disease Control and Prevention.</w:t>
      </w:r>
    </w:p>
    <w:p w14:paraId="2DA6FDFF" w14:textId="77777777" w:rsidR="00D2664D" w:rsidRDefault="00D2664D" w:rsidP="00362305">
      <w:pPr>
        <w:rPr>
          <w:rFonts w:ascii="Times New Roman" w:hAnsi="Times New Roman" w:cs="Times New Roman"/>
          <w:b/>
          <w:bCs/>
          <w:sz w:val="24"/>
          <w:szCs w:val="24"/>
        </w:rPr>
      </w:pPr>
    </w:p>
    <w:p w14:paraId="1F1C3B9C" w14:textId="301E0C5E" w:rsidR="00362305" w:rsidRPr="00C86E75" w:rsidRDefault="00AA0AAF" w:rsidP="00362305">
      <w:pPr>
        <w:rPr>
          <w:rFonts w:ascii="Times New Roman" w:hAnsi="Times New Roman" w:cs="Times New Roman"/>
          <w:sz w:val="24"/>
          <w:szCs w:val="24"/>
        </w:rPr>
      </w:pPr>
      <w:r w:rsidRPr="00BA22AC">
        <w:rPr>
          <w:rFonts w:ascii="Times New Roman" w:hAnsi="Times New Roman" w:cs="Times New Roman"/>
          <w:b/>
          <w:bCs/>
          <w:sz w:val="24"/>
          <w:szCs w:val="24"/>
        </w:rPr>
        <w:t>Acknowledgments</w:t>
      </w:r>
    </w:p>
    <w:p w14:paraId="14288AA6" w14:textId="66DA7B8F" w:rsidR="003C3FFC" w:rsidRPr="00E06ED3" w:rsidRDefault="003C3FFC" w:rsidP="003C3FFC">
      <w:pPr>
        <w:rPr>
          <w:rFonts w:ascii="Times New Roman" w:eastAsia="Dotum" w:hAnsi="Times New Roman" w:cs="Times New Roman"/>
          <w:sz w:val="24"/>
          <w:szCs w:val="24"/>
        </w:rPr>
      </w:pPr>
      <w:r w:rsidRPr="00E06ED3">
        <w:rPr>
          <w:rFonts w:ascii="Times New Roman" w:eastAsia="Dotum" w:hAnsi="Times New Roman" w:cs="Times New Roman"/>
          <w:sz w:val="24"/>
          <w:szCs w:val="24"/>
        </w:rPr>
        <w:t xml:space="preserve">We gratefully acknowledge </w:t>
      </w:r>
      <w:r>
        <w:rPr>
          <w:rFonts w:ascii="Times New Roman" w:eastAsia="Dotum" w:hAnsi="Times New Roman" w:cs="Times New Roman"/>
          <w:sz w:val="24"/>
          <w:szCs w:val="24"/>
        </w:rPr>
        <w:t xml:space="preserve">feedback on the analysis from Advisory Panel members, Daniel Roth and Ashkan Afshin; </w:t>
      </w:r>
      <w:r w:rsidRPr="00E06ED3">
        <w:rPr>
          <w:rFonts w:ascii="Times New Roman" w:eastAsia="Dotum" w:hAnsi="Times New Roman" w:cs="Times New Roman"/>
          <w:sz w:val="24"/>
          <w:szCs w:val="24"/>
        </w:rPr>
        <w:t>support from</w:t>
      </w:r>
      <w:r>
        <w:rPr>
          <w:rFonts w:ascii="Times New Roman" w:eastAsia="Dotum" w:hAnsi="Times New Roman" w:cs="Times New Roman"/>
          <w:sz w:val="24"/>
          <w:szCs w:val="24"/>
        </w:rPr>
        <w:t xml:space="preserve"> Veronica Varela on the search process; feedback on the analysis and manuscript from Omar </w:t>
      </w:r>
      <w:proofErr w:type="spellStart"/>
      <w:r>
        <w:rPr>
          <w:rFonts w:ascii="Times New Roman" w:eastAsia="Dotum" w:hAnsi="Times New Roman" w:cs="Times New Roman"/>
          <w:sz w:val="24"/>
          <w:szCs w:val="24"/>
        </w:rPr>
        <w:t>Dary</w:t>
      </w:r>
      <w:proofErr w:type="spellEnd"/>
      <w:r>
        <w:rPr>
          <w:rFonts w:ascii="Times New Roman" w:eastAsia="Dotum" w:hAnsi="Times New Roman" w:cs="Times New Roman"/>
          <w:sz w:val="24"/>
          <w:szCs w:val="24"/>
        </w:rPr>
        <w:t>; and feedback on the methods from James Wirth.</w:t>
      </w:r>
    </w:p>
    <w:p w14:paraId="7076B28D" w14:textId="53646257" w:rsidR="00E06ED3" w:rsidRDefault="00E06ED3" w:rsidP="00AA0AAF">
      <w:pPr>
        <w:rPr>
          <w:rFonts w:ascii="Times New Roman" w:eastAsia="Dotum" w:hAnsi="Times New Roman" w:cs="Times New Roman"/>
          <w:sz w:val="24"/>
          <w:szCs w:val="24"/>
        </w:rPr>
      </w:pPr>
    </w:p>
    <w:p w14:paraId="0B89EACC" w14:textId="15D9ACBF" w:rsidR="00AA0AAF" w:rsidRDefault="007D069E" w:rsidP="00AA0AAF">
      <w:pPr>
        <w:rPr>
          <w:rFonts w:ascii="Times New Roman" w:eastAsia="Dotum" w:hAnsi="Times New Roman" w:cs="Times New Roman"/>
          <w:sz w:val="24"/>
          <w:szCs w:val="24"/>
        </w:rPr>
      </w:pPr>
      <w:r>
        <w:rPr>
          <w:rFonts w:ascii="Times New Roman" w:eastAsia="Dotum" w:hAnsi="Times New Roman" w:cs="Times New Roman"/>
          <w:sz w:val="24"/>
          <w:szCs w:val="24"/>
        </w:rPr>
        <w:t xml:space="preserve">The </w:t>
      </w:r>
      <w:r w:rsidRPr="00C86E75">
        <w:rPr>
          <w:rFonts w:ascii="Times New Roman" w:eastAsia="Dotum" w:hAnsi="Times New Roman" w:cs="Times New Roman"/>
          <w:sz w:val="24"/>
          <w:szCs w:val="24"/>
        </w:rPr>
        <w:t xml:space="preserve">USAID provided financial support for this article through its flagship multisectoral nutrition project, </w:t>
      </w:r>
      <w:r w:rsidR="00AB6012">
        <w:rPr>
          <w:rFonts w:ascii="Times New Roman" w:eastAsia="Dotum" w:hAnsi="Times New Roman" w:cs="Times New Roman"/>
          <w:sz w:val="24"/>
          <w:szCs w:val="24"/>
        </w:rPr>
        <w:t xml:space="preserve">the </w:t>
      </w:r>
      <w:r w:rsidR="00AB6012" w:rsidRPr="00165106">
        <w:rPr>
          <w:rFonts w:ascii="Times New Roman" w:eastAsia="Dotum" w:hAnsi="Times New Roman" w:cs="Times New Roman"/>
          <w:sz w:val="24"/>
          <w:szCs w:val="24"/>
        </w:rPr>
        <w:t>United States Agency for International Development</w:t>
      </w:r>
      <w:r w:rsidR="00AB6012" w:rsidRPr="00C86E75">
        <w:rPr>
          <w:rFonts w:ascii="Times New Roman" w:eastAsia="Dotum" w:hAnsi="Times New Roman" w:cs="Times New Roman"/>
          <w:sz w:val="24"/>
          <w:szCs w:val="24"/>
        </w:rPr>
        <w:t xml:space="preserve"> </w:t>
      </w:r>
      <w:r w:rsidRPr="00C86E75">
        <w:rPr>
          <w:rFonts w:ascii="Times New Roman" w:eastAsia="Dotum" w:hAnsi="Times New Roman" w:cs="Times New Roman"/>
          <w:sz w:val="24"/>
          <w:szCs w:val="24"/>
        </w:rPr>
        <w:t>USAID Advancing Nutrition. It was prepared under the terms of contract 7200AA18C00070 awarded to JSI Research &amp; Training Institute, Inc.</w:t>
      </w:r>
      <w:r>
        <w:rPr>
          <w:rFonts w:ascii="Times New Roman" w:eastAsia="Dotum" w:hAnsi="Times New Roman" w:cs="Times New Roman"/>
          <w:sz w:val="24"/>
          <w:szCs w:val="24"/>
        </w:rPr>
        <w:t xml:space="preserve"> </w:t>
      </w:r>
      <w:r w:rsidRPr="00EB1DEE">
        <w:rPr>
          <w:rFonts w:ascii="Times New Roman" w:eastAsia="Dotum" w:hAnsi="Times New Roman" w:cs="Times New Roman"/>
          <w:sz w:val="24"/>
          <w:szCs w:val="24"/>
        </w:rPr>
        <w:t xml:space="preserve">The contents are the responsibility of </w:t>
      </w:r>
      <w:r w:rsidR="00FB7DEE">
        <w:rPr>
          <w:rFonts w:ascii="Times New Roman" w:eastAsia="Dotum" w:hAnsi="Times New Roman" w:cs="Times New Roman"/>
          <w:sz w:val="24"/>
          <w:szCs w:val="24"/>
        </w:rPr>
        <w:t xml:space="preserve">the Global Alliance for Improved Nutrition (GAIN) and </w:t>
      </w:r>
      <w:r w:rsidRPr="00EB1DEE">
        <w:rPr>
          <w:rFonts w:ascii="Times New Roman" w:eastAsia="Dotum" w:hAnsi="Times New Roman" w:cs="Times New Roman"/>
          <w:sz w:val="24"/>
          <w:szCs w:val="24"/>
        </w:rPr>
        <w:t>JSI and do not necessarily reflect the views of USAID or the U.S. Government.</w:t>
      </w:r>
      <w:r>
        <w:rPr>
          <w:rFonts w:ascii="Times New Roman" w:eastAsia="Dotum" w:hAnsi="Times New Roman" w:cs="Times New Roman"/>
          <w:sz w:val="24"/>
          <w:szCs w:val="24"/>
        </w:rPr>
        <w:t xml:space="preserve"> </w:t>
      </w:r>
      <w:r w:rsidR="00165106" w:rsidRPr="00165106">
        <w:rPr>
          <w:rFonts w:ascii="Times New Roman" w:eastAsia="Dotum" w:hAnsi="Times New Roman" w:cs="Times New Roman"/>
          <w:sz w:val="24"/>
          <w:szCs w:val="24"/>
        </w:rPr>
        <w:t xml:space="preserve">We acknowledge the contributions of datasets and guidance from the Biomarkers Reflecting Inflammation and Nutritional Determinants of Anemia </w:t>
      </w:r>
      <w:r w:rsidR="00165106">
        <w:rPr>
          <w:rFonts w:ascii="Times New Roman" w:eastAsia="Dotum" w:hAnsi="Times New Roman" w:cs="Times New Roman"/>
          <w:sz w:val="24"/>
          <w:szCs w:val="24"/>
        </w:rPr>
        <w:t>(</w:t>
      </w:r>
      <w:r w:rsidR="00165106" w:rsidRPr="00165106">
        <w:rPr>
          <w:rFonts w:ascii="Times New Roman" w:eastAsia="Dotum" w:hAnsi="Times New Roman" w:cs="Times New Roman"/>
          <w:sz w:val="24"/>
          <w:szCs w:val="24"/>
        </w:rPr>
        <w:t>BRINDA</w:t>
      </w:r>
      <w:r w:rsidR="00165106">
        <w:rPr>
          <w:rFonts w:ascii="Times New Roman" w:eastAsia="Dotum" w:hAnsi="Times New Roman" w:cs="Times New Roman"/>
          <w:sz w:val="24"/>
          <w:szCs w:val="24"/>
        </w:rPr>
        <w:t>)</w:t>
      </w:r>
      <w:r w:rsidR="00165106" w:rsidRPr="00165106">
        <w:rPr>
          <w:rFonts w:ascii="Times New Roman" w:eastAsia="Dotum" w:hAnsi="Times New Roman" w:cs="Times New Roman"/>
          <w:sz w:val="24"/>
          <w:szCs w:val="24"/>
        </w:rPr>
        <w:t> working group and steering committee members (</w:t>
      </w:r>
      <w:hyperlink r:id="rId18" w:history="1">
        <w:r w:rsidR="00165106" w:rsidRPr="00165106">
          <w:rPr>
            <w:rStyle w:val="Hyperlink"/>
            <w:rFonts w:ascii="Times New Roman" w:eastAsia="Dotum" w:hAnsi="Times New Roman" w:cs="Times New Roman"/>
            <w:sz w:val="24"/>
            <w:szCs w:val="24"/>
          </w:rPr>
          <w:t>https://brinda-nutrition.org</w:t>
        </w:r>
      </w:hyperlink>
      <w:r w:rsidR="00165106" w:rsidRPr="00165106">
        <w:rPr>
          <w:rFonts w:ascii="Times New Roman" w:eastAsia="Dotum" w:hAnsi="Times New Roman" w:cs="Times New Roman"/>
          <w:sz w:val="24"/>
          <w:szCs w:val="24"/>
        </w:rPr>
        <w:t>).</w:t>
      </w:r>
      <w:r w:rsidR="00165106">
        <w:rPr>
          <w:rFonts w:ascii="Times New Roman" w:eastAsia="Dotum" w:hAnsi="Times New Roman" w:cs="Times New Roman"/>
          <w:sz w:val="24"/>
          <w:szCs w:val="24"/>
        </w:rPr>
        <w:t xml:space="preserve"> </w:t>
      </w:r>
      <w:r w:rsidR="00165106" w:rsidRPr="00165106">
        <w:rPr>
          <w:rFonts w:ascii="Times New Roman" w:eastAsia="Dotum" w:hAnsi="Times New Roman" w:cs="Times New Roman"/>
          <w:sz w:val="24"/>
          <w:szCs w:val="24"/>
        </w:rPr>
        <w:t xml:space="preserve">The BRINDA project is supported by the Bill &amp; Melinda Gates Foundation, Centers for Disease Control and Prevention, </w:t>
      </w:r>
      <w:r w:rsidR="00165106" w:rsidRPr="00165106">
        <w:rPr>
          <w:rFonts w:ascii="Times New Roman" w:eastAsia="Dotum" w:hAnsi="Times New Roman" w:cs="Times New Roman"/>
          <w:i/>
          <w:iCs/>
          <w:sz w:val="24"/>
          <w:szCs w:val="24"/>
        </w:rPr>
        <w:t>Eunice Kennedy Shriver</w:t>
      </w:r>
      <w:r w:rsidR="00165106" w:rsidRPr="00165106">
        <w:rPr>
          <w:rFonts w:ascii="Times New Roman" w:eastAsia="Dotum" w:hAnsi="Times New Roman" w:cs="Times New Roman"/>
          <w:sz w:val="24"/>
          <w:szCs w:val="24"/>
        </w:rPr>
        <w:t xml:space="preserve"> National Institute of Child Health and Human Development, </w:t>
      </w:r>
      <w:proofErr w:type="spellStart"/>
      <w:r w:rsidR="00165106" w:rsidRPr="00165106">
        <w:rPr>
          <w:rFonts w:ascii="Times New Roman" w:eastAsia="Dotum" w:hAnsi="Times New Roman" w:cs="Times New Roman"/>
          <w:sz w:val="24"/>
          <w:szCs w:val="24"/>
        </w:rPr>
        <w:t>HarvestPlus</w:t>
      </w:r>
      <w:proofErr w:type="spellEnd"/>
      <w:r w:rsidR="00165106" w:rsidRPr="00165106">
        <w:rPr>
          <w:rFonts w:ascii="Times New Roman" w:eastAsia="Dotum" w:hAnsi="Times New Roman" w:cs="Times New Roman"/>
          <w:sz w:val="24"/>
          <w:szCs w:val="24"/>
        </w:rPr>
        <w:t xml:space="preserve">, and </w:t>
      </w:r>
      <w:r w:rsidR="00EF330D">
        <w:rPr>
          <w:rFonts w:ascii="Times New Roman" w:eastAsia="Dotum" w:hAnsi="Times New Roman" w:cs="Times New Roman"/>
          <w:sz w:val="24"/>
          <w:szCs w:val="24"/>
        </w:rPr>
        <w:t>USAID</w:t>
      </w:r>
      <w:r w:rsidR="00165106" w:rsidRPr="00165106">
        <w:rPr>
          <w:rFonts w:ascii="Times New Roman" w:eastAsia="Dotum" w:hAnsi="Times New Roman" w:cs="Times New Roman"/>
          <w:sz w:val="24"/>
          <w:szCs w:val="24"/>
        </w:rPr>
        <w:t>.</w:t>
      </w:r>
      <w:r>
        <w:rPr>
          <w:rFonts w:ascii="Times New Roman" w:eastAsia="Dotum" w:hAnsi="Times New Roman" w:cs="Times New Roman"/>
          <w:sz w:val="24"/>
          <w:szCs w:val="24"/>
        </w:rPr>
        <w:t xml:space="preserve"> </w:t>
      </w:r>
      <w:r w:rsidR="00AA0AAF" w:rsidRPr="00C86E75">
        <w:rPr>
          <w:rFonts w:ascii="Times New Roman" w:eastAsia="Dotum" w:hAnsi="Times New Roman" w:cs="Times New Roman"/>
          <w:sz w:val="24"/>
          <w:szCs w:val="24"/>
        </w:rPr>
        <w:t xml:space="preserve">This analysis was </w:t>
      </w:r>
      <w:r w:rsidR="00DA1967">
        <w:rPr>
          <w:rFonts w:ascii="Times New Roman" w:eastAsia="Dotum" w:hAnsi="Times New Roman" w:cs="Times New Roman"/>
          <w:sz w:val="24"/>
          <w:szCs w:val="24"/>
        </w:rPr>
        <w:t xml:space="preserve">also </w:t>
      </w:r>
      <w:r w:rsidR="00AA0AAF" w:rsidRPr="00C86E75">
        <w:rPr>
          <w:rFonts w:ascii="Times New Roman" w:eastAsia="Dotum" w:hAnsi="Times New Roman" w:cs="Times New Roman"/>
          <w:sz w:val="24"/>
          <w:szCs w:val="24"/>
        </w:rPr>
        <w:t xml:space="preserve">made possible by publicly available and shared data from: Population Council and UNICEF (India); University of Ghana-Legon; Ethiopian Public Health Institute; the UK data service; the Centers for Disease Control and Prevention (USA); Instituto Nacional de </w:t>
      </w:r>
      <w:proofErr w:type="spellStart"/>
      <w:r w:rsidR="00AA0AAF" w:rsidRPr="00C86E75">
        <w:rPr>
          <w:rFonts w:ascii="Times New Roman" w:eastAsia="Dotum" w:hAnsi="Times New Roman" w:cs="Times New Roman"/>
          <w:sz w:val="24"/>
          <w:szCs w:val="24"/>
        </w:rPr>
        <w:t>Salud</w:t>
      </w:r>
      <w:proofErr w:type="spellEnd"/>
      <w:r w:rsidR="00AA0AAF" w:rsidRPr="00C86E75">
        <w:rPr>
          <w:rFonts w:ascii="Times New Roman" w:eastAsia="Dotum" w:hAnsi="Times New Roman" w:cs="Times New Roman"/>
          <w:sz w:val="24"/>
          <w:szCs w:val="24"/>
        </w:rPr>
        <w:t xml:space="preserve"> y </w:t>
      </w:r>
      <w:proofErr w:type="spellStart"/>
      <w:r w:rsidR="00AA0AAF" w:rsidRPr="00C86E75">
        <w:rPr>
          <w:rFonts w:ascii="Times New Roman" w:eastAsia="Dotum" w:hAnsi="Times New Roman" w:cs="Times New Roman"/>
          <w:sz w:val="24"/>
          <w:szCs w:val="24"/>
        </w:rPr>
        <w:t>Nutrición</w:t>
      </w:r>
      <w:proofErr w:type="spellEnd"/>
      <w:r w:rsidR="00AA0AAF" w:rsidRPr="00C86E75">
        <w:rPr>
          <w:rFonts w:ascii="Times New Roman" w:eastAsia="Dotum" w:hAnsi="Times New Roman" w:cs="Times New Roman"/>
          <w:sz w:val="24"/>
          <w:szCs w:val="24"/>
        </w:rPr>
        <w:t xml:space="preserve"> (México); and the </w:t>
      </w:r>
      <w:proofErr w:type="spellStart"/>
      <w:r w:rsidR="00AA0AAF" w:rsidRPr="00C86E75">
        <w:rPr>
          <w:rFonts w:ascii="Times New Roman" w:eastAsia="Dotum" w:hAnsi="Times New Roman" w:cs="Times New Roman"/>
          <w:sz w:val="24"/>
          <w:szCs w:val="24"/>
        </w:rPr>
        <w:t>Secretaría</w:t>
      </w:r>
      <w:proofErr w:type="spellEnd"/>
      <w:r w:rsidR="00AA0AAF" w:rsidRPr="00C86E75">
        <w:rPr>
          <w:rFonts w:ascii="Times New Roman" w:eastAsia="Dotum" w:hAnsi="Times New Roman" w:cs="Times New Roman"/>
          <w:sz w:val="24"/>
          <w:szCs w:val="24"/>
        </w:rPr>
        <w:t xml:space="preserve"> de </w:t>
      </w:r>
      <w:proofErr w:type="spellStart"/>
      <w:r w:rsidR="00AA0AAF" w:rsidRPr="00C86E75">
        <w:rPr>
          <w:rFonts w:ascii="Times New Roman" w:eastAsia="Dotum" w:hAnsi="Times New Roman" w:cs="Times New Roman"/>
          <w:sz w:val="24"/>
          <w:szCs w:val="24"/>
        </w:rPr>
        <w:t>Seguridad</w:t>
      </w:r>
      <w:proofErr w:type="spellEnd"/>
      <w:r w:rsidR="00AA0AAF" w:rsidRPr="00C86E75">
        <w:rPr>
          <w:rFonts w:ascii="Times New Roman" w:eastAsia="Dotum" w:hAnsi="Times New Roman" w:cs="Times New Roman"/>
          <w:sz w:val="24"/>
          <w:szCs w:val="24"/>
        </w:rPr>
        <w:t xml:space="preserve"> Alimentaria y </w:t>
      </w:r>
      <w:proofErr w:type="spellStart"/>
      <w:r w:rsidR="00AA0AAF" w:rsidRPr="00C86E75">
        <w:rPr>
          <w:rFonts w:ascii="Times New Roman" w:eastAsia="Dotum" w:hAnsi="Times New Roman" w:cs="Times New Roman"/>
          <w:sz w:val="24"/>
          <w:szCs w:val="24"/>
        </w:rPr>
        <w:t>Nutricional</w:t>
      </w:r>
      <w:proofErr w:type="spellEnd"/>
      <w:r w:rsidR="00AA0AAF" w:rsidRPr="00C86E75">
        <w:rPr>
          <w:rFonts w:ascii="Times New Roman" w:eastAsia="Dotum" w:hAnsi="Times New Roman" w:cs="Times New Roman"/>
          <w:sz w:val="24"/>
          <w:szCs w:val="24"/>
        </w:rPr>
        <w:t xml:space="preserve"> (Guatemala).</w:t>
      </w:r>
    </w:p>
    <w:p w14:paraId="041903CC" w14:textId="4EB352FE" w:rsidR="00554F5A" w:rsidRDefault="00554F5A" w:rsidP="00AA0AAF">
      <w:pPr>
        <w:rPr>
          <w:rFonts w:ascii="Times New Roman" w:eastAsia="Dotum" w:hAnsi="Times New Roman" w:cs="Times New Roman"/>
          <w:sz w:val="24"/>
          <w:szCs w:val="24"/>
        </w:rPr>
      </w:pPr>
    </w:p>
    <w:p w14:paraId="62E72664" w14:textId="77777777" w:rsidR="00B50DF0" w:rsidRDefault="00554F5A" w:rsidP="00AA0AAF">
      <w:pPr>
        <w:rPr>
          <w:rFonts w:ascii="Times New Roman" w:eastAsia="Dotum" w:hAnsi="Times New Roman" w:cs="Times New Roman"/>
          <w:sz w:val="24"/>
          <w:szCs w:val="24"/>
          <w:lang w:val="en-GB"/>
        </w:rPr>
        <w:sectPr w:rsidR="00B50DF0" w:rsidSect="0014230A">
          <w:pgSz w:w="11900" w:h="16820"/>
          <w:pgMar w:top="1440" w:right="1440" w:bottom="1440" w:left="1440" w:header="720" w:footer="720" w:gutter="0"/>
          <w:lnNumType w:countBy="1" w:restart="continuous"/>
          <w:cols w:space="720"/>
          <w:docGrid w:linePitch="360"/>
        </w:sectPr>
      </w:pPr>
      <w:r>
        <w:rPr>
          <w:rFonts w:ascii="Times New Roman" w:eastAsia="Dotum" w:hAnsi="Times New Roman" w:cs="Times New Roman"/>
          <w:sz w:val="24"/>
          <w:szCs w:val="24"/>
        </w:rPr>
        <w:t>Estimates and computer code are available at:</w:t>
      </w:r>
      <w:r w:rsidR="00606519">
        <w:rPr>
          <w:rFonts w:ascii="Times New Roman" w:eastAsia="Dotum" w:hAnsi="Times New Roman" w:cs="Times New Roman"/>
          <w:sz w:val="24"/>
          <w:szCs w:val="24"/>
        </w:rPr>
        <w:t xml:space="preserve"> </w:t>
      </w:r>
      <w:hyperlink r:id="rId19" w:history="1">
        <w:r w:rsidR="00606519" w:rsidRPr="00C77BE2">
          <w:rPr>
            <w:rStyle w:val="Hyperlink"/>
            <w:rFonts w:ascii="Times New Roman" w:eastAsia="Dotum" w:hAnsi="Times New Roman" w:cs="Times New Roman"/>
            <w:sz w:val="24"/>
            <w:szCs w:val="24"/>
            <w:lang w:val="en-GB"/>
          </w:rPr>
          <w:t>https://github.com/GAINAlliance/hiddenhunger</w:t>
        </w:r>
      </w:hyperlink>
    </w:p>
    <w:p w14:paraId="43AD8286" w14:textId="0C441370" w:rsidR="007A14C0" w:rsidRPr="007A14C0" w:rsidRDefault="007A14C0">
      <w:pPr>
        <w:rPr>
          <w:rFonts w:ascii="Times New Roman" w:hAnsi="Times New Roman" w:cs="Times New Roman"/>
          <w:b/>
          <w:bCs/>
          <w:sz w:val="24"/>
          <w:szCs w:val="24"/>
        </w:rPr>
      </w:pPr>
      <w:r w:rsidRPr="007A14C0">
        <w:rPr>
          <w:rFonts w:ascii="Times New Roman" w:hAnsi="Times New Roman" w:cs="Times New Roman"/>
          <w:b/>
          <w:bCs/>
          <w:sz w:val="24"/>
          <w:szCs w:val="24"/>
        </w:rPr>
        <w:lastRenderedPageBreak/>
        <w:t>References</w:t>
      </w:r>
    </w:p>
    <w:p w14:paraId="00C2E3DB" w14:textId="1B99D21E" w:rsidR="007C4842" w:rsidRDefault="00B14131">
      <w:pPr>
        <w:rPr>
          <w:rFonts w:ascii="Times New Roman" w:hAnsi="Times New Roman" w:cs="Times New Roman"/>
          <w:sz w:val="24"/>
          <w:szCs w:val="24"/>
        </w:rPr>
      </w:pPr>
      <w:r>
        <w:rPr>
          <w:rFonts w:ascii="Times New Roman" w:hAnsi="Times New Roman" w:cs="Times New Roman"/>
          <w:color w:val="000000"/>
          <w:sz w:val="24"/>
        </w:rPr>
        <w:t xml:space="preserve"> </w:t>
      </w:r>
    </w:p>
    <w:p w14:paraId="121E1C6E" w14:textId="77777777" w:rsidR="001D108C" w:rsidRPr="001D108C" w:rsidRDefault="00ED18E5" w:rsidP="001D108C">
      <w:pPr>
        <w:pStyle w:val="Bibliography"/>
        <w:rPr>
          <w:rFonts w:ascii="Times New Roman" w:hAnsi="Times New Roman" w:cs="Times New Roman"/>
          <w:color w:val="000000"/>
          <w:sz w:val="24"/>
        </w:rPr>
      </w:pPr>
      <w:r>
        <w:rPr>
          <w:sz w:val="24"/>
          <w:szCs w:val="24"/>
        </w:rPr>
        <w:fldChar w:fldCharType="begin"/>
      </w:r>
      <w:r w:rsidR="001D108C">
        <w:rPr>
          <w:sz w:val="24"/>
          <w:szCs w:val="24"/>
        </w:rPr>
        <w:instrText xml:space="preserve"> ADDIN ZOTERO_BIBL {"uncited":[],"omitted":[],"custom":[]} CSL_BIBLIOGRAPHY </w:instrText>
      </w:r>
      <w:r>
        <w:rPr>
          <w:sz w:val="24"/>
          <w:szCs w:val="24"/>
        </w:rPr>
        <w:fldChar w:fldCharType="separate"/>
      </w:r>
      <w:r w:rsidR="001D108C" w:rsidRPr="001D108C">
        <w:rPr>
          <w:rFonts w:ascii="Times New Roman" w:hAnsi="Times New Roman" w:cs="Times New Roman"/>
          <w:color w:val="000000"/>
          <w:sz w:val="24"/>
        </w:rPr>
        <w:t>1</w:t>
      </w:r>
      <w:r w:rsidR="001D108C" w:rsidRPr="001D108C">
        <w:rPr>
          <w:rFonts w:ascii="Times New Roman" w:hAnsi="Times New Roman" w:cs="Times New Roman"/>
          <w:color w:val="000000"/>
          <w:sz w:val="24"/>
        </w:rPr>
        <w:tab/>
        <w:t xml:space="preserve">Bailey RL, Jr KPW, Black RE. The Epidemiology of Global Micronutrient Deficiencies. </w:t>
      </w:r>
      <w:r w:rsidR="001D108C" w:rsidRPr="001D108C">
        <w:rPr>
          <w:rFonts w:ascii="Times New Roman" w:hAnsi="Times New Roman" w:cs="Times New Roman"/>
          <w:i/>
          <w:iCs/>
          <w:color w:val="000000"/>
          <w:sz w:val="24"/>
        </w:rPr>
        <w:t>ANM</w:t>
      </w:r>
      <w:r w:rsidR="001D108C" w:rsidRPr="001D108C">
        <w:rPr>
          <w:rFonts w:ascii="Times New Roman" w:hAnsi="Times New Roman" w:cs="Times New Roman"/>
          <w:color w:val="000000"/>
          <w:sz w:val="24"/>
        </w:rPr>
        <w:t xml:space="preserve"> 2015; </w:t>
      </w:r>
      <w:r w:rsidR="001D108C" w:rsidRPr="001D108C">
        <w:rPr>
          <w:rFonts w:ascii="Times New Roman" w:hAnsi="Times New Roman" w:cs="Times New Roman"/>
          <w:b/>
          <w:bCs/>
          <w:color w:val="000000"/>
          <w:sz w:val="24"/>
        </w:rPr>
        <w:t>66</w:t>
      </w:r>
      <w:r w:rsidR="001D108C" w:rsidRPr="001D108C">
        <w:rPr>
          <w:rFonts w:ascii="Times New Roman" w:hAnsi="Times New Roman" w:cs="Times New Roman"/>
          <w:color w:val="000000"/>
          <w:sz w:val="24"/>
        </w:rPr>
        <w:t>: 22–33.</w:t>
      </w:r>
    </w:p>
    <w:p w14:paraId="2835707E"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w:t>
      </w:r>
      <w:r w:rsidRPr="001D108C">
        <w:rPr>
          <w:rFonts w:ascii="Times New Roman" w:hAnsi="Times New Roman" w:cs="Times New Roman"/>
          <w:color w:val="000000"/>
          <w:sz w:val="24"/>
        </w:rPr>
        <w:tab/>
        <w:t xml:space="preserve">Black RE, Victora CG, Walker SP,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Maternal and child undernutrition and overweight in low-income and middle-income countries. </w:t>
      </w:r>
      <w:r w:rsidRPr="001D108C">
        <w:rPr>
          <w:rFonts w:ascii="Times New Roman" w:hAnsi="Times New Roman" w:cs="Times New Roman"/>
          <w:i/>
          <w:iCs/>
          <w:color w:val="000000"/>
          <w:sz w:val="24"/>
        </w:rPr>
        <w:t>The Lancet</w:t>
      </w:r>
      <w:r w:rsidRPr="001D108C">
        <w:rPr>
          <w:rFonts w:ascii="Times New Roman" w:hAnsi="Times New Roman" w:cs="Times New Roman"/>
          <w:color w:val="000000"/>
          <w:sz w:val="24"/>
        </w:rPr>
        <w:t xml:space="preserve"> 2013; </w:t>
      </w:r>
      <w:r w:rsidRPr="001D108C">
        <w:rPr>
          <w:rFonts w:ascii="Times New Roman" w:hAnsi="Times New Roman" w:cs="Times New Roman"/>
          <w:b/>
          <w:bCs/>
          <w:color w:val="000000"/>
          <w:sz w:val="24"/>
        </w:rPr>
        <w:t>382</w:t>
      </w:r>
      <w:r w:rsidRPr="001D108C">
        <w:rPr>
          <w:rFonts w:ascii="Times New Roman" w:hAnsi="Times New Roman" w:cs="Times New Roman"/>
          <w:color w:val="000000"/>
          <w:sz w:val="24"/>
        </w:rPr>
        <w:t>: 427–51.</w:t>
      </w:r>
    </w:p>
    <w:p w14:paraId="25296505"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3</w:t>
      </w:r>
      <w:r w:rsidRPr="001D108C">
        <w:rPr>
          <w:rFonts w:ascii="Times New Roman" w:hAnsi="Times New Roman" w:cs="Times New Roman"/>
          <w:color w:val="000000"/>
          <w:sz w:val="24"/>
        </w:rPr>
        <w:tab/>
        <w:t xml:space="preserve">Petry N, Olofin I, Hurrell RF,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The Proportion of Anemia Associated with Iron Deficiency in Low, Medium, and High Human Development Index Countries: A Systematic Analysis of National Surveys. </w:t>
      </w:r>
      <w:r w:rsidRPr="001D108C">
        <w:rPr>
          <w:rFonts w:ascii="Times New Roman" w:hAnsi="Times New Roman" w:cs="Times New Roman"/>
          <w:i/>
          <w:iCs/>
          <w:color w:val="000000"/>
          <w:sz w:val="24"/>
        </w:rPr>
        <w:t>Nutrients</w:t>
      </w:r>
      <w:r w:rsidRPr="001D108C">
        <w:rPr>
          <w:rFonts w:ascii="Times New Roman" w:hAnsi="Times New Roman" w:cs="Times New Roman"/>
          <w:color w:val="000000"/>
          <w:sz w:val="24"/>
        </w:rPr>
        <w:t xml:space="preserve"> 2016; </w:t>
      </w:r>
      <w:r w:rsidRPr="001D108C">
        <w:rPr>
          <w:rFonts w:ascii="Times New Roman" w:hAnsi="Times New Roman" w:cs="Times New Roman"/>
          <w:b/>
          <w:bCs/>
          <w:color w:val="000000"/>
          <w:sz w:val="24"/>
        </w:rPr>
        <w:t>8</w:t>
      </w:r>
      <w:r w:rsidRPr="001D108C">
        <w:rPr>
          <w:rFonts w:ascii="Times New Roman" w:hAnsi="Times New Roman" w:cs="Times New Roman"/>
          <w:color w:val="000000"/>
          <w:sz w:val="24"/>
        </w:rPr>
        <w:t>: 693.</w:t>
      </w:r>
    </w:p>
    <w:p w14:paraId="40154317" w14:textId="77777777" w:rsidR="001D108C" w:rsidRPr="00A86BD2" w:rsidRDefault="001D108C" w:rsidP="001D108C">
      <w:pPr>
        <w:pStyle w:val="Bibliography"/>
        <w:rPr>
          <w:rFonts w:ascii="Times New Roman" w:hAnsi="Times New Roman" w:cs="Times New Roman"/>
          <w:color w:val="000000"/>
          <w:sz w:val="24"/>
          <w:lang w:val="es-MX"/>
        </w:rPr>
      </w:pPr>
      <w:r w:rsidRPr="001D108C">
        <w:rPr>
          <w:rFonts w:ascii="Times New Roman" w:hAnsi="Times New Roman" w:cs="Times New Roman"/>
          <w:color w:val="000000"/>
          <w:sz w:val="24"/>
        </w:rPr>
        <w:t>4</w:t>
      </w:r>
      <w:r w:rsidRPr="001D108C">
        <w:rPr>
          <w:rFonts w:ascii="Times New Roman" w:hAnsi="Times New Roman" w:cs="Times New Roman"/>
          <w:color w:val="000000"/>
          <w:sz w:val="24"/>
        </w:rPr>
        <w:tab/>
        <w:t xml:space="preserve">Sommer A, World Health Organization. Vitamin A deficiency and its consequences : a field guide to detection and control / Alfred Sommer. </w:t>
      </w:r>
      <w:r w:rsidRPr="00A86BD2">
        <w:rPr>
          <w:rFonts w:ascii="Times New Roman" w:hAnsi="Times New Roman" w:cs="Times New Roman"/>
          <w:i/>
          <w:iCs/>
          <w:color w:val="000000"/>
          <w:sz w:val="24"/>
          <w:lang w:val="es-MX"/>
        </w:rPr>
        <w:t>La carence en vitamine A et ses conséquences : guide pratique de dépistageet de la lutte</w:t>
      </w:r>
      <w:r w:rsidRPr="00A86BD2">
        <w:rPr>
          <w:rFonts w:ascii="Times New Roman" w:hAnsi="Times New Roman" w:cs="Times New Roman"/>
          <w:color w:val="000000"/>
          <w:sz w:val="24"/>
          <w:lang w:val="es-MX"/>
        </w:rPr>
        <w:t xml:space="preserve"> 1995. https://apps.who.int/iris/handle/10665/40535.</w:t>
      </w:r>
    </w:p>
    <w:p w14:paraId="0ABB8DC5"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5</w:t>
      </w:r>
      <w:r w:rsidRPr="001D108C">
        <w:rPr>
          <w:rFonts w:ascii="Times New Roman" w:hAnsi="Times New Roman" w:cs="Times New Roman"/>
          <w:color w:val="000000"/>
          <w:sz w:val="24"/>
        </w:rPr>
        <w:tab/>
        <w:t xml:space="preserve">Black MM. Zinc deficiency and child development. </w:t>
      </w:r>
      <w:r w:rsidRPr="001D108C">
        <w:rPr>
          <w:rFonts w:ascii="Times New Roman" w:hAnsi="Times New Roman" w:cs="Times New Roman"/>
          <w:i/>
          <w:iCs/>
          <w:color w:val="000000"/>
          <w:sz w:val="24"/>
        </w:rPr>
        <w:t>The American Journal of Clinical Nutrition</w:t>
      </w:r>
      <w:r w:rsidRPr="001D108C">
        <w:rPr>
          <w:rFonts w:ascii="Times New Roman" w:hAnsi="Times New Roman" w:cs="Times New Roman"/>
          <w:color w:val="000000"/>
          <w:sz w:val="24"/>
        </w:rPr>
        <w:t xml:space="preserve"> 1998; </w:t>
      </w:r>
      <w:r w:rsidRPr="001D108C">
        <w:rPr>
          <w:rFonts w:ascii="Times New Roman" w:hAnsi="Times New Roman" w:cs="Times New Roman"/>
          <w:b/>
          <w:bCs/>
          <w:color w:val="000000"/>
          <w:sz w:val="24"/>
        </w:rPr>
        <w:t>68</w:t>
      </w:r>
      <w:r w:rsidRPr="001D108C">
        <w:rPr>
          <w:rFonts w:ascii="Times New Roman" w:hAnsi="Times New Roman" w:cs="Times New Roman"/>
          <w:color w:val="000000"/>
          <w:sz w:val="24"/>
        </w:rPr>
        <w:t>: 464S-469S.</w:t>
      </w:r>
    </w:p>
    <w:p w14:paraId="583A6BD2"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6</w:t>
      </w:r>
      <w:r w:rsidRPr="001D108C">
        <w:rPr>
          <w:rFonts w:ascii="Times New Roman" w:hAnsi="Times New Roman" w:cs="Times New Roman"/>
          <w:color w:val="000000"/>
          <w:sz w:val="24"/>
        </w:rPr>
        <w:tab/>
        <w:t xml:space="preserve">Zimmermann MB. Iodine Deficiency. </w:t>
      </w:r>
      <w:r w:rsidRPr="001D108C">
        <w:rPr>
          <w:rFonts w:ascii="Times New Roman" w:hAnsi="Times New Roman" w:cs="Times New Roman"/>
          <w:i/>
          <w:iCs/>
          <w:color w:val="000000"/>
          <w:sz w:val="24"/>
        </w:rPr>
        <w:t>Endocrine Reviews</w:t>
      </w:r>
      <w:r w:rsidRPr="001D108C">
        <w:rPr>
          <w:rFonts w:ascii="Times New Roman" w:hAnsi="Times New Roman" w:cs="Times New Roman"/>
          <w:color w:val="000000"/>
          <w:sz w:val="24"/>
        </w:rPr>
        <w:t xml:space="preserve"> 2009; </w:t>
      </w:r>
      <w:r w:rsidRPr="001D108C">
        <w:rPr>
          <w:rFonts w:ascii="Times New Roman" w:hAnsi="Times New Roman" w:cs="Times New Roman"/>
          <w:b/>
          <w:bCs/>
          <w:color w:val="000000"/>
          <w:sz w:val="24"/>
        </w:rPr>
        <w:t>30</w:t>
      </w:r>
      <w:r w:rsidRPr="001D108C">
        <w:rPr>
          <w:rFonts w:ascii="Times New Roman" w:hAnsi="Times New Roman" w:cs="Times New Roman"/>
          <w:color w:val="000000"/>
          <w:sz w:val="24"/>
        </w:rPr>
        <w:t>: 376–408.</w:t>
      </w:r>
    </w:p>
    <w:p w14:paraId="54474C67" w14:textId="77777777" w:rsidR="001D108C" w:rsidRPr="001D108C" w:rsidRDefault="001D108C" w:rsidP="001D108C">
      <w:pPr>
        <w:pStyle w:val="Bibliography"/>
        <w:rPr>
          <w:rFonts w:ascii="Times New Roman" w:hAnsi="Times New Roman" w:cs="Times New Roman"/>
          <w:color w:val="000000"/>
          <w:sz w:val="24"/>
        </w:rPr>
      </w:pPr>
      <w:r w:rsidRPr="00A86BD2">
        <w:rPr>
          <w:rFonts w:ascii="Times New Roman" w:hAnsi="Times New Roman" w:cs="Times New Roman"/>
          <w:color w:val="000000"/>
          <w:sz w:val="24"/>
          <w:lang w:val="es-MX"/>
        </w:rPr>
        <w:t>7</w:t>
      </w:r>
      <w:r w:rsidRPr="00A86BD2">
        <w:rPr>
          <w:rFonts w:ascii="Times New Roman" w:hAnsi="Times New Roman" w:cs="Times New Roman"/>
          <w:color w:val="000000"/>
          <w:sz w:val="24"/>
          <w:lang w:val="es-MX"/>
        </w:rPr>
        <w:tab/>
        <w:t xml:space="preserve">Roth DE, Abrams SA, Aloia J, </w:t>
      </w:r>
      <w:r w:rsidRPr="00A86BD2">
        <w:rPr>
          <w:rFonts w:ascii="Times New Roman" w:hAnsi="Times New Roman" w:cs="Times New Roman"/>
          <w:i/>
          <w:iCs/>
          <w:color w:val="000000"/>
          <w:sz w:val="24"/>
          <w:lang w:val="es-MX"/>
        </w:rPr>
        <w:t>et al.</w:t>
      </w:r>
      <w:r w:rsidRPr="00A86BD2">
        <w:rPr>
          <w:rFonts w:ascii="Times New Roman" w:hAnsi="Times New Roman" w:cs="Times New Roman"/>
          <w:color w:val="000000"/>
          <w:sz w:val="24"/>
          <w:lang w:val="es-MX"/>
        </w:rPr>
        <w:t xml:space="preserve"> </w:t>
      </w:r>
      <w:r w:rsidRPr="001D108C">
        <w:rPr>
          <w:rFonts w:ascii="Times New Roman" w:hAnsi="Times New Roman" w:cs="Times New Roman"/>
          <w:color w:val="000000"/>
          <w:sz w:val="24"/>
        </w:rPr>
        <w:t xml:space="preserve">Global prevalence and disease burden of vitamin D deficiency: a roadmap for action in low- and middle-income countries. </w:t>
      </w:r>
      <w:r w:rsidRPr="001D108C">
        <w:rPr>
          <w:rFonts w:ascii="Times New Roman" w:hAnsi="Times New Roman" w:cs="Times New Roman"/>
          <w:i/>
          <w:iCs/>
          <w:color w:val="000000"/>
          <w:sz w:val="24"/>
        </w:rPr>
        <w:t>Ann N Y Acad Sci</w:t>
      </w:r>
      <w:r w:rsidRPr="001D108C">
        <w:rPr>
          <w:rFonts w:ascii="Times New Roman" w:hAnsi="Times New Roman" w:cs="Times New Roman"/>
          <w:color w:val="000000"/>
          <w:sz w:val="24"/>
        </w:rPr>
        <w:t xml:space="preserve"> 2018; </w:t>
      </w:r>
      <w:r w:rsidRPr="001D108C">
        <w:rPr>
          <w:rFonts w:ascii="Times New Roman" w:hAnsi="Times New Roman" w:cs="Times New Roman"/>
          <w:b/>
          <w:bCs/>
          <w:color w:val="000000"/>
          <w:sz w:val="24"/>
        </w:rPr>
        <w:t>1430</w:t>
      </w:r>
      <w:r w:rsidRPr="001D108C">
        <w:rPr>
          <w:rFonts w:ascii="Times New Roman" w:hAnsi="Times New Roman" w:cs="Times New Roman"/>
          <w:color w:val="000000"/>
          <w:sz w:val="24"/>
        </w:rPr>
        <w:t>: 44–79.</w:t>
      </w:r>
    </w:p>
    <w:p w14:paraId="4E4AE196"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8</w:t>
      </w:r>
      <w:r w:rsidRPr="001D108C">
        <w:rPr>
          <w:rFonts w:ascii="Times New Roman" w:hAnsi="Times New Roman" w:cs="Times New Roman"/>
          <w:color w:val="000000"/>
          <w:sz w:val="24"/>
        </w:rPr>
        <w:tab/>
        <w:t xml:space="preserve">Green R, Allen LH, Bjørke-Monsen A-L,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Vitamin B12 deficiency. </w:t>
      </w:r>
      <w:r w:rsidRPr="001D108C">
        <w:rPr>
          <w:rFonts w:ascii="Times New Roman" w:hAnsi="Times New Roman" w:cs="Times New Roman"/>
          <w:i/>
          <w:iCs/>
          <w:color w:val="000000"/>
          <w:sz w:val="24"/>
        </w:rPr>
        <w:t>Nat Rev Dis Primers</w:t>
      </w:r>
      <w:r w:rsidRPr="001D108C">
        <w:rPr>
          <w:rFonts w:ascii="Times New Roman" w:hAnsi="Times New Roman" w:cs="Times New Roman"/>
          <w:color w:val="000000"/>
          <w:sz w:val="24"/>
        </w:rPr>
        <w:t xml:space="preserve"> 2017; </w:t>
      </w:r>
      <w:r w:rsidRPr="001D108C">
        <w:rPr>
          <w:rFonts w:ascii="Times New Roman" w:hAnsi="Times New Roman" w:cs="Times New Roman"/>
          <w:b/>
          <w:bCs/>
          <w:color w:val="000000"/>
          <w:sz w:val="24"/>
        </w:rPr>
        <w:t>3</w:t>
      </w:r>
      <w:r w:rsidRPr="001D108C">
        <w:rPr>
          <w:rFonts w:ascii="Times New Roman" w:hAnsi="Times New Roman" w:cs="Times New Roman"/>
          <w:color w:val="000000"/>
          <w:sz w:val="24"/>
        </w:rPr>
        <w:t>: 1–20.</w:t>
      </w:r>
    </w:p>
    <w:p w14:paraId="29BD0CFD"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9</w:t>
      </w:r>
      <w:r w:rsidRPr="001D108C">
        <w:rPr>
          <w:rFonts w:ascii="Times New Roman" w:hAnsi="Times New Roman" w:cs="Times New Roman"/>
          <w:color w:val="000000"/>
          <w:sz w:val="24"/>
        </w:rPr>
        <w:tab/>
        <w:t xml:space="preserve">Bourassa MW, Bergeron G, Brown KH. A fresh look at thiamine deficiency—new analyses by the global thiamine alliance. </w:t>
      </w:r>
      <w:r w:rsidRPr="001D108C">
        <w:rPr>
          <w:rFonts w:ascii="Times New Roman" w:hAnsi="Times New Roman" w:cs="Times New Roman"/>
          <w:i/>
          <w:iCs/>
          <w:color w:val="000000"/>
          <w:sz w:val="24"/>
        </w:rPr>
        <w:t>Annals of the New York Academy of Sciences</w:t>
      </w:r>
      <w:r w:rsidRPr="001D108C">
        <w:rPr>
          <w:rFonts w:ascii="Times New Roman" w:hAnsi="Times New Roman" w:cs="Times New Roman"/>
          <w:color w:val="000000"/>
          <w:sz w:val="24"/>
        </w:rPr>
        <w:t xml:space="preserve"> 2021; </w:t>
      </w:r>
      <w:r w:rsidRPr="001D108C">
        <w:rPr>
          <w:rFonts w:ascii="Times New Roman" w:hAnsi="Times New Roman" w:cs="Times New Roman"/>
          <w:b/>
          <w:bCs/>
          <w:color w:val="000000"/>
          <w:sz w:val="24"/>
        </w:rPr>
        <w:t>1498</w:t>
      </w:r>
      <w:r w:rsidRPr="001D108C">
        <w:rPr>
          <w:rFonts w:ascii="Times New Roman" w:hAnsi="Times New Roman" w:cs="Times New Roman"/>
          <w:color w:val="000000"/>
          <w:sz w:val="24"/>
        </w:rPr>
        <w:t>: 5–8.</w:t>
      </w:r>
    </w:p>
    <w:p w14:paraId="54A8030D"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10</w:t>
      </w:r>
      <w:r w:rsidRPr="001D108C">
        <w:rPr>
          <w:rFonts w:ascii="Times New Roman" w:hAnsi="Times New Roman" w:cs="Times New Roman"/>
          <w:color w:val="000000"/>
          <w:sz w:val="24"/>
        </w:rPr>
        <w:tab/>
        <w:t xml:space="preserve">Bhutta ZA, Ahmed T, Black RE,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What works? Interventions for maternal and child undernutrition and survival. </w:t>
      </w:r>
      <w:r w:rsidRPr="001D108C">
        <w:rPr>
          <w:rFonts w:ascii="Times New Roman" w:hAnsi="Times New Roman" w:cs="Times New Roman"/>
          <w:i/>
          <w:iCs/>
          <w:color w:val="000000"/>
          <w:sz w:val="24"/>
        </w:rPr>
        <w:t>The Lancet</w:t>
      </w:r>
      <w:r w:rsidRPr="001D108C">
        <w:rPr>
          <w:rFonts w:ascii="Times New Roman" w:hAnsi="Times New Roman" w:cs="Times New Roman"/>
          <w:color w:val="000000"/>
          <w:sz w:val="24"/>
        </w:rPr>
        <w:t xml:space="preserve"> 2008; </w:t>
      </w:r>
      <w:r w:rsidRPr="001D108C">
        <w:rPr>
          <w:rFonts w:ascii="Times New Roman" w:hAnsi="Times New Roman" w:cs="Times New Roman"/>
          <w:b/>
          <w:bCs/>
          <w:color w:val="000000"/>
          <w:sz w:val="24"/>
        </w:rPr>
        <w:t>371</w:t>
      </w:r>
      <w:r w:rsidRPr="001D108C">
        <w:rPr>
          <w:rFonts w:ascii="Times New Roman" w:hAnsi="Times New Roman" w:cs="Times New Roman"/>
          <w:color w:val="000000"/>
          <w:sz w:val="24"/>
        </w:rPr>
        <w:t>: 417–40.</w:t>
      </w:r>
    </w:p>
    <w:p w14:paraId="4C89EBF4"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11</w:t>
      </w:r>
      <w:r w:rsidRPr="001D108C">
        <w:rPr>
          <w:rFonts w:ascii="Times New Roman" w:hAnsi="Times New Roman" w:cs="Times New Roman"/>
          <w:color w:val="000000"/>
          <w:sz w:val="24"/>
        </w:rPr>
        <w:tab/>
        <w:t xml:space="preserve">Bhutta ZA, Das JK, Rizvi A,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Evidence-based interventions for improvement of maternal and child nutrition: what can be done and at what cost? </w:t>
      </w:r>
      <w:r w:rsidRPr="001D108C">
        <w:rPr>
          <w:rFonts w:ascii="Times New Roman" w:hAnsi="Times New Roman" w:cs="Times New Roman"/>
          <w:i/>
          <w:iCs/>
          <w:color w:val="000000"/>
          <w:sz w:val="24"/>
        </w:rPr>
        <w:t>The Lancet</w:t>
      </w:r>
      <w:r w:rsidRPr="001D108C">
        <w:rPr>
          <w:rFonts w:ascii="Times New Roman" w:hAnsi="Times New Roman" w:cs="Times New Roman"/>
          <w:color w:val="000000"/>
          <w:sz w:val="24"/>
        </w:rPr>
        <w:t xml:space="preserve"> 2013; </w:t>
      </w:r>
      <w:r w:rsidRPr="001D108C">
        <w:rPr>
          <w:rFonts w:ascii="Times New Roman" w:hAnsi="Times New Roman" w:cs="Times New Roman"/>
          <w:b/>
          <w:bCs/>
          <w:color w:val="000000"/>
          <w:sz w:val="24"/>
        </w:rPr>
        <w:t>382</w:t>
      </w:r>
      <w:r w:rsidRPr="001D108C">
        <w:rPr>
          <w:rFonts w:ascii="Times New Roman" w:hAnsi="Times New Roman" w:cs="Times New Roman"/>
          <w:color w:val="000000"/>
          <w:sz w:val="24"/>
        </w:rPr>
        <w:t>: 452–77.</w:t>
      </w:r>
    </w:p>
    <w:p w14:paraId="622DCE80"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12</w:t>
      </w:r>
      <w:r w:rsidRPr="001D108C">
        <w:rPr>
          <w:rFonts w:ascii="Times New Roman" w:hAnsi="Times New Roman" w:cs="Times New Roman"/>
          <w:color w:val="000000"/>
          <w:sz w:val="24"/>
        </w:rPr>
        <w:tab/>
        <w:t xml:space="preserve">Keats EC, Das JK, Salam RA,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Effective interventions to address maternal and child malnutrition: an update of the evidence. </w:t>
      </w:r>
      <w:r w:rsidRPr="001D108C">
        <w:rPr>
          <w:rFonts w:ascii="Times New Roman" w:hAnsi="Times New Roman" w:cs="Times New Roman"/>
          <w:i/>
          <w:iCs/>
          <w:color w:val="000000"/>
          <w:sz w:val="24"/>
        </w:rPr>
        <w:t>The Lancet Child &amp; Adolescent Health</w:t>
      </w:r>
      <w:r w:rsidRPr="001D108C">
        <w:rPr>
          <w:rFonts w:ascii="Times New Roman" w:hAnsi="Times New Roman" w:cs="Times New Roman"/>
          <w:color w:val="000000"/>
          <w:sz w:val="24"/>
        </w:rPr>
        <w:t xml:space="preserve"> 2021; </w:t>
      </w:r>
      <w:r w:rsidRPr="001D108C">
        <w:rPr>
          <w:rFonts w:ascii="Times New Roman" w:hAnsi="Times New Roman" w:cs="Times New Roman"/>
          <w:b/>
          <w:bCs/>
          <w:color w:val="000000"/>
          <w:sz w:val="24"/>
        </w:rPr>
        <w:t>5</w:t>
      </w:r>
      <w:r w:rsidRPr="001D108C">
        <w:rPr>
          <w:rFonts w:ascii="Times New Roman" w:hAnsi="Times New Roman" w:cs="Times New Roman"/>
          <w:color w:val="000000"/>
          <w:sz w:val="24"/>
        </w:rPr>
        <w:t>: 367–84.</w:t>
      </w:r>
    </w:p>
    <w:p w14:paraId="1257DCB2"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13</w:t>
      </w:r>
      <w:r w:rsidRPr="001D108C">
        <w:rPr>
          <w:rFonts w:ascii="Times New Roman" w:hAnsi="Times New Roman" w:cs="Times New Roman"/>
          <w:color w:val="000000"/>
          <w:sz w:val="24"/>
        </w:rPr>
        <w:tab/>
        <w:t>Dewey K. Guiding principles for complementary feeding of the breastfed child. 2002.</w:t>
      </w:r>
    </w:p>
    <w:p w14:paraId="4FBA441F"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14</w:t>
      </w:r>
      <w:r w:rsidRPr="001D108C">
        <w:rPr>
          <w:rFonts w:ascii="Times New Roman" w:hAnsi="Times New Roman" w:cs="Times New Roman"/>
          <w:color w:val="000000"/>
          <w:sz w:val="24"/>
        </w:rPr>
        <w:tab/>
        <w:t xml:space="preserve">Brown KH, Moore SE, Hess SY,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Increasing the availability and utilization of reliable data on population micronutrient (MN) status globally: the MN Data Generation Initiative. </w:t>
      </w:r>
      <w:r w:rsidRPr="001D108C">
        <w:rPr>
          <w:rFonts w:ascii="Times New Roman" w:hAnsi="Times New Roman" w:cs="Times New Roman"/>
          <w:i/>
          <w:iCs/>
          <w:color w:val="000000"/>
          <w:sz w:val="24"/>
        </w:rPr>
        <w:t>The American Journal of Clinical Nutrition</w:t>
      </w:r>
      <w:r w:rsidRPr="001D108C">
        <w:rPr>
          <w:rFonts w:ascii="Times New Roman" w:hAnsi="Times New Roman" w:cs="Times New Roman"/>
          <w:color w:val="000000"/>
          <w:sz w:val="24"/>
        </w:rPr>
        <w:t xml:space="preserve"> 2021; </w:t>
      </w:r>
      <w:r w:rsidRPr="001D108C">
        <w:rPr>
          <w:rFonts w:ascii="Times New Roman" w:hAnsi="Times New Roman" w:cs="Times New Roman"/>
          <w:b/>
          <w:bCs/>
          <w:color w:val="000000"/>
          <w:sz w:val="24"/>
        </w:rPr>
        <w:t>114</w:t>
      </w:r>
      <w:r w:rsidRPr="001D108C">
        <w:rPr>
          <w:rFonts w:ascii="Times New Roman" w:hAnsi="Times New Roman" w:cs="Times New Roman"/>
          <w:color w:val="000000"/>
          <w:sz w:val="24"/>
        </w:rPr>
        <w:t>: 862–70.</w:t>
      </w:r>
    </w:p>
    <w:p w14:paraId="37D44097"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15</w:t>
      </w:r>
      <w:r w:rsidRPr="001D108C">
        <w:rPr>
          <w:rFonts w:ascii="Times New Roman" w:hAnsi="Times New Roman" w:cs="Times New Roman"/>
          <w:color w:val="000000"/>
          <w:sz w:val="24"/>
        </w:rPr>
        <w:tab/>
        <w:t xml:space="preserve">World Health Organization. National strategies for overcoming micronutrient malnutrition. 1991 </w:t>
      </w:r>
      <w:r w:rsidRPr="001D108C">
        <w:rPr>
          <w:rFonts w:ascii="Times New Roman" w:hAnsi="Times New Roman" w:cs="Times New Roman"/>
          <w:color w:val="000000"/>
          <w:sz w:val="24"/>
        </w:rPr>
        <w:lastRenderedPageBreak/>
        <w:t>https://apps.who.int/iris/bitstream/handle/10665/170502/EB89_27_eng.pdf;sequence=1 (accessed Jan 19, 2022).</w:t>
      </w:r>
    </w:p>
    <w:p w14:paraId="64BEA6D6"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16</w:t>
      </w:r>
      <w:r w:rsidRPr="001D108C">
        <w:rPr>
          <w:rFonts w:ascii="Times New Roman" w:hAnsi="Times New Roman" w:cs="Times New Roman"/>
          <w:color w:val="000000"/>
          <w:sz w:val="24"/>
        </w:rPr>
        <w:tab/>
        <w:t xml:space="preserve">Chaparro CM, Suchdev PS. Anemia epidemiology, pathophysiology, and etiology in low- and middle-income countries. </w:t>
      </w:r>
      <w:r w:rsidRPr="001D108C">
        <w:rPr>
          <w:rFonts w:ascii="Times New Roman" w:hAnsi="Times New Roman" w:cs="Times New Roman"/>
          <w:i/>
          <w:iCs/>
          <w:color w:val="000000"/>
          <w:sz w:val="24"/>
        </w:rPr>
        <w:t>Annals of the New York Academy of Sciences</w:t>
      </w:r>
      <w:r w:rsidRPr="001D108C">
        <w:rPr>
          <w:rFonts w:ascii="Times New Roman" w:hAnsi="Times New Roman" w:cs="Times New Roman"/>
          <w:color w:val="000000"/>
          <w:sz w:val="24"/>
        </w:rPr>
        <w:t xml:space="preserve"> 2019; </w:t>
      </w:r>
      <w:r w:rsidRPr="001D108C">
        <w:rPr>
          <w:rFonts w:ascii="Times New Roman" w:hAnsi="Times New Roman" w:cs="Times New Roman"/>
          <w:b/>
          <w:bCs/>
          <w:color w:val="000000"/>
          <w:sz w:val="24"/>
        </w:rPr>
        <w:t>1450</w:t>
      </w:r>
      <w:r w:rsidRPr="001D108C">
        <w:rPr>
          <w:rFonts w:ascii="Times New Roman" w:hAnsi="Times New Roman" w:cs="Times New Roman"/>
          <w:color w:val="000000"/>
          <w:sz w:val="24"/>
        </w:rPr>
        <w:t>: 15–31.</w:t>
      </w:r>
    </w:p>
    <w:p w14:paraId="0113529D"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17</w:t>
      </w:r>
      <w:r w:rsidRPr="001D108C">
        <w:rPr>
          <w:rFonts w:ascii="Times New Roman" w:hAnsi="Times New Roman" w:cs="Times New Roman"/>
          <w:color w:val="000000"/>
          <w:sz w:val="24"/>
        </w:rPr>
        <w:tab/>
        <w:t xml:space="preserve">Haddad L, Achadi E, Bendech MA,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The Global Nutrition Report 2014: Actions and Accountability to Accelerate the World’s Progress on Nutrition. </w:t>
      </w:r>
      <w:r w:rsidRPr="001D108C">
        <w:rPr>
          <w:rFonts w:ascii="Times New Roman" w:hAnsi="Times New Roman" w:cs="Times New Roman"/>
          <w:i/>
          <w:iCs/>
          <w:color w:val="000000"/>
          <w:sz w:val="24"/>
        </w:rPr>
        <w:t>The Journal of Nutrition</w:t>
      </w:r>
      <w:r w:rsidRPr="001D108C">
        <w:rPr>
          <w:rFonts w:ascii="Times New Roman" w:hAnsi="Times New Roman" w:cs="Times New Roman"/>
          <w:color w:val="000000"/>
          <w:sz w:val="24"/>
        </w:rPr>
        <w:t xml:space="preserve"> 2015; </w:t>
      </w:r>
      <w:r w:rsidRPr="001D108C">
        <w:rPr>
          <w:rFonts w:ascii="Times New Roman" w:hAnsi="Times New Roman" w:cs="Times New Roman"/>
          <w:b/>
          <w:bCs/>
          <w:color w:val="000000"/>
          <w:sz w:val="24"/>
        </w:rPr>
        <w:t>145</w:t>
      </w:r>
      <w:r w:rsidRPr="001D108C">
        <w:rPr>
          <w:rFonts w:ascii="Times New Roman" w:hAnsi="Times New Roman" w:cs="Times New Roman"/>
          <w:color w:val="000000"/>
          <w:sz w:val="24"/>
        </w:rPr>
        <w:t>: 663–71.</w:t>
      </w:r>
    </w:p>
    <w:p w14:paraId="5D54EF9B"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18</w:t>
      </w:r>
      <w:r w:rsidRPr="001D108C">
        <w:rPr>
          <w:rFonts w:ascii="Times New Roman" w:hAnsi="Times New Roman" w:cs="Times New Roman"/>
          <w:color w:val="000000"/>
          <w:sz w:val="24"/>
        </w:rPr>
        <w:tab/>
        <w:t xml:space="preserve">Svedberg P. How Many People Are Malnourished? </w:t>
      </w:r>
      <w:r w:rsidRPr="001D108C">
        <w:rPr>
          <w:rFonts w:ascii="Times New Roman" w:hAnsi="Times New Roman" w:cs="Times New Roman"/>
          <w:i/>
          <w:iCs/>
          <w:color w:val="000000"/>
          <w:sz w:val="24"/>
        </w:rPr>
        <w:t>Annu Rev Nutr</w:t>
      </w:r>
      <w:r w:rsidRPr="001D108C">
        <w:rPr>
          <w:rFonts w:ascii="Times New Roman" w:hAnsi="Times New Roman" w:cs="Times New Roman"/>
          <w:color w:val="000000"/>
          <w:sz w:val="24"/>
        </w:rPr>
        <w:t xml:space="preserve"> 2011; </w:t>
      </w:r>
      <w:r w:rsidRPr="001D108C">
        <w:rPr>
          <w:rFonts w:ascii="Times New Roman" w:hAnsi="Times New Roman" w:cs="Times New Roman"/>
          <w:b/>
          <w:bCs/>
          <w:color w:val="000000"/>
          <w:sz w:val="24"/>
        </w:rPr>
        <w:t>31</w:t>
      </w:r>
      <w:r w:rsidRPr="001D108C">
        <w:rPr>
          <w:rFonts w:ascii="Times New Roman" w:hAnsi="Times New Roman" w:cs="Times New Roman"/>
          <w:color w:val="000000"/>
          <w:sz w:val="24"/>
        </w:rPr>
        <w:t>: 263–83.</w:t>
      </w:r>
    </w:p>
    <w:p w14:paraId="1E78EB59"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19</w:t>
      </w:r>
      <w:r w:rsidRPr="001D108C">
        <w:rPr>
          <w:rFonts w:ascii="Times New Roman" w:hAnsi="Times New Roman" w:cs="Times New Roman"/>
          <w:color w:val="000000"/>
          <w:sz w:val="24"/>
        </w:rPr>
        <w:tab/>
        <w:t>Centers for Disease Control and Prevention, World Health Organization, Nutritional International, UNICEF. Micronutrient survey manual. Geneva, Switzerland: World Health Organization, 2020.</w:t>
      </w:r>
    </w:p>
    <w:p w14:paraId="1FE972B3"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20</w:t>
      </w:r>
      <w:r w:rsidRPr="001D108C">
        <w:rPr>
          <w:rFonts w:ascii="Times New Roman" w:hAnsi="Times New Roman" w:cs="Times New Roman"/>
          <w:color w:val="000000"/>
          <w:sz w:val="24"/>
        </w:rPr>
        <w:tab/>
        <w:t xml:space="preserve">Chipponi JX, Bleier JC, Santi MT, Rudman D. Deficiencies of essential and conditionally essential nutrients. </w:t>
      </w:r>
      <w:r w:rsidRPr="001D108C">
        <w:rPr>
          <w:rFonts w:ascii="Times New Roman" w:hAnsi="Times New Roman" w:cs="Times New Roman"/>
          <w:i/>
          <w:iCs/>
          <w:color w:val="000000"/>
          <w:sz w:val="24"/>
        </w:rPr>
        <w:t>The American Journal of Clinical Nutrition</w:t>
      </w:r>
      <w:r w:rsidRPr="001D108C">
        <w:rPr>
          <w:rFonts w:ascii="Times New Roman" w:hAnsi="Times New Roman" w:cs="Times New Roman"/>
          <w:color w:val="000000"/>
          <w:sz w:val="24"/>
        </w:rPr>
        <w:t xml:space="preserve"> 1982; </w:t>
      </w:r>
      <w:r w:rsidRPr="001D108C">
        <w:rPr>
          <w:rFonts w:ascii="Times New Roman" w:hAnsi="Times New Roman" w:cs="Times New Roman"/>
          <w:b/>
          <w:bCs/>
          <w:color w:val="000000"/>
          <w:sz w:val="24"/>
        </w:rPr>
        <w:t>35</w:t>
      </w:r>
      <w:r w:rsidRPr="001D108C">
        <w:rPr>
          <w:rFonts w:ascii="Times New Roman" w:hAnsi="Times New Roman" w:cs="Times New Roman"/>
          <w:color w:val="000000"/>
          <w:sz w:val="24"/>
        </w:rPr>
        <w:t>: 1112–6.</w:t>
      </w:r>
    </w:p>
    <w:p w14:paraId="59E20DCC"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21</w:t>
      </w:r>
      <w:r w:rsidRPr="001D108C">
        <w:rPr>
          <w:rFonts w:ascii="Times New Roman" w:hAnsi="Times New Roman" w:cs="Times New Roman"/>
          <w:color w:val="000000"/>
          <w:sz w:val="24"/>
        </w:rPr>
        <w:tab/>
        <w:t>WHO. Vitamin and Mineral Nutrition Information System (VMNIS). https://www.who.int/teams/nutrition-and-food-safety/databases/vitamin-and-mineral-nutrition-information-system (accessed June 13, 2021).</w:t>
      </w:r>
    </w:p>
    <w:p w14:paraId="503843F8"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22</w:t>
      </w:r>
      <w:r w:rsidRPr="001D108C">
        <w:rPr>
          <w:rFonts w:ascii="Times New Roman" w:hAnsi="Times New Roman" w:cs="Times New Roman"/>
          <w:color w:val="000000"/>
          <w:sz w:val="24"/>
        </w:rPr>
        <w:tab/>
        <w:t xml:space="preserve">Ramakrishnan U. Prevalence of Micronutrient Malnutrition Worldwide. </w:t>
      </w:r>
      <w:r w:rsidRPr="001D108C">
        <w:rPr>
          <w:rFonts w:ascii="Times New Roman" w:hAnsi="Times New Roman" w:cs="Times New Roman"/>
          <w:i/>
          <w:iCs/>
          <w:color w:val="000000"/>
          <w:sz w:val="24"/>
        </w:rPr>
        <w:t>Nutrition Reviews</w:t>
      </w:r>
      <w:r w:rsidRPr="001D108C">
        <w:rPr>
          <w:rFonts w:ascii="Times New Roman" w:hAnsi="Times New Roman" w:cs="Times New Roman"/>
          <w:color w:val="000000"/>
          <w:sz w:val="24"/>
        </w:rPr>
        <w:t xml:space="preserve"> 2002; </w:t>
      </w:r>
      <w:r w:rsidRPr="001D108C">
        <w:rPr>
          <w:rFonts w:ascii="Times New Roman" w:hAnsi="Times New Roman" w:cs="Times New Roman"/>
          <w:b/>
          <w:bCs/>
          <w:color w:val="000000"/>
          <w:sz w:val="24"/>
        </w:rPr>
        <w:t>60</w:t>
      </w:r>
      <w:r w:rsidRPr="001D108C">
        <w:rPr>
          <w:rFonts w:ascii="Times New Roman" w:hAnsi="Times New Roman" w:cs="Times New Roman"/>
          <w:color w:val="000000"/>
          <w:sz w:val="24"/>
        </w:rPr>
        <w:t>: S46–52.</w:t>
      </w:r>
    </w:p>
    <w:p w14:paraId="19945A69"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23</w:t>
      </w:r>
      <w:r w:rsidRPr="001D108C">
        <w:rPr>
          <w:rFonts w:ascii="Times New Roman" w:hAnsi="Times New Roman" w:cs="Times New Roman"/>
          <w:color w:val="000000"/>
          <w:sz w:val="24"/>
        </w:rPr>
        <w:tab/>
        <w:t xml:space="preserve">Stevens GA, Alkema L, Black RE,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Guidelines for Accurate and Transparent Health Estimates Reporting: the GATHER statement. </w:t>
      </w:r>
      <w:r w:rsidRPr="001D108C">
        <w:rPr>
          <w:rFonts w:ascii="Times New Roman" w:hAnsi="Times New Roman" w:cs="Times New Roman"/>
          <w:i/>
          <w:iCs/>
          <w:color w:val="000000"/>
          <w:sz w:val="24"/>
        </w:rPr>
        <w:t>PLOS Medicine</w:t>
      </w:r>
      <w:r w:rsidRPr="001D108C">
        <w:rPr>
          <w:rFonts w:ascii="Times New Roman" w:hAnsi="Times New Roman" w:cs="Times New Roman"/>
          <w:color w:val="000000"/>
          <w:sz w:val="24"/>
        </w:rPr>
        <w:t xml:space="preserve"> 2016; </w:t>
      </w:r>
      <w:r w:rsidRPr="001D108C">
        <w:rPr>
          <w:rFonts w:ascii="Times New Roman" w:hAnsi="Times New Roman" w:cs="Times New Roman"/>
          <w:b/>
          <w:bCs/>
          <w:color w:val="000000"/>
          <w:sz w:val="24"/>
        </w:rPr>
        <w:t>13</w:t>
      </w:r>
      <w:r w:rsidRPr="001D108C">
        <w:rPr>
          <w:rFonts w:ascii="Times New Roman" w:hAnsi="Times New Roman" w:cs="Times New Roman"/>
          <w:color w:val="000000"/>
          <w:sz w:val="24"/>
        </w:rPr>
        <w:t>: e1002056.</w:t>
      </w:r>
    </w:p>
    <w:p w14:paraId="6B5D3566"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24</w:t>
      </w:r>
      <w:r w:rsidRPr="001D108C">
        <w:rPr>
          <w:rFonts w:ascii="Times New Roman" w:hAnsi="Times New Roman" w:cs="Times New Roman"/>
          <w:color w:val="000000"/>
          <w:sz w:val="24"/>
        </w:rPr>
        <w:tab/>
        <w:t xml:space="preserve">Namaste SM, Aaron GJ, Varadhan R, Peerson JM, Suchdev PS, BRINDA Working Group. Methodologic approach for the Biomarkers Reflecting Inflammation and Nutritional Determinants of Anemia (BRINDA) project. </w:t>
      </w:r>
      <w:r w:rsidRPr="001D108C">
        <w:rPr>
          <w:rFonts w:ascii="Times New Roman" w:hAnsi="Times New Roman" w:cs="Times New Roman"/>
          <w:i/>
          <w:iCs/>
          <w:color w:val="000000"/>
          <w:sz w:val="24"/>
        </w:rPr>
        <w:t>Am J Clin Nutr</w:t>
      </w:r>
      <w:r w:rsidRPr="001D108C">
        <w:rPr>
          <w:rFonts w:ascii="Times New Roman" w:hAnsi="Times New Roman" w:cs="Times New Roman"/>
          <w:color w:val="000000"/>
          <w:sz w:val="24"/>
        </w:rPr>
        <w:t xml:space="preserve"> 2017; </w:t>
      </w:r>
      <w:r w:rsidRPr="001D108C">
        <w:rPr>
          <w:rFonts w:ascii="Times New Roman" w:hAnsi="Times New Roman" w:cs="Times New Roman"/>
          <w:b/>
          <w:bCs/>
          <w:color w:val="000000"/>
          <w:sz w:val="24"/>
        </w:rPr>
        <w:t>106</w:t>
      </w:r>
      <w:r w:rsidRPr="001D108C">
        <w:rPr>
          <w:rFonts w:ascii="Times New Roman" w:hAnsi="Times New Roman" w:cs="Times New Roman"/>
          <w:color w:val="000000"/>
          <w:sz w:val="24"/>
        </w:rPr>
        <w:t>: 333S-347S.</w:t>
      </w:r>
    </w:p>
    <w:p w14:paraId="71D6804A"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25</w:t>
      </w:r>
      <w:r w:rsidRPr="001D108C">
        <w:rPr>
          <w:rFonts w:ascii="Times New Roman" w:hAnsi="Times New Roman" w:cs="Times New Roman"/>
          <w:color w:val="000000"/>
          <w:sz w:val="24"/>
        </w:rPr>
        <w:tab/>
        <w:t xml:space="preserve">Rogers LM, Cordero AM, Pfeiffer CM, </w:t>
      </w:r>
      <w:r w:rsidRPr="001D108C">
        <w:rPr>
          <w:rFonts w:ascii="Times New Roman" w:hAnsi="Times New Roman" w:cs="Times New Roman"/>
          <w:i/>
          <w:iCs/>
          <w:color w:val="000000"/>
          <w:sz w:val="24"/>
        </w:rPr>
        <w:t>et al.</w:t>
      </w:r>
      <w:r w:rsidRPr="001D108C">
        <w:rPr>
          <w:rFonts w:ascii="Times New Roman" w:hAnsi="Times New Roman" w:cs="Times New Roman"/>
          <w:color w:val="000000"/>
          <w:sz w:val="24"/>
        </w:rPr>
        <w:t xml:space="preserve"> Global folate status in women of reproductive age: a systematic review with emphasis on methodological issues. </w:t>
      </w:r>
      <w:r w:rsidRPr="001D108C">
        <w:rPr>
          <w:rFonts w:ascii="Times New Roman" w:hAnsi="Times New Roman" w:cs="Times New Roman"/>
          <w:i/>
          <w:iCs/>
          <w:color w:val="000000"/>
          <w:sz w:val="24"/>
        </w:rPr>
        <w:t>Annals of the New York Academy of Sciences</w:t>
      </w:r>
      <w:r w:rsidRPr="001D108C">
        <w:rPr>
          <w:rFonts w:ascii="Times New Roman" w:hAnsi="Times New Roman" w:cs="Times New Roman"/>
          <w:color w:val="000000"/>
          <w:sz w:val="24"/>
        </w:rPr>
        <w:t xml:space="preserve"> 2018; </w:t>
      </w:r>
      <w:r w:rsidRPr="001D108C">
        <w:rPr>
          <w:rFonts w:ascii="Times New Roman" w:hAnsi="Times New Roman" w:cs="Times New Roman"/>
          <w:b/>
          <w:bCs/>
          <w:color w:val="000000"/>
          <w:sz w:val="24"/>
        </w:rPr>
        <w:t>1431</w:t>
      </w:r>
      <w:r w:rsidRPr="001D108C">
        <w:rPr>
          <w:rFonts w:ascii="Times New Roman" w:hAnsi="Times New Roman" w:cs="Times New Roman"/>
          <w:color w:val="000000"/>
          <w:sz w:val="24"/>
        </w:rPr>
        <w:t>. DOI:10.1111/NYAS.13963.</w:t>
      </w:r>
    </w:p>
    <w:p w14:paraId="4D048900"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26</w:t>
      </w:r>
      <w:r w:rsidRPr="001D108C">
        <w:rPr>
          <w:rFonts w:ascii="Times New Roman" w:hAnsi="Times New Roman" w:cs="Times New Roman"/>
          <w:color w:val="000000"/>
          <w:sz w:val="24"/>
        </w:rPr>
        <w:tab/>
        <w:t>Mathers C, Hogan D, Stevens G. Global Health Estimates: Modelling and Predicting Health Outcomes. In: Macfarlane SB, AbouZahr C, eds. The Palgrave Handbook of Global Health Data Methods for Policy and Practice. London: Palgrave Macmillan UK, 2019: 403–24.</w:t>
      </w:r>
    </w:p>
    <w:p w14:paraId="4208910D"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27</w:t>
      </w:r>
      <w:r w:rsidRPr="001D108C">
        <w:rPr>
          <w:rFonts w:ascii="Times New Roman" w:hAnsi="Times New Roman" w:cs="Times New Roman"/>
          <w:color w:val="000000"/>
          <w:sz w:val="24"/>
        </w:rPr>
        <w:tab/>
        <w:t>Global Burden of Disease Collaborative Network. Global Burden of Disease 2019 (GBD 2019) Covariates 1980-2019. 2020.</w:t>
      </w:r>
    </w:p>
    <w:p w14:paraId="5DB18792"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28</w:t>
      </w:r>
      <w:r w:rsidRPr="001D108C">
        <w:rPr>
          <w:rFonts w:ascii="Times New Roman" w:hAnsi="Times New Roman" w:cs="Times New Roman"/>
          <w:color w:val="000000"/>
          <w:sz w:val="24"/>
        </w:rPr>
        <w:tab/>
        <w:t>United Nations Department of Economic and Social Affairs. World Population Prospects 2019. 2019.</w:t>
      </w:r>
    </w:p>
    <w:p w14:paraId="7EAAE2CC"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lastRenderedPageBreak/>
        <w:t>29</w:t>
      </w:r>
      <w:r w:rsidRPr="001D108C">
        <w:rPr>
          <w:rFonts w:ascii="Times New Roman" w:hAnsi="Times New Roman" w:cs="Times New Roman"/>
          <w:color w:val="000000"/>
          <w:sz w:val="24"/>
        </w:rPr>
        <w:tab/>
        <w:t>Howson CP, Kennedy ET, Horwitz A, editors. Prevention of Micronutrient Deficiencies:  Tools for policmakers and public health workers. Washington, DC: National Academies Press (US), 1998 DOI:10.17226/5962.</w:t>
      </w:r>
    </w:p>
    <w:p w14:paraId="7CCBA87D" w14:textId="77777777" w:rsidR="001D108C" w:rsidRPr="001D108C" w:rsidRDefault="001D108C" w:rsidP="001D108C">
      <w:pPr>
        <w:pStyle w:val="Bibliography"/>
        <w:rPr>
          <w:rFonts w:ascii="Times New Roman" w:hAnsi="Times New Roman" w:cs="Times New Roman"/>
          <w:color w:val="000000"/>
          <w:sz w:val="24"/>
        </w:rPr>
      </w:pPr>
      <w:r w:rsidRPr="001D108C">
        <w:rPr>
          <w:rFonts w:ascii="Times New Roman" w:hAnsi="Times New Roman" w:cs="Times New Roman"/>
          <w:color w:val="000000"/>
          <w:sz w:val="24"/>
        </w:rPr>
        <w:t>30</w:t>
      </w:r>
      <w:r w:rsidRPr="001D108C">
        <w:rPr>
          <w:rFonts w:ascii="Times New Roman" w:hAnsi="Times New Roman" w:cs="Times New Roman"/>
          <w:color w:val="000000"/>
          <w:sz w:val="24"/>
        </w:rPr>
        <w:tab/>
        <w:t xml:space="preserve">Muthayya S, Rah JH, Sugimoto JD, Roos FF, Kraemer K, Black RE. The Global Hidden Hunger Indices and Maps: An Advocacy Tool for Action. </w:t>
      </w:r>
      <w:r w:rsidRPr="001D108C">
        <w:rPr>
          <w:rFonts w:ascii="Times New Roman" w:hAnsi="Times New Roman" w:cs="Times New Roman"/>
          <w:i/>
          <w:iCs/>
          <w:color w:val="000000"/>
          <w:sz w:val="24"/>
        </w:rPr>
        <w:t>PLOS ONE</w:t>
      </w:r>
      <w:r w:rsidRPr="001D108C">
        <w:rPr>
          <w:rFonts w:ascii="Times New Roman" w:hAnsi="Times New Roman" w:cs="Times New Roman"/>
          <w:color w:val="000000"/>
          <w:sz w:val="24"/>
        </w:rPr>
        <w:t xml:space="preserve"> 2013; </w:t>
      </w:r>
      <w:r w:rsidRPr="001D108C">
        <w:rPr>
          <w:rFonts w:ascii="Times New Roman" w:hAnsi="Times New Roman" w:cs="Times New Roman"/>
          <w:b/>
          <w:bCs/>
          <w:color w:val="000000"/>
          <w:sz w:val="24"/>
        </w:rPr>
        <w:t>8</w:t>
      </w:r>
      <w:r w:rsidRPr="001D108C">
        <w:rPr>
          <w:rFonts w:ascii="Times New Roman" w:hAnsi="Times New Roman" w:cs="Times New Roman"/>
          <w:color w:val="000000"/>
          <w:sz w:val="24"/>
        </w:rPr>
        <w:t>: e67860.</w:t>
      </w:r>
    </w:p>
    <w:p w14:paraId="56EE7B07" w14:textId="77777777" w:rsidR="00F91460" w:rsidRPr="004B3167" w:rsidRDefault="00ED18E5" w:rsidP="00F91460">
      <w:pPr>
        <w:rPr>
          <w:rFonts w:ascii="Times New Roman" w:hAnsi="Times New Roman" w:cs="Times New Roman"/>
          <w:sz w:val="24"/>
          <w:szCs w:val="24"/>
        </w:rPr>
      </w:pPr>
      <w:r>
        <w:rPr>
          <w:rFonts w:ascii="Times New Roman" w:hAnsi="Times New Roman" w:cs="Times New Roman"/>
          <w:sz w:val="24"/>
          <w:szCs w:val="24"/>
        </w:rPr>
        <w:fldChar w:fldCharType="end"/>
      </w:r>
      <w:r w:rsidR="007C4842">
        <w:rPr>
          <w:rFonts w:ascii="Times New Roman" w:hAnsi="Times New Roman" w:cs="Times New Roman"/>
          <w:sz w:val="24"/>
          <w:szCs w:val="24"/>
        </w:rPr>
        <w:br w:type="page"/>
      </w:r>
      <w:r w:rsidR="00F91460" w:rsidRPr="004B3167">
        <w:rPr>
          <w:rFonts w:ascii="Times New Roman" w:hAnsi="Times New Roman" w:cs="Times New Roman"/>
          <w:b/>
          <w:bCs/>
          <w:sz w:val="24"/>
          <w:szCs w:val="24"/>
        </w:rPr>
        <w:lastRenderedPageBreak/>
        <w:t>Figures</w:t>
      </w:r>
    </w:p>
    <w:p w14:paraId="15F2966F" w14:textId="77777777" w:rsidR="00F91460" w:rsidRPr="004B3167" w:rsidRDefault="00F91460" w:rsidP="00F91460">
      <w:pPr>
        <w:rPr>
          <w:rFonts w:ascii="Times New Roman" w:hAnsi="Times New Roman" w:cs="Times New Roman"/>
          <w:sz w:val="24"/>
          <w:szCs w:val="24"/>
        </w:rPr>
      </w:pPr>
    </w:p>
    <w:p w14:paraId="1681E077" w14:textId="77777777" w:rsidR="00F91460" w:rsidRPr="004B3167" w:rsidRDefault="00F91460" w:rsidP="00F91460">
      <w:pPr>
        <w:jc w:val="center"/>
        <w:rPr>
          <w:rFonts w:ascii="Times New Roman" w:hAnsi="Times New Roman" w:cs="Times New Roman"/>
          <w:sz w:val="24"/>
          <w:szCs w:val="24"/>
          <w:lang w:val="en-GB"/>
        </w:rPr>
      </w:pPr>
      <w:bookmarkStart w:id="0" w:name="_Toc88230443"/>
      <w:r>
        <w:rPr>
          <w:rFonts w:ascii="Times New Roman" w:hAnsi="Times New Roman" w:cs="Times New Roman"/>
          <w:noProof/>
          <w:sz w:val="24"/>
          <w:szCs w:val="24"/>
          <w:lang w:val="en-GB"/>
        </w:rPr>
        <w:drawing>
          <wp:inline distT="0" distB="0" distL="0" distR="0" wp14:anchorId="0877C0D5" wp14:editId="56D39FF0">
            <wp:extent cx="6018264" cy="366039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6027056" cy="3665745"/>
                    </a:xfrm>
                    <a:prstGeom prst="rect">
                      <a:avLst/>
                    </a:prstGeom>
                  </pic:spPr>
                </pic:pic>
              </a:graphicData>
            </a:graphic>
          </wp:inline>
        </w:drawing>
      </w:r>
    </w:p>
    <w:p w14:paraId="0F8CFB4B" w14:textId="2E6AB6EA" w:rsidR="00F91460" w:rsidRPr="00BC54F0" w:rsidRDefault="00F91460" w:rsidP="00F91460">
      <w:pPr>
        <w:rPr>
          <w:rFonts w:ascii="Times New Roman" w:hAnsi="Times New Roman" w:cs="Times New Roman"/>
          <w:sz w:val="24"/>
          <w:szCs w:val="24"/>
        </w:rPr>
      </w:pPr>
      <w:bookmarkStart w:id="1" w:name="_Toc88230444"/>
      <w:r w:rsidRPr="00B92444">
        <w:rPr>
          <w:rFonts w:ascii="Times New Roman" w:hAnsi="Times New Roman" w:cs="Times New Roman"/>
          <w:b/>
          <w:bCs/>
          <w:sz w:val="24"/>
          <w:szCs w:val="24"/>
        </w:rPr>
        <w:t xml:space="preserve">Figure 1. Prevalence of isolated or ≥2 micronutrient deficiencies among children </w:t>
      </w:r>
      <w:r>
        <w:rPr>
          <w:rFonts w:ascii="Times New Roman" w:hAnsi="Times New Roman" w:cs="Times New Roman"/>
          <w:b/>
          <w:bCs/>
          <w:sz w:val="24"/>
          <w:szCs w:val="24"/>
        </w:rPr>
        <w:t xml:space="preserve">primarily </w:t>
      </w:r>
      <w:r w:rsidRPr="00B92444">
        <w:rPr>
          <w:rFonts w:ascii="Times New Roman" w:hAnsi="Times New Roman" w:cs="Times New Roman"/>
          <w:b/>
          <w:bCs/>
          <w:sz w:val="24"/>
          <w:szCs w:val="24"/>
        </w:rPr>
        <w:t>6–59 months.</w:t>
      </w:r>
      <w:r>
        <w:rPr>
          <w:rFonts w:ascii="Times New Roman" w:hAnsi="Times New Roman" w:cs="Times New Roman"/>
          <w:sz w:val="24"/>
          <w:szCs w:val="24"/>
        </w:rPr>
        <w:t xml:space="preserve"> Results shown for datasets containing at least five of the six sentinel micronutrients. Surveys in Mexico and Guatemala did not measure folate, the United Kingdom did not measure zinc, Cameroon did not measure vitamin D, and Viet Nam did not measure vitamin B</w:t>
      </w:r>
      <w:r w:rsidRPr="00920CA4">
        <w:rPr>
          <w:rFonts w:ascii="Times New Roman" w:hAnsi="Times New Roman" w:cs="Times New Roman"/>
          <w:sz w:val="24"/>
          <w:szCs w:val="24"/>
          <w:vertAlign w:val="subscript"/>
        </w:rPr>
        <w:t>12</w:t>
      </w:r>
      <w:r>
        <w:rPr>
          <w:rFonts w:ascii="Times New Roman" w:hAnsi="Times New Roman" w:cs="Times New Roman"/>
          <w:sz w:val="24"/>
          <w:szCs w:val="24"/>
        </w:rPr>
        <w:t>.</w:t>
      </w:r>
      <w:bookmarkEnd w:id="1"/>
      <w:r>
        <w:rPr>
          <w:rFonts w:ascii="Times New Roman" w:hAnsi="Times New Roman" w:cs="Times New Roman"/>
          <w:sz w:val="24"/>
          <w:szCs w:val="24"/>
        </w:rPr>
        <w:t xml:space="preserve"> Exact age ranges varied slightly by survey and are specified in appendix Table 6.</w:t>
      </w:r>
      <w:r w:rsidR="008E675D">
        <w:rPr>
          <w:rFonts w:ascii="Times New Roman" w:hAnsi="Times New Roman" w:cs="Times New Roman"/>
          <w:sz w:val="24"/>
          <w:szCs w:val="24"/>
        </w:rPr>
        <w:t xml:space="preserve"> Sample sizes </w:t>
      </w:r>
      <w:r w:rsidR="00017862">
        <w:rPr>
          <w:rFonts w:ascii="Times New Roman" w:hAnsi="Times New Roman" w:cs="Times New Roman"/>
          <w:sz w:val="24"/>
          <w:szCs w:val="24"/>
        </w:rPr>
        <w:t xml:space="preserve">and deficiency cutoff definitions </w:t>
      </w:r>
      <w:r w:rsidR="008E675D">
        <w:rPr>
          <w:rFonts w:ascii="Times New Roman" w:hAnsi="Times New Roman" w:cs="Times New Roman"/>
          <w:sz w:val="24"/>
          <w:szCs w:val="24"/>
        </w:rPr>
        <w:t>are also in appendix Table 6.</w:t>
      </w:r>
    </w:p>
    <w:p w14:paraId="2E91195B" w14:textId="77777777" w:rsidR="00F91460" w:rsidRDefault="00F91460" w:rsidP="00F91460">
      <w:pPr>
        <w:rPr>
          <w:rFonts w:ascii="Times New Roman" w:hAnsi="Times New Roman" w:cs="Times New Roman"/>
          <w:sz w:val="24"/>
          <w:szCs w:val="24"/>
        </w:rPr>
        <w:sectPr w:rsidR="00F91460" w:rsidSect="00431DB3">
          <w:pgSz w:w="11900" w:h="16820"/>
          <w:pgMar w:top="1440" w:right="1440" w:bottom="1440" w:left="1440" w:header="720" w:footer="720" w:gutter="0"/>
          <w:cols w:space="720"/>
          <w:docGrid w:linePitch="360"/>
        </w:sectPr>
      </w:pPr>
      <w:r w:rsidRPr="004B3167">
        <w:rPr>
          <w:rFonts w:ascii="Times New Roman" w:hAnsi="Times New Roman" w:cs="Times New Roman"/>
          <w:sz w:val="24"/>
          <w:szCs w:val="24"/>
        </w:rPr>
        <w:br w:type="page"/>
      </w:r>
    </w:p>
    <w:p w14:paraId="0F8678E0" w14:textId="77777777" w:rsidR="00F91460" w:rsidRDefault="00F91460" w:rsidP="00F9146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0164B4" wp14:editId="29997A11">
            <wp:extent cx="8822453" cy="355744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8828031" cy="3559690"/>
                    </a:xfrm>
                    <a:prstGeom prst="rect">
                      <a:avLst/>
                    </a:prstGeom>
                  </pic:spPr>
                </pic:pic>
              </a:graphicData>
            </a:graphic>
          </wp:inline>
        </w:drawing>
      </w:r>
    </w:p>
    <w:p w14:paraId="6BE47334" w14:textId="233FFBD1" w:rsidR="00E7597D" w:rsidRPr="00BC54F0" w:rsidRDefault="00F91460" w:rsidP="00E7597D">
      <w:pPr>
        <w:rPr>
          <w:rFonts w:ascii="Times New Roman" w:hAnsi="Times New Roman" w:cs="Times New Roman"/>
          <w:sz w:val="24"/>
          <w:szCs w:val="24"/>
        </w:rPr>
      </w:pPr>
      <w:r w:rsidRPr="00C93B3A">
        <w:rPr>
          <w:rFonts w:ascii="Times New Roman" w:hAnsi="Times New Roman" w:cs="Times New Roman"/>
          <w:b/>
          <w:bCs/>
          <w:sz w:val="24"/>
          <w:szCs w:val="24"/>
        </w:rPr>
        <w:t xml:space="preserve">Figure </w:t>
      </w:r>
      <w:r w:rsidRPr="00443133">
        <w:rPr>
          <w:rFonts w:ascii="Times New Roman" w:hAnsi="Times New Roman" w:cs="Times New Roman"/>
          <w:b/>
          <w:bCs/>
          <w:sz w:val="24"/>
          <w:szCs w:val="24"/>
        </w:rPr>
        <w:t>2</w:t>
      </w:r>
      <w:r w:rsidRPr="00C93B3A">
        <w:rPr>
          <w:rFonts w:ascii="Times New Roman" w:hAnsi="Times New Roman" w:cs="Times New Roman"/>
          <w:b/>
          <w:bCs/>
          <w:sz w:val="24"/>
          <w:szCs w:val="24"/>
        </w:rPr>
        <w:t xml:space="preserve">. Prevalence of isolated or ≥2 micronutrient deficiencies among </w:t>
      </w:r>
      <w:r w:rsidRPr="00443133">
        <w:rPr>
          <w:rFonts w:ascii="Times New Roman" w:hAnsi="Times New Roman" w:cs="Times New Roman"/>
          <w:b/>
          <w:bCs/>
          <w:sz w:val="24"/>
          <w:szCs w:val="24"/>
        </w:rPr>
        <w:t>non-pregnant women primarily 15–49</w:t>
      </w:r>
      <w:r w:rsidRPr="00C93B3A">
        <w:rPr>
          <w:rFonts w:ascii="Times New Roman" w:hAnsi="Times New Roman" w:cs="Times New Roman"/>
          <w:b/>
          <w:bCs/>
          <w:sz w:val="24"/>
          <w:szCs w:val="24"/>
        </w:rPr>
        <w:t>.</w:t>
      </w:r>
      <w:r w:rsidRPr="00C93B3A">
        <w:rPr>
          <w:rFonts w:ascii="Times New Roman" w:hAnsi="Times New Roman" w:cs="Times New Roman"/>
          <w:sz w:val="24"/>
          <w:szCs w:val="24"/>
        </w:rPr>
        <w:t xml:space="preserve"> </w:t>
      </w:r>
      <w:r>
        <w:rPr>
          <w:rFonts w:ascii="Times New Roman" w:hAnsi="Times New Roman" w:cs="Times New Roman"/>
          <w:sz w:val="24"/>
          <w:szCs w:val="24"/>
        </w:rPr>
        <w:t>Results shown for datasets containing at least five of the six sentinel micronutrients</w:t>
      </w:r>
      <w:r w:rsidRPr="00C93B3A">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93B3A">
        <w:rPr>
          <w:rFonts w:ascii="Times New Roman" w:hAnsi="Times New Roman" w:cs="Times New Roman"/>
          <w:sz w:val="24"/>
          <w:szCs w:val="24"/>
        </w:rPr>
        <w:t>Guatemala</w:t>
      </w:r>
      <w:r>
        <w:rPr>
          <w:rFonts w:ascii="Times New Roman" w:hAnsi="Times New Roman" w:cs="Times New Roman"/>
          <w:sz w:val="24"/>
          <w:szCs w:val="24"/>
        </w:rPr>
        <w:t xml:space="preserve"> survey did not measure folate while the survey in Pakistan did measure folate but is not included here. The surveys in Ecuador, Ethiopia, Malawi, Cameroon, and Bangladesh did not measure vitamin D. Age ranges were 20–49 for Ecuador and 15–19 for India. Other age ranges varied slightly by survey and are specified in appendix Table 7.</w:t>
      </w:r>
      <w:r w:rsidR="00E7597D">
        <w:rPr>
          <w:rFonts w:ascii="Times New Roman" w:hAnsi="Times New Roman" w:cs="Times New Roman"/>
          <w:sz w:val="24"/>
          <w:szCs w:val="24"/>
        </w:rPr>
        <w:t xml:space="preserve"> Sample sizes and deficiency cutoff definitions are also in appendix Table 7.</w:t>
      </w:r>
    </w:p>
    <w:p w14:paraId="34D7E16C" w14:textId="362489A1" w:rsidR="00F91460" w:rsidRPr="00C93B3A" w:rsidRDefault="00F91460" w:rsidP="00F91460">
      <w:pPr>
        <w:rPr>
          <w:rFonts w:ascii="Times New Roman" w:hAnsi="Times New Roman" w:cs="Times New Roman"/>
          <w:sz w:val="24"/>
          <w:szCs w:val="24"/>
        </w:rPr>
      </w:pPr>
    </w:p>
    <w:p w14:paraId="58EFC0FA" w14:textId="77777777" w:rsidR="00F91460" w:rsidRPr="00581AB1" w:rsidRDefault="00F91460" w:rsidP="00F91460">
      <w:pPr>
        <w:rPr>
          <w:rFonts w:ascii="Times New Roman" w:hAnsi="Times New Roman" w:cs="Times New Roman"/>
          <w:sz w:val="24"/>
          <w:szCs w:val="24"/>
        </w:rPr>
      </w:pPr>
      <w:r w:rsidRPr="00C93B3A">
        <w:rPr>
          <w:rFonts w:ascii="Times New Roman" w:hAnsi="Times New Roman" w:cs="Times New Roman"/>
          <w:sz w:val="24"/>
          <w:szCs w:val="24"/>
        </w:rPr>
        <w:br w:type="page"/>
      </w:r>
      <w:bookmarkEnd w:id="0"/>
    </w:p>
    <w:p w14:paraId="00CB215F" w14:textId="77777777" w:rsidR="00F91460" w:rsidRPr="004B3167" w:rsidRDefault="00F91460" w:rsidP="00F91460">
      <w:pPr>
        <w:rPr>
          <w:rFonts w:ascii="Times New Roman" w:hAnsi="Times New Roman" w:cs="Times New Roman"/>
          <w:sz w:val="24"/>
          <w:szCs w:val="24"/>
          <w:lang w:val="en-GB"/>
        </w:rPr>
        <w:sectPr w:rsidR="00F91460" w:rsidRPr="004B3167" w:rsidSect="00431DB3">
          <w:pgSz w:w="16820" w:h="11900" w:orient="landscape"/>
          <w:pgMar w:top="1440" w:right="1440" w:bottom="1440" w:left="1440" w:header="720" w:footer="720" w:gutter="0"/>
          <w:cols w:space="720"/>
          <w:docGrid w:linePitch="360"/>
        </w:sectPr>
      </w:pPr>
    </w:p>
    <w:p w14:paraId="0BCBF83B" w14:textId="77777777" w:rsidR="00F91460" w:rsidRPr="004B3167" w:rsidRDefault="00F91460" w:rsidP="00F91460">
      <w:pPr>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781E04D8" wp14:editId="32ACB84C">
            <wp:extent cx="8851900" cy="4057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8851900" cy="4057015"/>
                    </a:xfrm>
                    <a:prstGeom prst="rect">
                      <a:avLst/>
                    </a:prstGeom>
                  </pic:spPr>
                </pic:pic>
              </a:graphicData>
            </a:graphic>
          </wp:inline>
        </w:drawing>
      </w:r>
    </w:p>
    <w:p w14:paraId="2AFEA430" w14:textId="5F26A38D" w:rsidR="00F91460" w:rsidRPr="004B3167" w:rsidRDefault="00F91460" w:rsidP="00F91460">
      <w:pPr>
        <w:rPr>
          <w:rFonts w:ascii="Times New Roman" w:hAnsi="Times New Roman" w:cs="Times New Roman"/>
          <w:sz w:val="24"/>
          <w:szCs w:val="24"/>
          <w:lang w:val="en-GB"/>
        </w:rPr>
      </w:pPr>
      <w:r w:rsidRPr="00F1036E">
        <w:rPr>
          <w:rFonts w:ascii="Times New Roman" w:hAnsi="Times New Roman" w:cs="Times New Roman"/>
          <w:b/>
          <w:bCs/>
          <w:sz w:val="24"/>
          <w:szCs w:val="24"/>
          <w:lang w:val="en-GB"/>
        </w:rPr>
        <w:t xml:space="preserve">Figure 3. </w:t>
      </w:r>
      <w:r>
        <w:rPr>
          <w:rFonts w:ascii="Times New Roman" w:hAnsi="Times New Roman" w:cs="Times New Roman"/>
          <w:b/>
          <w:bCs/>
          <w:sz w:val="24"/>
          <w:szCs w:val="24"/>
          <w:lang w:val="en-GB"/>
        </w:rPr>
        <w:t>Estimated p</w:t>
      </w:r>
      <w:r w:rsidRPr="00F1036E">
        <w:rPr>
          <w:rFonts w:ascii="Times New Roman" w:hAnsi="Times New Roman" w:cs="Times New Roman"/>
          <w:b/>
          <w:bCs/>
          <w:sz w:val="24"/>
          <w:szCs w:val="24"/>
          <w:lang w:val="en-GB"/>
        </w:rPr>
        <w:t xml:space="preserve">revalence of deficiency in iron, zinc, or vitamin A among children </w:t>
      </w:r>
      <w:r>
        <w:rPr>
          <w:rFonts w:ascii="Times New Roman" w:hAnsi="Times New Roman" w:cs="Times New Roman"/>
          <w:b/>
          <w:bCs/>
          <w:sz w:val="24"/>
          <w:szCs w:val="24"/>
          <w:lang w:val="en-GB"/>
        </w:rPr>
        <w:t xml:space="preserve">primarily </w:t>
      </w:r>
      <w:r w:rsidRPr="00F1036E">
        <w:rPr>
          <w:rFonts w:ascii="Times New Roman" w:hAnsi="Times New Roman" w:cs="Times New Roman"/>
          <w:b/>
          <w:bCs/>
          <w:sz w:val="24"/>
          <w:szCs w:val="24"/>
          <w:lang w:val="en-GB"/>
        </w:rPr>
        <w:t xml:space="preserve">6–59 months (2005–2019). </w:t>
      </w:r>
      <w:r>
        <w:rPr>
          <w:rFonts w:ascii="Times New Roman" w:hAnsi="Times New Roman" w:cs="Times New Roman"/>
          <w:sz w:val="24"/>
          <w:szCs w:val="24"/>
          <w:lang w:val="en-GB"/>
        </w:rPr>
        <w:t>Direct survey estimates, survey estimates that were adjusted for one unmeasured micronutrient, and regional and global estimates are shown. Error bars show 95% uncertainty intervals. Exact age ranges vary slightly and are listed in appendix Table 6.</w:t>
      </w:r>
      <w:r w:rsidR="00193D35">
        <w:rPr>
          <w:rFonts w:ascii="Times New Roman" w:hAnsi="Times New Roman" w:cs="Times New Roman"/>
          <w:sz w:val="24"/>
          <w:szCs w:val="24"/>
          <w:lang w:val="en-GB"/>
        </w:rPr>
        <w:t xml:space="preserve"> Sample sizes are also listed in appendix Table 6.</w:t>
      </w:r>
      <w:r w:rsidRPr="004B3167">
        <w:rPr>
          <w:rFonts w:ascii="Times New Roman" w:hAnsi="Times New Roman" w:cs="Times New Roman"/>
          <w:sz w:val="24"/>
          <w:szCs w:val="24"/>
          <w:lang w:val="en-GB"/>
        </w:rPr>
        <w:br w:type="page"/>
      </w:r>
    </w:p>
    <w:p w14:paraId="05ED7FA0" w14:textId="77777777" w:rsidR="00F91460" w:rsidRPr="004B3167" w:rsidRDefault="00F91460" w:rsidP="00F91460">
      <w:pPr>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27270FC1" wp14:editId="20943848">
            <wp:extent cx="8851900" cy="4081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8851900" cy="4081780"/>
                    </a:xfrm>
                    <a:prstGeom prst="rect">
                      <a:avLst/>
                    </a:prstGeom>
                  </pic:spPr>
                </pic:pic>
              </a:graphicData>
            </a:graphic>
          </wp:inline>
        </w:drawing>
      </w:r>
    </w:p>
    <w:p w14:paraId="7F3CEA53" w14:textId="19857398" w:rsidR="00655634" w:rsidRPr="004B3167" w:rsidRDefault="00F91460" w:rsidP="00655634">
      <w:pPr>
        <w:rPr>
          <w:rFonts w:ascii="Times New Roman" w:hAnsi="Times New Roman" w:cs="Times New Roman"/>
          <w:sz w:val="24"/>
          <w:szCs w:val="24"/>
          <w:lang w:val="en-GB"/>
        </w:rPr>
      </w:pPr>
      <w:r w:rsidRPr="00F1036E">
        <w:rPr>
          <w:rFonts w:ascii="Times New Roman" w:hAnsi="Times New Roman" w:cs="Times New Roman"/>
          <w:b/>
          <w:bCs/>
          <w:sz w:val="24"/>
          <w:szCs w:val="24"/>
          <w:lang w:val="en-GB"/>
        </w:rPr>
        <w:t xml:space="preserve">Figure </w:t>
      </w:r>
      <w:r>
        <w:rPr>
          <w:rFonts w:ascii="Times New Roman" w:hAnsi="Times New Roman" w:cs="Times New Roman"/>
          <w:b/>
          <w:bCs/>
          <w:sz w:val="24"/>
          <w:szCs w:val="24"/>
          <w:lang w:val="en-GB"/>
        </w:rPr>
        <w:t>4</w:t>
      </w:r>
      <w:r w:rsidRPr="00F1036E">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Estimated p</w:t>
      </w:r>
      <w:r w:rsidRPr="00F1036E">
        <w:rPr>
          <w:rFonts w:ascii="Times New Roman" w:hAnsi="Times New Roman" w:cs="Times New Roman"/>
          <w:b/>
          <w:bCs/>
          <w:sz w:val="24"/>
          <w:szCs w:val="24"/>
          <w:lang w:val="en-GB"/>
        </w:rPr>
        <w:t xml:space="preserve">revalence of deficiency in iron, zinc, or </w:t>
      </w:r>
      <w:r>
        <w:rPr>
          <w:rFonts w:ascii="Times New Roman" w:hAnsi="Times New Roman" w:cs="Times New Roman"/>
          <w:b/>
          <w:bCs/>
          <w:sz w:val="24"/>
          <w:szCs w:val="24"/>
          <w:lang w:val="en-GB"/>
        </w:rPr>
        <w:t>folate</w:t>
      </w:r>
      <w:r w:rsidRPr="00F1036E">
        <w:rPr>
          <w:rFonts w:ascii="Times New Roman" w:hAnsi="Times New Roman" w:cs="Times New Roman"/>
          <w:b/>
          <w:bCs/>
          <w:sz w:val="24"/>
          <w:szCs w:val="24"/>
          <w:lang w:val="en-GB"/>
        </w:rPr>
        <w:t xml:space="preserve"> among </w:t>
      </w:r>
      <w:r w:rsidRPr="00443133">
        <w:rPr>
          <w:rFonts w:ascii="Times New Roman" w:hAnsi="Times New Roman" w:cs="Times New Roman"/>
          <w:b/>
          <w:bCs/>
          <w:sz w:val="24"/>
          <w:szCs w:val="24"/>
        </w:rPr>
        <w:t>non-pregnant women primarily 15–49</w:t>
      </w:r>
      <w:r w:rsidRPr="00F1036E">
        <w:rPr>
          <w:rFonts w:ascii="Times New Roman" w:hAnsi="Times New Roman" w:cs="Times New Roman"/>
          <w:b/>
          <w:bCs/>
          <w:sz w:val="24"/>
          <w:szCs w:val="24"/>
          <w:lang w:val="en-GB"/>
        </w:rPr>
        <w:t xml:space="preserve"> (200</w:t>
      </w:r>
      <w:r>
        <w:rPr>
          <w:rFonts w:ascii="Times New Roman" w:hAnsi="Times New Roman" w:cs="Times New Roman"/>
          <w:b/>
          <w:bCs/>
          <w:sz w:val="24"/>
          <w:szCs w:val="24"/>
          <w:lang w:val="en-GB"/>
        </w:rPr>
        <w:t>6</w:t>
      </w:r>
      <w:r w:rsidRPr="00F1036E">
        <w:rPr>
          <w:rFonts w:ascii="Times New Roman" w:hAnsi="Times New Roman" w:cs="Times New Roman"/>
          <w:b/>
          <w:bCs/>
          <w:sz w:val="24"/>
          <w:szCs w:val="24"/>
          <w:lang w:val="en-GB"/>
        </w:rPr>
        <w:t xml:space="preserve">–2019). </w:t>
      </w:r>
      <w:r>
        <w:rPr>
          <w:rFonts w:ascii="Times New Roman" w:hAnsi="Times New Roman" w:cs="Times New Roman"/>
          <w:sz w:val="24"/>
          <w:szCs w:val="24"/>
          <w:lang w:val="en-GB"/>
        </w:rPr>
        <w:t xml:space="preserve">Direct survey estimates, survey estimates that were adjusted for one unmeasured micronutrient, and regional and global estimates are shown. Error bars show 95% uncertainty intervals. </w:t>
      </w:r>
      <w:r>
        <w:rPr>
          <w:rFonts w:ascii="Times New Roman" w:hAnsi="Times New Roman" w:cs="Times New Roman"/>
          <w:sz w:val="24"/>
          <w:szCs w:val="24"/>
        </w:rPr>
        <w:t>Age ranges were 20–49 for Ecuador and 15–19 for India. Other age ranges varied slightly by survey and are specified in appendix Table 7.</w:t>
      </w:r>
      <w:r w:rsidR="00655634">
        <w:rPr>
          <w:rFonts w:ascii="Times New Roman" w:hAnsi="Times New Roman" w:cs="Times New Roman"/>
          <w:sz w:val="24"/>
          <w:szCs w:val="24"/>
        </w:rPr>
        <w:t xml:space="preserve"> </w:t>
      </w:r>
      <w:r w:rsidR="00655634">
        <w:rPr>
          <w:rFonts w:ascii="Times New Roman" w:hAnsi="Times New Roman" w:cs="Times New Roman"/>
          <w:sz w:val="24"/>
          <w:szCs w:val="24"/>
          <w:lang w:val="en-GB"/>
        </w:rPr>
        <w:t>Sample sizes are also listed in appendix Table 7.</w:t>
      </w:r>
      <w:r w:rsidR="00655634" w:rsidRPr="004B3167">
        <w:rPr>
          <w:rFonts w:ascii="Times New Roman" w:hAnsi="Times New Roman" w:cs="Times New Roman"/>
          <w:sz w:val="24"/>
          <w:szCs w:val="24"/>
          <w:lang w:val="en-GB"/>
        </w:rPr>
        <w:br w:type="page"/>
      </w:r>
    </w:p>
    <w:p w14:paraId="0345BF1C" w14:textId="5EF6688A" w:rsidR="00F91460" w:rsidRPr="00B369DA" w:rsidRDefault="00F91460" w:rsidP="00F91460">
      <w:pPr>
        <w:rPr>
          <w:rFonts w:ascii="Times New Roman" w:hAnsi="Times New Roman" w:cs="Times New Roman"/>
          <w:sz w:val="24"/>
          <w:szCs w:val="24"/>
        </w:rPr>
      </w:pPr>
    </w:p>
    <w:p w14:paraId="25C143D1" w14:textId="77777777" w:rsidR="00F91460" w:rsidRPr="00C56FD0" w:rsidRDefault="00F91460" w:rsidP="00F91460">
      <w:pPr>
        <w:rPr>
          <w:rFonts w:ascii="Times New Roman" w:hAnsi="Times New Roman" w:cs="Times New Roman"/>
          <w:b/>
          <w:bCs/>
          <w:sz w:val="24"/>
          <w:szCs w:val="24"/>
        </w:rPr>
      </w:pPr>
      <w:r>
        <w:rPr>
          <w:rFonts w:ascii="Times New Roman" w:hAnsi="Times New Roman" w:cs="Times New Roman"/>
          <w:b/>
          <w:bCs/>
          <w:sz w:val="24"/>
          <w:szCs w:val="24"/>
        </w:rPr>
        <w:t>Tables</w:t>
      </w:r>
    </w:p>
    <w:p w14:paraId="02537253" w14:textId="77777777" w:rsidR="00F91460" w:rsidRPr="00C56FD0" w:rsidRDefault="00F91460" w:rsidP="00F91460">
      <w:pPr>
        <w:rPr>
          <w:rFonts w:ascii="Times New Roman" w:hAnsi="Times New Roman" w:cs="Times New Roman"/>
          <w:b/>
          <w:bCs/>
          <w:sz w:val="24"/>
          <w:szCs w:val="24"/>
          <w:lang w:val="en-GB"/>
        </w:rPr>
      </w:pPr>
      <w:r w:rsidRPr="00C56FD0">
        <w:rPr>
          <w:rFonts w:ascii="Times New Roman" w:hAnsi="Times New Roman" w:cs="Times New Roman"/>
          <w:b/>
          <w:bCs/>
          <w:sz w:val="24"/>
          <w:szCs w:val="24"/>
          <w:lang w:val="en-GB"/>
        </w:rPr>
        <w:t>Table 1. Definition of deficiency and adjustment for inflammation for each included biomarker.</w:t>
      </w:r>
      <w:r w:rsidRPr="00C56FD0">
        <w:rPr>
          <w:rFonts w:ascii="Times New Roman" w:hAnsi="Times New Roman" w:cs="Times New Roman"/>
          <w:b/>
          <w:bCs/>
          <w:sz w:val="24"/>
          <w:szCs w:val="24"/>
          <w:vertAlign w:val="superscript"/>
          <w:lang w:val="en-GB"/>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71"/>
        <w:gridCol w:w="2639"/>
        <w:gridCol w:w="2138"/>
        <w:gridCol w:w="3488"/>
        <w:gridCol w:w="3494"/>
      </w:tblGrid>
      <w:tr w:rsidR="00F91460" w:rsidRPr="0058236D" w14:paraId="5D438DE8" w14:textId="77777777" w:rsidTr="00C47A93">
        <w:trPr>
          <w:trHeight w:val="20"/>
        </w:trPr>
        <w:tc>
          <w:tcPr>
            <w:tcW w:w="779" w:type="pct"/>
            <w:vAlign w:val="bottom"/>
          </w:tcPr>
          <w:p w14:paraId="56558E44" w14:textId="77777777" w:rsidR="00F91460" w:rsidRPr="0058236D" w:rsidRDefault="00F91460" w:rsidP="007214C8">
            <w:pPr>
              <w:rPr>
                <w:rFonts w:ascii="Times New Roman" w:hAnsi="Times New Roman" w:cs="Times New Roman"/>
                <w:sz w:val="24"/>
                <w:szCs w:val="24"/>
              </w:rPr>
            </w:pPr>
          </w:p>
        </w:tc>
        <w:tc>
          <w:tcPr>
            <w:tcW w:w="947" w:type="pct"/>
            <w:noWrap/>
            <w:vAlign w:val="bottom"/>
            <w:hideMark/>
          </w:tcPr>
          <w:p w14:paraId="2B3F9A11" w14:textId="77777777" w:rsidR="00F91460" w:rsidRPr="00C47A93" w:rsidRDefault="00F91460" w:rsidP="007214C8">
            <w:pPr>
              <w:rPr>
                <w:rFonts w:ascii="Times New Roman" w:hAnsi="Times New Roman" w:cs="Times New Roman"/>
                <w:b/>
                <w:bCs/>
                <w:sz w:val="24"/>
                <w:szCs w:val="24"/>
              </w:rPr>
            </w:pPr>
            <w:r w:rsidRPr="00C47A93">
              <w:rPr>
                <w:rFonts w:ascii="Times New Roman" w:hAnsi="Times New Roman" w:cs="Times New Roman"/>
                <w:b/>
                <w:bCs/>
                <w:sz w:val="24"/>
                <w:szCs w:val="24"/>
              </w:rPr>
              <w:t>Biomarker</w:t>
            </w:r>
          </w:p>
        </w:tc>
        <w:tc>
          <w:tcPr>
            <w:tcW w:w="767" w:type="pct"/>
            <w:noWrap/>
            <w:vAlign w:val="bottom"/>
            <w:hideMark/>
          </w:tcPr>
          <w:p w14:paraId="42063852" w14:textId="77777777" w:rsidR="00F91460" w:rsidRPr="00C47A93" w:rsidRDefault="00F91460" w:rsidP="007214C8">
            <w:pPr>
              <w:rPr>
                <w:rFonts w:ascii="Times New Roman" w:hAnsi="Times New Roman" w:cs="Times New Roman"/>
                <w:b/>
                <w:bCs/>
                <w:sz w:val="24"/>
                <w:szCs w:val="24"/>
              </w:rPr>
            </w:pPr>
            <w:r w:rsidRPr="00C47A93">
              <w:rPr>
                <w:rFonts w:ascii="Times New Roman" w:hAnsi="Times New Roman" w:cs="Times New Roman"/>
                <w:b/>
                <w:bCs/>
                <w:sz w:val="24"/>
                <w:szCs w:val="24"/>
              </w:rPr>
              <w:t>Definition of deficiency</w:t>
            </w:r>
          </w:p>
        </w:tc>
        <w:tc>
          <w:tcPr>
            <w:tcW w:w="1252" w:type="pct"/>
            <w:noWrap/>
            <w:vAlign w:val="bottom"/>
            <w:hideMark/>
          </w:tcPr>
          <w:p w14:paraId="03AB79D5" w14:textId="77777777" w:rsidR="00F91460" w:rsidRPr="00C47A93" w:rsidRDefault="00F91460" w:rsidP="007214C8">
            <w:pPr>
              <w:rPr>
                <w:rFonts w:ascii="Times New Roman" w:hAnsi="Times New Roman" w:cs="Times New Roman"/>
                <w:b/>
                <w:bCs/>
                <w:sz w:val="24"/>
                <w:szCs w:val="24"/>
              </w:rPr>
            </w:pPr>
            <w:r w:rsidRPr="00C47A93">
              <w:rPr>
                <w:rFonts w:ascii="Times New Roman" w:hAnsi="Times New Roman" w:cs="Times New Roman"/>
                <w:b/>
                <w:bCs/>
                <w:sz w:val="24"/>
                <w:szCs w:val="24"/>
              </w:rPr>
              <w:t>Population</w:t>
            </w:r>
          </w:p>
        </w:tc>
        <w:tc>
          <w:tcPr>
            <w:tcW w:w="1254" w:type="pct"/>
            <w:noWrap/>
            <w:vAlign w:val="bottom"/>
            <w:hideMark/>
          </w:tcPr>
          <w:p w14:paraId="646DA443" w14:textId="77777777" w:rsidR="00F91460" w:rsidRPr="00C47A93" w:rsidRDefault="00F91460" w:rsidP="007214C8">
            <w:pPr>
              <w:rPr>
                <w:rFonts w:ascii="Times New Roman" w:hAnsi="Times New Roman" w:cs="Times New Roman"/>
                <w:b/>
                <w:bCs/>
                <w:sz w:val="24"/>
                <w:szCs w:val="24"/>
              </w:rPr>
            </w:pPr>
            <w:r w:rsidRPr="00C47A93">
              <w:rPr>
                <w:rFonts w:ascii="Times New Roman" w:hAnsi="Times New Roman" w:cs="Times New Roman"/>
                <w:b/>
                <w:bCs/>
                <w:sz w:val="24"/>
                <w:szCs w:val="24"/>
              </w:rPr>
              <w:t>Adjust for inflammation?</w:t>
            </w:r>
          </w:p>
        </w:tc>
      </w:tr>
      <w:tr w:rsidR="00F91460" w:rsidRPr="0058236D" w14:paraId="1E76D188" w14:textId="77777777" w:rsidTr="00C47A93">
        <w:trPr>
          <w:trHeight w:val="20"/>
        </w:trPr>
        <w:tc>
          <w:tcPr>
            <w:tcW w:w="779" w:type="pct"/>
            <w:vAlign w:val="center"/>
          </w:tcPr>
          <w:p w14:paraId="03A7E8E2" w14:textId="77777777" w:rsidR="00F91460" w:rsidRPr="0058236D" w:rsidRDefault="00F91460" w:rsidP="007214C8">
            <w:pPr>
              <w:rPr>
                <w:rFonts w:ascii="Times New Roman" w:hAnsi="Times New Roman" w:cs="Times New Roman"/>
                <w:sz w:val="24"/>
                <w:szCs w:val="24"/>
              </w:rPr>
            </w:pPr>
            <w:r>
              <w:rPr>
                <w:rFonts w:ascii="Times New Roman" w:hAnsi="Times New Roman" w:cs="Times New Roman"/>
                <w:sz w:val="24"/>
                <w:szCs w:val="24"/>
              </w:rPr>
              <w:t xml:space="preserve">Vitamin </w:t>
            </w:r>
            <w:r w:rsidRPr="0058236D">
              <w:rPr>
                <w:rFonts w:ascii="Times New Roman" w:hAnsi="Times New Roman" w:cs="Times New Roman"/>
                <w:sz w:val="24"/>
                <w:szCs w:val="24"/>
              </w:rPr>
              <w:t>B</w:t>
            </w:r>
            <w:r w:rsidRPr="0058236D">
              <w:rPr>
                <w:rFonts w:ascii="Times New Roman" w:hAnsi="Times New Roman" w:cs="Times New Roman"/>
                <w:sz w:val="24"/>
                <w:szCs w:val="24"/>
                <w:vertAlign w:val="subscript"/>
              </w:rPr>
              <w:t>12</w:t>
            </w:r>
          </w:p>
        </w:tc>
        <w:tc>
          <w:tcPr>
            <w:tcW w:w="947" w:type="pct"/>
            <w:noWrap/>
            <w:vAlign w:val="center"/>
            <w:hideMark/>
          </w:tcPr>
          <w:p w14:paraId="5B9DD348"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B</w:t>
            </w:r>
            <w:r w:rsidRPr="0058236D">
              <w:rPr>
                <w:rFonts w:ascii="Times New Roman" w:hAnsi="Times New Roman" w:cs="Times New Roman"/>
                <w:sz w:val="24"/>
                <w:szCs w:val="24"/>
                <w:vertAlign w:val="subscript"/>
              </w:rPr>
              <w:t>12</w:t>
            </w:r>
          </w:p>
        </w:tc>
        <w:tc>
          <w:tcPr>
            <w:tcW w:w="767" w:type="pct"/>
            <w:noWrap/>
            <w:vAlign w:val="center"/>
            <w:hideMark/>
          </w:tcPr>
          <w:p w14:paraId="50BF5F4D"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&lt;150 </w:t>
            </w:r>
            <w:proofErr w:type="spellStart"/>
            <w:r w:rsidRPr="0058236D">
              <w:rPr>
                <w:rFonts w:ascii="Times New Roman" w:hAnsi="Times New Roman" w:cs="Times New Roman"/>
                <w:sz w:val="24"/>
                <w:szCs w:val="24"/>
              </w:rPr>
              <w:t>pmol</w:t>
            </w:r>
            <w:proofErr w:type="spellEnd"/>
            <w:r w:rsidRPr="0058236D">
              <w:rPr>
                <w:rFonts w:ascii="Times New Roman" w:hAnsi="Times New Roman" w:cs="Times New Roman"/>
                <w:sz w:val="24"/>
                <w:szCs w:val="24"/>
              </w:rPr>
              <w:t>/L</w:t>
            </w:r>
          </w:p>
        </w:tc>
        <w:tc>
          <w:tcPr>
            <w:tcW w:w="1252" w:type="pct"/>
            <w:noWrap/>
            <w:vAlign w:val="center"/>
            <w:hideMark/>
          </w:tcPr>
          <w:p w14:paraId="58B7E743"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All</w:t>
            </w:r>
          </w:p>
        </w:tc>
        <w:tc>
          <w:tcPr>
            <w:tcW w:w="1254" w:type="pct"/>
            <w:noWrap/>
            <w:vAlign w:val="center"/>
            <w:hideMark/>
          </w:tcPr>
          <w:p w14:paraId="222FCA76"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No</w:t>
            </w:r>
          </w:p>
        </w:tc>
      </w:tr>
      <w:tr w:rsidR="00F91460" w:rsidRPr="0058236D" w14:paraId="64F2AFE4" w14:textId="77777777" w:rsidTr="00C47A93">
        <w:trPr>
          <w:trHeight w:val="20"/>
        </w:trPr>
        <w:tc>
          <w:tcPr>
            <w:tcW w:w="779" w:type="pct"/>
            <w:vAlign w:val="center"/>
          </w:tcPr>
          <w:p w14:paraId="4F511EE1" w14:textId="77777777" w:rsidR="00F91460" w:rsidRPr="0058236D" w:rsidRDefault="00F91460" w:rsidP="007214C8">
            <w:pPr>
              <w:rPr>
                <w:rFonts w:ascii="Times New Roman" w:hAnsi="Times New Roman" w:cs="Times New Roman"/>
                <w:sz w:val="24"/>
                <w:szCs w:val="24"/>
                <w:vertAlign w:val="superscript"/>
              </w:rPr>
            </w:pPr>
            <w:r w:rsidRPr="0058236D">
              <w:rPr>
                <w:rFonts w:ascii="Times New Roman" w:hAnsi="Times New Roman" w:cs="Times New Roman"/>
                <w:sz w:val="24"/>
                <w:szCs w:val="24"/>
              </w:rPr>
              <w:t>Folate</w:t>
            </w:r>
            <w:r>
              <w:rPr>
                <w:rFonts w:ascii="Times New Roman" w:hAnsi="Times New Roman" w:cs="Times New Roman"/>
                <w:sz w:val="24"/>
                <w:szCs w:val="24"/>
                <w:vertAlign w:val="superscript"/>
              </w:rPr>
              <w:t>2</w:t>
            </w:r>
          </w:p>
        </w:tc>
        <w:tc>
          <w:tcPr>
            <w:tcW w:w="947" w:type="pct"/>
            <w:noWrap/>
            <w:vAlign w:val="center"/>
            <w:hideMark/>
          </w:tcPr>
          <w:p w14:paraId="761A7AB9"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R</w:t>
            </w:r>
            <w:r>
              <w:rPr>
                <w:rFonts w:ascii="Times New Roman" w:hAnsi="Times New Roman" w:cs="Times New Roman"/>
                <w:sz w:val="24"/>
                <w:szCs w:val="24"/>
              </w:rPr>
              <w:t>ed blood cell</w:t>
            </w:r>
            <w:r w:rsidRPr="0058236D">
              <w:rPr>
                <w:rFonts w:ascii="Times New Roman" w:hAnsi="Times New Roman" w:cs="Times New Roman"/>
                <w:sz w:val="24"/>
                <w:szCs w:val="24"/>
              </w:rPr>
              <w:t xml:space="preserve"> folate</w:t>
            </w:r>
          </w:p>
        </w:tc>
        <w:tc>
          <w:tcPr>
            <w:tcW w:w="767" w:type="pct"/>
            <w:noWrap/>
            <w:vAlign w:val="center"/>
            <w:hideMark/>
          </w:tcPr>
          <w:p w14:paraId="70E2F501"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&lt;340 nmol/L</w:t>
            </w:r>
          </w:p>
        </w:tc>
        <w:tc>
          <w:tcPr>
            <w:tcW w:w="1252" w:type="pct"/>
            <w:noWrap/>
            <w:vAlign w:val="center"/>
            <w:hideMark/>
          </w:tcPr>
          <w:p w14:paraId="4DDE137C"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All</w:t>
            </w:r>
          </w:p>
        </w:tc>
        <w:tc>
          <w:tcPr>
            <w:tcW w:w="1254" w:type="pct"/>
            <w:noWrap/>
            <w:vAlign w:val="center"/>
            <w:hideMark/>
          </w:tcPr>
          <w:p w14:paraId="5B9E5A15"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No</w:t>
            </w:r>
          </w:p>
        </w:tc>
      </w:tr>
      <w:tr w:rsidR="00F91460" w:rsidRPr="0058236D" w14:paraId="60A2839C" w14:textId="77777777" w:rsidTr="00C47A93">
        <w:trPr>
          <w:trHeight w:val="20"/>
        </w:trPr>
        <w:tc>
          <w:tcPr>
            <w:tcW w:w="779" w:type="pct"/>
            <w:vAlign w:val="center"/>
          </w:tcPr>
          <w:p w14:paraId="4D52BCFB" w14:textId="77777777" w:rsidR="00F91460" w:rsidRPr="0058236D" w:rsidRDefault="00F91460" w:rsidP="007214C8">
            <w:pPr>
              <w:rPr>
                <w:rFonts w:ascii="Times New Roman" w:hAnsi="Times New Roman" w:cs="Times New Roman"/>
                <w:sz w:val="24"/>
                <w:szCs w:val="24"/>
                <w:vertAlign w:val="superscript"/>
              </w:rPr>
            </w:pPr>
            <w:r w:rsidRPr="0058236D">
              <w:rPr>
                <w:rFonts w:ascii="Times New Roman" w:hAnsi="Times New Roman" w:cs="Times New Roman"/>
                <w:sz w:val="24"/>
                <w:szCs w:val="24"/>
              </w:rPr>
              <w:t>Folate</w:t>
            </w:r>
            <w:r>
              <w:rPr>
                <w:rFonts w:ascii="Times New Roman" w:hAnsi="Times New Roman" w:cs="Times New Roman"/>
                <w:sz w:val="24"/>
                <w:szCs w:val="24"/>
                <w:vertAlign w:val="superscript"/>
              </w:rPr>
              <w:t>2</w:t>
            </w:r>
          </w:p>
        </w:tc>
        <w:tc>
          <w:tcPr>
            <w:tcW w:w="947" w:type="pct"/>
            <w:noWrap/>
            <w:vAlign w:val="center"/>
            <w:hideMark/>
          </w:tcPr>
          <w:p w14:paraId="7A28CC63"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folate</w:t>
            </w:r>
          </w:p>
        </w:tc>
        <w:tc>
          <w:tcPr>
            <w:tcW w:w="767" w:type="pct"/>
            <w:noWrap/>
            <w:vAlign w:val="center"/>
            <w:hideMark/>
          </w:tcPr>
          <w:p w14:paraId="0A35DEB0"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&lt;10 nmol/L</w:t>
            </w:r>
          </w:p>
        </w:tc>
        <w:tc>
          <w:tcPr>
            <w:tcW w:w="1252" w:type="pct"/>
            <w:noWrap/>
            <w:vAlign w:val="center"/>
            <w:hideMark/>
          </w:tcPr>
          <w:p w14:paraId="4FACCEFE"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All</w:t>
            </w:r>
          </w:p>
        </w:tc>
        <w:tc>
          <w:tcPr>
            <w:tcW w:w="1254" w:type="pct"/>
            <w:noWrap/>
            <w:vAlign w:val="center"/>
            <w:hideMark/>
          </w:tcPr>
          <w:p w14:paraId="338DC3EF"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No</w:t>
            </w:r>
          </w:p>
        </w:tc>
      </w:tr>
      <w:tr w:rsidR="00F91460" w:rsidRPr="0058236D" w14:paraId="570629A5" w14:textId="77777777" w:rsidTr="00C47A93">
        <w:trPr>
          <w:trHeight w:val="20"/>
        </w:trPr>
        <w:tc>
          <w:tcPr>
            <w:tcW w:w="779" w:type="pct"/>
            <w:vAlign w:val="center"/>
          </w:tcPr>
          <w:p w14:paraId="559FE511" w14:textId="77777777" w:rsidR="00F91460" w:rsidRPr="0058236D" w:rsidRDefault="00F91460" w:rsidP="007214C8">
            <w:pPr>
              <w:rPr>
                <w:rFonts w:ascii="Times New Roman" w:hAnsi="Times New Roman" w:cs="Times New Roman"/>
                <w:sz w:val="24"/>
                <w:szCs w:val="24"/>
                <w:vertAlign w:val="superscript"/>
              </w:rPr>
            </w:pPr>
            <w:r w:rsidRPr="0058236D">
              <w:rPr>
                <w:rFonts w:ascii="Times New Roman" w:hAnsi="Times New Roman" w:cs="Times New Roman"/>
                <w:sz w:val="24"/>
                <w:szCs w:val="24"/>
              </w:rPr>
              <w:t>Vitamin A</w:t>
            </w:r>
            <w:r>
              <w:rPr>
                <w:rFonts w:ascii="Times New Roman" w:hAnsi="Times New Roman" w:cs="Times New Roman"/>
                <w:sz w:val="24"/>
                <w:szCs w:val="24"/>
                <w:vertAlign w:val="superscript"/>
              </w:rPr>
              <w:t>3</w:t>
            </w:r>
          </w:p>
        </w:tc>
        <w:tc>
          <w:tcPr>
            <w:tcW w:w="947" w:type="pct"/>
            <w:noWrap/>
            <w:vAlign w:val="center"/>
            <w:hideMark/>
          </w:tcPr>
          <w:p w14:paraId="72239E81"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retinol</w:t>
            </w:r>
          </w:p>
        </w:tc>
        <w:tc>
          <w:tcPr>
            <w:tcW w:w="767" w:type="pct"/>
            <w:noWrap/>
            <w:vAlign w:val="center"/>
            <w:hideMark/>
          </w:tcPr>
          <w:p w14:paraId="5B84B931"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&lt;0.7 </w:t>
            </w:r>
            <w:proofErr w:type="spellStart"/>
            <w:r w:rsidRPr="0058236D">
              <w:rPr>
                <w:rFonts w:ascii="Times New Roman" w:hAnsi="Times New Roman" w:cs="Times New Roman"/>
                <w:sz w:val="24"/>
                <w:szCs w:val="24"/>
              </w:rPr>
              <w:t>μmol</w:t>
            </w:r>
            <w:proofErr w:type="spellEnd"/>
            <w:r w:rsidRPr="0058236D">
              <w:rPr>
                <w:rFonts w:ascii="Times New Roman" w:hAnsi="Times New Roman" w:cs="Times New Roman"/>
                <w:sz w:val="24"/>
                <w:szCs w:val="24"/>
              </w:rPr>
              <w:t>/L</w:t>
            </w:r>
          </w:p>
        </w:tc>
        <w:tc>
          <w:tcPr>
            <w:tcW w:w="1252" w:type="pct"/>
            <w:noWrap/>
            <w:vAlign w:val="center"/>
            <w:hideMark/>
          </w:tcPr>
          <w:p w14:paraId="0DC1703C"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All</w:t>
            </w:r>
          </w:p>
        </w:tc>
        <w:tc>
          <w:tcPr>
            <w:tcW w:w="1254" w:type="pct"/>
            <w:noWrap/>
            <w:vAlign w:val="center"/>
            <w:hideMark/>
          </w:tcPr>
          <w:p w14:paraId="50FB62B2"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Preschool</w:t>
            </w:r>
            <w:r>
              <w:rPr>
                <w:rFonts w:ascii="Times New Roman" w:hAnsi="Times New Roman" w:cs="Times New Roman"/>
                <w:sz w:val="24"/>
                <w:szCs w:val="24"/>
              </w:rPr>
              <w:t>-age</w:t>
            </w:r>
            <w:r w:rsidRPr="0058236D">
              <w:rPr>
                <w:rFonts w:ascii="Times New Roman" w:hAnsi="Times New Roman" w:cs="Times New Roman"/>
                <w:sz w:val="24"/>
                <w:szCs w:val="24"/>
              </w:rPr>
              <w:t xml:space="preserve"> children only</w:t>
            </w:r>
          </w:p>
        </w:tc>
      </w:tr>
      <w:tr w:rsidR="00F91460" w:rsidRPr="0058236D" w14:paraId="4EE20C0A" w14:textId="77777777" w:rsidTr="00C47A93">
        <w:trPr>
          <w:trHeight w:val="20"/>
        </w:trPr>
        <w:tc>
          <w:tcPr>
            <w:tcW w:w="779" w:type="pct"/>
            <w:vAlign w:val="center"/>
          </w:tcPr>
          <w:p w14:paraId="227876C2" w14:textId="77777777" w:rsidR="00F91460" w:rsidRPr="0058236D" w:rsidRDefault="00F91460" w:rsidP="007214C8">
            <w:pPr>
              <w:rPr>
                <w:rFonts w:ascii="Times New Roman" w:hAnsi="Times New Roman" w:cs="Times New Roman"/>
                <w:sz w:val="24"/>
                <w:szCs w:val="24"/>
                <w:vertAlign w:val="superscript"/>
              </w:rPr>
            </w:pPr>
            <w:r w:rsidRPr="0058236D">
              <w:rPr>
                <w:rFonts w:ascii="Times New Roman" w:hAnsi="Times New Roman" w:cs="Times New Roman"/>
                <w:sz w:val="24"/>
                <w:szCs w:val="24"/>
              </w:rPr>
              <w:t>Vitamin A</w:t>
            </w:r>
            <w:r>
              <w:rPr>
                <w:rFonts w:ascii="Times New Roman" w:hAnsi="Times New Roman" w:cs="Times New Roman"/>
                <w:sz w:val="24"/>
                <w:szCs w:val="24"/>
                <w:vertAlign w:val="superscript"/>
              </w:rPr>
              <w:t>3</w:t>
            </w:r>
          </w:p>
        </w:tc>
        <w:tc>
          <w:tcPr>
            <w:tcW w:w="947" w:type="pct"/>
            <w:noWrap/>
            <w:vAlign w:val="center"/>
            <w:hideMark/>
          </w:tcPr>
          <w:p w14:paraId="0270C5D3"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Retinol-binding </w:t>
            </w:r>
          </w:p>
          <w:p w14:paraId="3B61DEDC"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protein</w:t>
            </w:r>
          </w:p>
        </w:tc>
        <w:tc>
          <w:tcPr>
            <w:tcW w:w="767" w:type="pct"/>
            <w:noWrap/>
            <w:vAlign w:val="center"/>
            <w:hideMark/>
          </w:tcPr>
          <w:p w14:paraId="34AF6209"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&lt;0.7 </w:t>
            </w:r>
            <w:proofErr w:type="spellStart"/>
            <w:r w:rsidRPr="0058236D">
              <w:rPr>
                <w:rFonts w:ascii="Times New Roman" w:hAnsi="Times New Roman" w:cs="Times New Roman"/>
                <w:sz w:val="24"/>
                <w:szCs w:val="24"/>
              </w:rPr>
              <w:t>μmol</w:t>
            </w:r>
            <w:proofErr w:type="spellEnd"/>
            <w:r w:rsidRPr="0058236D">
              <w:rPr>
                <w:rFonts w:ascii="Times New Roman" w:hAnsi="Times New Roman" w:cs="Times New Roman"/>
                <w:sz w:val="24"/>
                <w:szCs w:val="24"/>
              </w:rPr>
              <w:t>/L</w:t>
            </w:r>
          </w:p>
        </w:tc>
        <w:tc>
          <w:tcPr>
            <w:tcW w:w="1252" w:type="pct"/>
            <w:noWrap/>
            <w:vAlign w:val="center"/>
            <w:hideMark/>
          </w:tcPr>
          <w:p w14:paraId="4750C205"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All</w:t>
            </w:r>
          </w:p>
        </w:tc>
        <w:tc>
          <w:tcPr>
            <w:tcW w:w="1254" w:type="pct"/>
            <w:noWrap/>
            <w:vAlign w:val="center"/>
            <w:hideMark/>
          </w:tcPr>
          <w:p w14:paraId="00300FFD"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Preschool</w:t>
            </w:r>
            <w:r>
              <w:rPr>
                <w:rFonts w:ascii="Times New Roman" w:hAnsi="Times New Roman" w:cs="Times New Roman"/>
                <w:sz w:val="24"/>
                <w:szCs w:val="24"/>
              </w:rPr>
              <w:t>-age</w:t>
            </w:r>
            <w:r w:rsidRPr="0058236D">
              <w:rPr>
                <w:rFonts w:ascii="Times New Roman" w:hAnsi="Times New Roman" w:cs="Times New Roman"/>
                <w:sz w:val="24"/>
                <w:szCs w:val="24"/>
              </w:rPr>
              <w:t xml:space="preserve"> children only</w:t>
            </w:r>
          </w:p>
        </w:tc>
      </w:tr>
      <w:tr w:rsidR="00F91460" w:rsidRPr="0058236D" w14:paraId="41F9A811" w14:textId="77777777" w:rsidTr="00C47A93">
        <w:trPr>
          <w:trHeight w:val="20"/>
        </w:trPr>
        <w:tc>
          <w:tcPr>
            <w:tcW w:w="779" w:type="pct"/>
            <w:vAlign w:val="center"/>
          </w:tcPr>
          <w:p w14:paraId="50F4BF23"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Zinc</w:t>
            </w:r>
            <w:r>
              <w:rPr>
                <w:rFonts w:ascii="Times New Roman" w:hAnsi="Times New Roman" w:cs="Times New Roman"/>
                <w:sz w:val="24"/>
                <w:szCs w:val="24"/>
                <w:vertAlign w:val="superscript"/>
              </w:rPr>
              <w:t>4</w:t>
            </w:r>
          </w:p>
        </w:tc>
        <w:tc>
          <w:tcPr>
            <w:tcW w:w="947" w:type="pct"/>
            <w:noWrap/>
            <w:vAlign w:val="center"/>
            <w:hideMark/>
          </w:tcPr>
          <w:p w14:paraId="58559255"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zinc</w:t>
            </w:r>
          </w:p>
        </w:tc>
        <w:tc>
          <w:tcPr>
            <w:tcW w:w="767" w:type="pct"/>
            <w:noWrap/>
            <w:vAlign w:val="center"/>
            <w:hideMark/>
          </w:tcPr>
          <w:p w14:paraId="65DBA0F1"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&lt;9.9 </w:t>
            </w:r>
            <w:proofErr w:type="spellStart"/>
            <w:r w:rsidRPr="0058236D">
              <w:rPr>
                <w:rFonts w:ascii="Times New Roman" w:hAnsi="Times New Roman" w:cs="Times New Roman"/>
                <w:sz w:val="24"/>
                <w:szCs w:val="24"/>
              </w:rPr>
              <w:t>μmol</w:t>
            </w:r>
            <w:proofErr w:type="spellEnd"/>
            <w:r w:rsidRPr="0058236D">
              <w:rPr>
                <w:rFonts w:ascii="Times New Roman" w:hAnsi="Times New Roman" w:cs="Times New Roman"/>
                <w:sz w:val="24"/>
                <w:szCs w:val="24"/>
              </w:rPr>
              <w:t>/L</w:t>
            </w:r>
          </w:p>
        </w:tc>
        <w:tc>
          <w:tcPr>
            <w:tcW w:w="1252" w:type="pct"/>
            <w:noWrap/>
            <w:vAlign w:val="center"/>
            <w:hideMark/>
          </w:tcPr>
          <w:p w14:paraId="35BA2421"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Children &lt;10 years </w:t>
            </w:r>
          </w:p>
          <w:p w14:paraId="4108D304"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(morning, non-fasting)</w:t>
            </w:r>
          </w:p>
        </w:tc>
        <w:tc>
          <w:tcPr>
            <w:tcW w:w="1254" w:type="pct"/>
            <w:noWrap/>
            <w:vAlign w:val="center"/>
            <w:hideMark/>
          </w:tcPr>
          <w:p w14:paraId="0A940FCE"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Yes, provided </w:t>
            </w:r>
          </w:p>
          <w:p w14:paraId="6D2F1305"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conditions are met</w:t>
            </w:r>
          </w:p>
        </w:tc>
      </w:tr>
      <w:tr w:rsidR="00F91460" w:rsidRPr="0058236D" w14:paraId="5CDA44A9" w14:textId="77777777" w:rsidTr="00C47A93">
        <w:trPr>
          <w:trHeight w:val="20"/>
        </w:trPr>
        <w:tc>
          <w:tcPr>
            <w:tcW w:w="779" w:type="pct"/>
            <w:vAlign w:val="center"/>
          </w:tcPr>
          <w:p w14:paraId="21B17AC1"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Zinc</w:t>
            </w:r>
            <w:r>
              <w:rPr>
                <w:rFonts w:ascii="Times New Roman" w:hAnsi="Times New Roman" w:cs="Times New Roman"/>
                <w:sz w:val="24"/>
                <w:szCs w:val="24"/>
                <w:vertAlign w:val="superscript"/>
              </w:rPr>
              <w:t>4</w:t>
            </w:r>
          </w:p>
        </w:tc>
        <w:tc>
          <w:tcPr>
            <w:tcW w:w="947" w:type="pct"/>
            <w:noWrap/>
            <w:vAlign w:val="center"/>
            <w:hideMark/>
          </w:tcPr>
          <w:p w14:paraId="30BF0B24"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zinc</w:t>
            </w:r>
          </w:p>
        </w:tc>
        <w:tc>
          <w:tcPr>
            <w:tcW w:w="767" w:type="pct"/>
            <w:noWrap/>
            <w:vAlign w:val="center"/>
            <w:hideMark/>
          </w:tcPr>
          <w:p w14:paraId="2C1B336E"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&lt;8.7 </w:t>
            </w:r>
            <w:proofErr w:type="spellStart"/>
            <w:r w:rsidRPr="0058236D">
              <w:rPr>
                <w:rFonts w:ascii="Times New Roman" w:hAnsi="Times New Roman" w:cs="Times New Roman"/>
                <w:sz w:val="24"/>
                <w:szCs w:val="24"/>
              </w:rPr>
              <w:t>μmol</w:t>
            </w:r>
            <w:proofErr w:type="spellEnd"/>
            <w:r w:rsidRPr="0058236D">
              <w:rPr>
                <w:rFonts w:ascii="Times New Roman" w:hAnsi="Times New Roman" w:cs="Times New Roman"/>
                <w:sz w:val="24"/>
                <w:szCs w:val="24"/>
              </w:rPr>
              <w:t>/L</w:t>
            </w:r>
          </w:p>
        </w:tc>
        <w:tc>
          <w:tcPr>
            <w:tcW w:w="1252" w:type="pct"/>
            <w:noWrap/>
            <w:vAlign w:val="center"/>
            <w:hideMark/>
          </w:tcPr>
          <w:p w14:paraId="2A90C426"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Children &lt;10 years </w:t>
            </w:r>
          </w:p>
          <w:p w14:paraId="0EC1C0B2"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(afternoon, non-fasting)</w:t>
            </w:r>
          </w:p>
        </w:tc>
        <w:tc>
          <w:tcPr>
            <w:tcW w:w="1254" w:type="pct"/>
            <w:noWrap/>
            <w:vAlign w:val="center"/>
            <w:hideMark/>
          </w:tcPr>
          <w:p w14:paraId="3A0A2CCE"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Yes, provided</w:t>
            </w:r>
          </w:p>
          <w:p w14:paraId="3365A0E5"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conditions are met</w:t>
            </w:r>
          </w:p>
        </w:tc>
      </w:tr>
      <w:tr w:rsidR="00F91460" w:rsidRPr="0058236D" w14:paraId="3817B2CD" w14:textId="77777777" w:rsidTr="00C47A93">
        <w:trPr>
          <w:trHeight w:val="20"/>
        </w:trPr>
        <w:tc>
          <w:tcPr>
            <w:tcW w:w="779" w:type="pct"/>
            <w:vAlign w:val="center"/>
          </w:tcPr>
          <w:p w14:paraId="3C88EE92"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Zinc</w:t>
            </w:r>
            <w:r>
              <w:rPr>
                <w:rFonts w:ascii="Times New Roman" w:hAnsi="Times New Roman" w:cs="Times New Roman"/>
                <w:sz w:val="24"/>
                <w:szCs w:val="24"/>
                <w:vertAlign w:val="superscript"/>
              </w:rPr>
              <w:t>4</w:t>
            </w:r>
          </w:p>
        </w:tc>
        <w:tc>
          <w:tcPr>
            <w:tcW w:w="947" w:type="pct"/>
            <w:noWrap/>
            <w:vAlign w:val="center"/>
            <w:hideMark/>
          </w:tcPr>
          <w:p w14:paraId="6C353572"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zinc</w:t>
            </w:r>
          </w:p>
        </w:tc>
        <w:tc>
          <w:tcPr>
            <w:tcW w:w="767" w:type="pct"/>
            <w:noWrap/>
            <w:vAlign w:val="center"/>
            <w:hideMark/>
          </w:tcPr>
          <w:p w14:paraId="50505185"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&lt;10.7 </w:t>
            </w:r>
            <w:proofErr w:type="spellStart"/>
            <w:r w:rsidRPr="0058236D">
              <w:rPr>
                <w:rFonts w:ascii="Times New Roman" w:hAnsi="Times New Roman" w:cs="Times New Roman"/>
                <w:sz w:val="24"/>
                <w:szCs w:val="24"/>
              </w:rPr>
              <w:t>μmol</w:t>
            </w:r>
            <w:proofErr w:type="spellEnd"/>
            <w:r w:rsidRPr="0058236D">
              <w:rPr>
                <w:rFonts w:ascii="Times New Roman" w:hAnsi="Times New Roman" w:cs="Times New Roman"/>
                <w:sz w:val="24"/>
                <w:szCs w:val="24"/>
              </w:rPr>
              <w:t>/L</w:t>
            </w:r>
          </w:p>
        </w:tc>
        <w:tc>
          <w:tcPr>
            <w:tcW w:w="1252" w:type="pct"/>
            <w:noWrap/>
            <w:vAlign w:val="center"/>
            <w:hideMark/>
          </w:tcPr>
          <w:p w14:paraId="345445F1"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Females ≥10 years </w:t>
            </w:r>
          </w:p>
          <w:p w14:paraId="200BF43D"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(morning, fasting)</w:t>
            </w:r>
          </w:p>
        </w:tc>
        <w:tc>
          <w:tcPr>
            <w:tcW w:w="1254" w:type="pct"/>
            <w:noWrap/>
            <w:vAlign w:val="center"/>
            <w:hideMark/>
          </w:tcPr>
          <w:p w14:paraId="05A578CB"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No</w:t>
            </w:r>
          </w:p>
        </w:tc>
      </w:tr>
      <w:tr w:rsidR="00F91460" w:rsidRPr="0058236D" w14:paraId="2F8C188D" w14:textId="77777777" w:rsidTr="00C47A93">
        <w:trPr>
          <w:trHeight w:val="20"/>
        </w:trPr>
        <w:tc>
          <w:tcPr>
            <w:tcW w:w="779" w:type="pct"/>
            <w:vAlign w:val="center"/>
          </w:tcPr>
          <w:p w14:paraId="00333F03"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Zinc</w:t>
            </w:r>
            <w:r>
              <w:rPr>
                <w:rFonts w:ascii="Times New Roman" w:hAnsi="Times New Roman" w:cs="Times New Roman"/>
                <w:sz w:val="24"/>
                <w:szCs w:val="24"/>
                <w:vertAlign w:val="superscript"/>
              </w:rPr>
              <w:t>4</w:t>
            </w:r>
          </w:p>
        </w:tc>
        <w:tc>
          <w:tcPr>
            <w:tcW w:w="947" w:type="pct"/>
            <w:noWrap/>
            <w:vAlign w:val="center"/>
            <w:hideMark/>
          </w:tcPr>
          <w:p w14:paraId="49051614"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zinc</w:t>
            </w:r>
          </w:p>
        </w:tc>
        <w:tc>
          <w:tcPr>
            <w:tcW w:w="767" w:type="pct"/>
            <w:noWrap/>
            <w:vAlign w:val="center"/>
            <w:hideMark/>
          </w:tcPr>
          <w:p w14:paraId="632CDBC0"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&lt;10.1 </w:t>
            </w:r>
            <w:proofErr w:type="spellStart"/>
            <w:r w:rsidRPr="0058236D">
              <w:rPr>
                <w:rFonts w:ascii="Times New Roman" w:hAnsi="Times New Roman" w:cs="Times New Roman"/>
                <w:sz w:val="24"/>
                <w:szCs w:val="24"/>
              </w:rPr>
              <w:t>μmol</w:t>
            </w:r>
            <w:proofErr w:type="spellEnd"/>
            <w:r w:rsidRPr="0058236D">
              <w:rPr>
                <w:rFonts w:ascii="Times New Roman" w:hAnsi="Times New Roman" w:cs="Times New Roman"/>
                <w:sz w:val="24"/>
                <w:szCs w:val="24"/>
              </w:rPr>
              <w:t>/L</w:t>
            </w:r>
          </w:p>
        </w:tc>
        <w:tc>
          <w:tcPr>
            <w:tcW w:w="1252" w:type="pct"/>
            <w:noWrap/>
            <w:vAlign w:val="center"/>
            <w:hideMark/>
          </w:tcPr>
          <w:p w14:paraId="4AF73ED9"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Females ≥10 years</w:t>
            </w:r>
          </w:p>
          <w:p w14:paraId="0A32EC78"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 (morning, non-fasting)</w:t>
            </w:r>
          </w:p>
        </w:tc>
        <w:tc>
          <w:tcPr>
            <w:tcW w:w="1254" w:type="pct"/>
            <w:noWrap/>
            <w:vAlign w:val="center"/>
            <w:hideMark/>
          </w:tcPr>
          <w:p w14:paraId="5EA65EB4"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No</w:t>
            </w:r>
          </w:p>
        </w:tc>
      </w:tr>
      <w:tr w:rsidR="00F91460" w:rsidRPr="0058236D" w14:paraId="126D2E1B" w14:textId="77777777" w:rsidTr="00C47A93">
        <w:trPr>
          <w:trHeight w:val="20"/>
        </w:trPr>
        <w:tc>
          <w:tcPr>
            <w:tcW w:w="779" w:type="pct"/>
            <w:vAlign w:val="center"/>
          </w:tcPr>
          <w:p w14:paraId="2C96A80C"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Zinc</w:t>
            </w:r>
            <w:r>
              <w:rPr>
                <w:rFonts w:ascii="Times New Roman" w:hAnsi="Times New Roman" w:cs="Times New Roman"/>
                <w:sz w:val="24"/>
                <w:szCs w:val="24"/>
                <w:vertAlign w:val="superscript"/>
              </w:rPr>
              <w:t>4</w:t>
            </w:r>
          </w:p>
        </w:tc>
        <w:tc>
          <w:tcPr>
            <w:tcW w:w="947" w:type="pct"/>
            <w:noWrap/>
            <w:vAlign w:val="center"/>
            <w:hideMark/>
          </w:tcPr>
          <w:p w14:paraId="2AB9B17F"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zinc</w:t>
            </w:r>
          </w:p>
        </w:tc>
        <w:tc>
          <w:tcPr>
            <w:tcW w:w="767" w:type="pct"/>
            <w:noWrap/>
            <w:vAlign w:val="center"/>
            <w:hideMark/>
          </w:tcPr>
          <w:p w14:paraId="30DB2683"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&lt;9.0 </w:t>
            </w:r>
            <w:proofErr w:type="spellStart"/>
            <w:r w:rsidRPr="0058236D">
              <w:rPr>
                <w:rFonts w:ascii="Times New Roman" w:hAnsi="Times New Roman" w:cs="Times New Roman"/>
                <w:sz w:val="24"/>
                <w:szCs w:val="24"/>
              </w:rPr>
              <w:t>μmol</w:t>
            </w:r>
            <w:proofErr w:type="spellEnd"/>
            <w:r w:rsidRPr="0058236D">
              <w:rPr>
                <w:rFonts w:ascii="Times New Roman" w:hAnsi="Times New Roman" w:cs="Times New Roman"/>
                <w:sz w:val="24"/>
                <w:szCs w:val="24"/>
              </w:rPr>
              <w:t>/L</w:t>
            </w:r>
          </w:p>
        </w:tc>
        <w:tc>
          <w:tcPr>
            <w:tcW w:w="1252" w:type="pct"/>
            <w:noWrap/>
            <w:vAlign w:val="center"/>
            <w:hideMark/>
          </w:tcPr>
          <w:p w14:paraId="62612D1B"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 xml:space="preserve">Females ≥10 years </w:t>
            </w:r>
          </w:p>
          <w:p w14:paraId="450C4385"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(afternoon, non-fasting)</w:t>
            </w:r>
          </w:p>
        </w:tc>
        <w:tc>
          <w:tcPr>
            <w:tcW w:w="1254" w:type="pct"/>
            <w:noWrap/>
            <w:vAlign w:val="center"/>
            <w:hideMark/>
          </w:tcPr>
          <w:p w14:paraId="02870F93"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No</w:t>
            </w:r>
          </w:p>
        </w:tc>
      </w:tr>
      <w:tr w:rsidR="00F91460" w:rsidRPr="0058236D" w14:paraId="1BDE233D" w14:textId="77777777" w:rsidTr="00C47A93">
        <w:trPr>
          <w:trHeight w:val="20"/>
        </w:trPr>
        <w:tc>
          <w:tcPr>
            <w:tcW w:w="779" w:type="pct"/>
            <w:vAlign w:val="center"/>
          </w:tcPr>
          <w:p w14:paraId="018E8207"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Iron</w:t>
            </w:r>
          </w:p>
        </w:tc>
        <w:tc>
          <w:tcPr>
            <w:tcW w:w="947" w:type="pct"/>
            <w:noWrap/>
            <w:vAlign w:val="center"/>
            <w:hideMark/>
          </w:tcPr>
          <w:p w14:paraId="531F0435"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ferritin</w:t>
            </w:r>
          </w:p>
        </w:tc>
        <w:tc>
          <w:tcPr>
            <w:tcW w:w="767" w:type="pct"/>
            <w:noWrap/>
            <w:vAlign w:val="center"/>
            <w:hideMark/>
          </w:tcPr>
          <w:p w14:paraId="67F151E6"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&lt;12 µg/</w:t>
            </w:r>
            <w:r>
              <w:rPr>
                <w:rFonts w:ascii="Times New Roman" w:hAnsi="Times New Roman" w:cs="Times New Roman"/>
                <w:sz w:val="24"/>
                <w:szCs w:val="24"/>
              </w:rPr>
              <w:t>L</w:t>
            </w:r>
          </w:p>
        </w:tc>
        <w:tc>
          <w:tcPr>
            <w:tcW w:w="1252" w:type="pct"/>
            <w:noWrap/>
            <w:vAlign w:val="center"/>
            <w:hideMark/>
          </w:tcPr>
          <w:p w14:paraId="2FDFD865"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Children &lt;5 years</w:t>
            </w:r>
          </w:p>
        </w:tc>
        <w:tc>
          <w:tcPr>
            <w:tcW w:w="1254" w:type="pct"/>
            <w:noWrap/>
            <w:vAlign w:val="center"/>
            <w:hideMark/>
          </w:tcPr>
          <w:p w14:paraId="397D6D7D"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Yes</w:t>
            </w:r>
          </w:p>
        </w:tc>
      </w:tr>
      <w:tr w:rsidR="00F91460" w:rsidRPr="0058236D" w14:paraId="446F35CA" w14:textId="77777777" w:rsidTr="00C47A93">
        <w:trPr>
          <w:trHeight w:val="20"/>
        </w:trPr>
        <w:tc>
          <w:tcPr>
            <w:tcW w:w="779" w:type="pct"/>
            <w:vAlign w:val="center"/>
          </w:tcPr>
          <w:p w14:paraId="33FA91EF"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Iron</w:t>
            </w:r>
          </w:p>
        </w:tc>
        <w:tc>
          <w:tcPr>
            <w:tcW w:w="947" w:type="pct"/>
            <w:noWrap/>
            <w:vAlign w:val="center"/>
            <w:hideMark/>
          </w:tcPr>
          <w:p w14:paraId="2EBD4F33"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ferritin</w:t>
            </w:r>
          </w:p>
        </w:tc>
        <w:tc>
          <w:tcPr>
            <w:tcW w:w="767" w:type="pct"/>
            <w:noWrap/>
            <w:vAlign w:val="center"/>
            <w:hideMark/>
          </w:tcPr>
          <w:p w14:paraId="2F94150B"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&lt;15 µg/</w:t>
            </w:r>
            <w:r>
              <w:rPr>
                <w:rFonts w:ascii="Times New Roman" w:hAnsi="Times New Roman" w:cs="Times New Roman"/>
                <w:sz w:val="24"/>
                <w:szCs w:val="24"/>
              </w:rPr>
              <w:t>L</w:t>
            </w:r>
          </w:p>
        </w:tc>
        <w:tc>
          <w:tcPr>
            <w:tcW w:w="1252" w:type="pct"/>
            <w:noWrap/>
            <w:vAlign w:val="center"/>
            <w:hideMark/>
          </w:tcPr>
          <w:p w14:paraId="5EF825B4"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Individuals ≥5 years</w:t>
            </w:r>
          </w:p>
        </w:tc>
        <w:tc>
          <w:tcPr>
            <w:tcW w:w="1254" w:type="pct"/>
            <w:noWrap/>
            <w:vAlign w:val="center"/>
            <w:hideMark/>
          </w:tcPr>
          <w:p w14:paraId="70CB5B01"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Yes</w:t>
            </w:r>
          </w:p>
        </w:tc>
      </w:tr>
      <w:tr w:rsidR="00F91460" w:rsidRPr="0058236D" w14:paraId="2EB466FD" w14:textId="77777777" w:rsidTr="00C47A93">
        <w:trPr>
          <w:trHeight w:val="20"/>
        </w:trPr>
        <w:tc>
          <w:tcPr>
            <w:tcW w:w="779" w:type="pct"/>
            <w:vAlign w:val="center"/>
          </w:tcPr>
          <w:p w14:paraId="796F6D1B"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Vitamin D</w:t>
            </w:r>
          </w:p>
        </w:tc>
        <w:tc>
          <w:tcPr>
            <w:tcW w:w="947" w:type="pct"/>
            <w:noWrap/>
            <w:vAlign w:val="center"/>
          </w:tcPr>
          <w:p w14:paraId="42B9A623"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Serum 25-</w:t>
            </w:r>
          </w:p>
          <w:p w14:paraId="672753F8"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hydroxyvitamin D</w:t>
            </w:r>
          </w:p>
        </w:tc>
        <w:tc>
          <w:tcPr>
            <w:tcW w:w="767" w:type="pct"/>
            <w:noWrap/>
            <w:vAlign w:val="center"/>
          </w:tcPr>
          <w:p w14:paraId="6ACD4754"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&lt;25 nmol/L</w:t>
            </w:r>
          </w:p>
        </w:tc>
        <w:tc>
          <w:tcPr>
            <w:tcW w:w="1252" w:type="pct"/>
            <w:noWrap/>
            <w:vAlign w:val="center"/>
          </w:tcPr>
          <w:p w14:paraId="6036537B"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All</w:t>
            </w:r>
          </w:p>
        </w:tc>
        <w:tc>
          <w:tcPr>
            <w:tcW w:w="1254" w:type="pct"/>
            <w:noWrap/>
            <w:vAlign w:val="center"/>
          </w:tcPr>
          <w:p w14:paraId="1F2D7A2A" w14:textId="77777777" w:rsidR="00F91460" w:rsidRPr="0058236D" w:rsidRDefault="00F91460" w:rsidP="007214C8">
            <w:pPr>
              <w:rPr>
                <w:rFonts w:ascii="Times New Roman" w:hAnsi="Times New Roman" w:cs="Times New Roman"/>
                <w:sz w:val="24"/>
                <w:szCs w:val="24"/>
              </w:rPr>
            </w:pPr>
            <w:r w:rsidRPr="0058236D">
              <w:rPr>
                <w:rFonts w:ascii="Times New Roman" w:hAnsi="Times New Roman" w:cs="Times New Roman"/>
                <w:sz w:val="24"/>
                <w:szCs w:val="24"/>
              </w:rPr>
              <w:t>No</w:t>
            </w:r>
          </w:p>
        </w:tc>
      </w:tr>
    </w:tbl>
    <w:p w14:paraId="59DFC78F" w14:textId="77777777" w:rsidR="00F91460" w:rsidRDefault="00F91460" w:rsidP="00F91460">
      <w:pPr>
        <w:rPr>
          <w:rFonts w:ascii="Times New Roman" w:hAnsi="Times New Roman" w:cs="Times New Roman"/>
          <w:sz w:val="24"/>
          <w:szCs w:val="24"/>
          <w:lang w:val="en-GB"/>
        </w:rPr>
      </w:pPr>
      <w:r w:rsidRPr="00D56334">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 References for definitions of deficiency and adjustments for inflammation are available in appendix Table 4. </w:t>
      </w:r>
    </w:p>
    <w:p w14:paraId="78F79602" w14:textId="31EFBC53" w:rsidR="00F91460" w:rsidRPr="0058236D" w:rsidRDefault="00F91460" w:rsidP="00F91460">
      <w:pPr>
        <w:rPr>
          <w:rFonts w:ascii="Times New Roman" w:hAnsi="Times New Roman" w:cs="Times New Roman"/>
          <w:sz w:val="24"/>
          <w:szCs w:val="24"/>
          <w:lang w:val="en-GB"/>
        </w:rPr>
      </w:pPr>
      <w:r w:rsidRPr="00D56334">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w:t>
      </w:r>
      <w:r w:rsidRPr="0058236D">
        <w:rPr>
          <w:rFonts w:ascii="Times New Roman" w:hAnsi="Times New Roman" w:cs="Times New Roman"/>
          <w:sz w:val="24"/>
          <w:szCs w:val="24"/>
          <w:lang w:val="en-GB"/>
        </w:rPr>
        <w:t xml:space="preserve">When both </w:t>
      </w:r>
      <w:r>
        <w:rPr>
          <w:rFonts w:ascii="Times New Roman" w:hAnsi="Times New Roman" w:cs="Times New Roman"/>
          <w:sz w:val="24"/>
          <w:szCs w:val="24"/>
          <w:lang w:val="en-GB"/>
        </w:rPr>
        <w:t>red blood cell</w:t>
      </w:r>
      <w:r w:rsidRPr="0058236D">
        <w:rPr>
          <w:rFonts w:ascii="Times New Roman" w:hAnsi="Times New Roman" w:cs="Times New Roman"/>
          <w:sz w:val="24"/>
          <w:szCs w:val="24"/>
          <w:lang w:val="en-GB"/>
        </w:rPr>
        <w:t xml:space="preserve"> folate and serum folate </w:t>
      </w:r>
      <w:r w:rsidR="0052311E">
        <w:rPr>
          <w:rFonts w:ascii="Times New Roman" w:hAnsi="Times New Roman" w:cs="Times New Roman"/>
          <w:sz w:val="24"/>
          <w:szCs w:val="24"/>
          <w:lang w:val="en-GB"/>
        </w:rPr>
        <w:t>we</w:t>
      </w:r>
      <w:r w:rsidRPr="0058236D">
        <w:rPr>
          <w:rFonts w:ascii="Times New Roman" w:hAnsi="Times New Roman" w:cs="Times New Roman"/>
          <w:sz w:val="24"/>
          <w:szCs w:val="24"/>
          <w:lang w:val="en-GB"/>
        </w:rPr>
        <w:t xml:space="preserve">re measured in a survey, </w:t>
      </w:r>
      <w:r>
        <w:rPr>
          <w:rFonts w:ascii="Times New Roman" w:hAnsi="Times New Roman" w:cs="Times New Roman"/>
          <w:sz w:val="24"/>
          <w:szCs w:val="24"/>
          <w:lang w:val="en-GB"/>
        </w:rPr>
        <w:t>red blood cell</w:t>
      </w:r>
      <w:r w:rsidRPr="0058236D">
        <w:rPr>
          <w:rFonts w:ascii="Times New Roman" w:hAnsi="Times New Roman" w:cs="Times New Roman"/>
          <w:sz w:val="24"/>
          <w:szCs w:val="24"/>
          <w:lang w:val="en-GB"/>
        </w:rPr>
        <w:t xml:space="preserve"> folate data were used. Folate thresholds were adjusted for survey assay (see text and </w:t>
      </w:r>
      <w:r>
        <w:rPr>
          <w:rFonts w:ascii="Times New Roman" w:hAnsi="Times New Roman" w:cs="Times New Roman"/>
          <w:sz w:val="24"/>
          <w:szCs w:val="24"/>
          <w:lang w:val="en-GB"/>
        </w:rPr>
        <w:t>a</w:t>
      </w:r>
      <w:r w:rsidRPr="0058236D">
        <w:rPr>
          <w:rFonts w:ascii="Times New Roman" w:hAnsi="Times New Roman" w:cs="Times New Roman"/>
          <w:sz w:val="24"/>
          <w:szCs w:val="24"/>
          <w:lang w:val="en-GB"/>
        </w:rPr>
        <w:t>ppendix Tables 6</w:t>
      </w:r>
      <w:r>
        <w:rPr>
          <w:rFonts w:ascii="Times New Roman" w:hAnsi="Times New Roman" w:cs="Times New Roman"/>
          <w:sz w:val="24"/>
          <w:szCs w:val="24"/>
          <w:lang w:val="en-GB"/>
        </w:rPr>
        <w:t>–</w:t>
      </w:r>
      <w:r w:rsidRPr="0058236D">
        <w:rPr>
          <w:rFonts w:ascii="Times New Roman" w:hAnsi="Times New Roman" w:cs="Times New Roman"/>
          <w:sz w:val="24"/>
          <w:szCs w:val="24"/>
          <w:lang w:val="en-GB"/>
        </w:rPr>
        <w:t>7).</w:t>
      </w:r>
    </w:p>
    <w:p w14:paraId="4D42BB7E" w14:textId="77777777" w:rsidR="00F91460" w:rsidRPr="0058236D" w:rsidRDefault="00F91460" w:rsidP="00F91460">
      <w:pPr>
        <w:rPr>
          <w:rFonts w:ascii="Times New Roman" w:hAnsi="Times New Roman" w:cs="Times New Roman"/>
          <w:sz w:val="24"/>
          <w:szCs w:val="24"/>
          <w:lang w:val="en-GB"/>
        </w:rPr>
      </w:pPr>
      <w:r w:rsidRPr="00D56334">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 xml:space="preserve"> </w:t>
      </w:r>
      <w:r w:rsidRPr="0058236D">
        <w:rPr>
          <w:rFonts w:ascii="Times New Roman" w:hAnsi="Times New Roman" w:cs="Times New Roman"/>
          <w:sz w:val="24"/>
          <w:szCs w:val="24"/>
          <w:lang w:val="en-GB"/>
        </w:rPr>
        <w:t xml:space="preserve">When both serum retinol and </w:t>
      </w:r>
      <w:r>
        <w:rPr>
          <w:rFonts w:ascii="Times New Roman" w:hAnsi="Times New Roman" w:cs="Times New Roman"/>
          <w:sz w:val="24"/>
          <w:szCs w:val="24"/>
          <w:lang w:val="en-GB"/>
        </w:rPr>
        <w:t>retinol-binding protein</w:t>
      </w:r>
      <w:r w:rsidRPr="0058236D">
        <w:rPr>
          <w:rFonts w:ascii="Times New Roman" w:hAnsi="Times New Roman" w:cs="Times New Roman"/>
          <w:sz w:val="24"/>
          <w:szCs w:val="24"/>
          <w:lang w:val="en-GB"/>
        </w:rPr>
        <w:t xml:space="preserve"> are measured in a survey, serum retinol was used</w:t>
      </w:r>
      <w:r>
        <w:rPr>
          <w:rFonts w:ascii="Times New Roman" w:hAnsi="Times New Roman" w:cs="Times New Roman"/>
          <w:sz w:val="24"/>
          <w:szCs w:val="24"/>
          <w:lang w:val="en-GB"/>
        </w:rPr>
        <w:t>,</w:t>
      </w:r>
      <w:r w:rsidRPr="0058236D">
        <w:rPr>
          <w:rFonts w:ascii="Times New Roman" w:hAnsi="Times New Roman" w:cs="Times New Roman"/>
          <w:sz w:val="24"/>
          <w:szCs w:val="24"/>
          <w:lang w:val="en-GB"/>
        </w:rPr>
        <w:t xml:space="preserve"> provided that it was available for the full biological measurement sample. If serum retinol was only available for a subsample, </w:t>
      </w:r>
      <w:r>
        <w:rPr>
          <w:rFonts w:ascii="Times New Roman" w:hAnsi="Times New Roman" w:cs="Times New Roman"/>
          <w:sz w:val="24"/>
          <w:szCs w:val="24"/>
          <w:lang w:val="en-GB"/>
        </w:rPr>
        <w:t>retinol-binding protein</w:t>
      </w:r>
      <w:r w:rsidRPr="0058236D">
        <w:rPr>
          <w:rFonts w:ascii="Times New Roman" w:hAnsi="Times New Roman" w:cs="Times New Roman"/>
          <w:sz w:val="24"/>
          <w:szCs w:val="24"/>
          <w:lang w:val="en-GB"/>
        </w:rPr>
        <w:t xml:space="preserve"> data were used.</w:t>
      </w:r>
    </w:p>
    <w:p w14:paraId="141FB8DA" w14:textId="72732D79" w:rsidR="00F91460" w:rsidRDefault="00F91460" w:rsidP="00F91460">
      <w:pPr>
        <w:rPr>
          <w:rFonts w:ascii="Times New Roman" w:hAnsi="Times New Roman" w:cs="Times New Roman"/>
          <w:sz w:val="24"/>
          <w:szCs w:val="24"/>
        </w:rPr>
      </w:pPr>
      <w:r w:rsidRPr="00D56334">
        <w:rPr>
          <w:rFonts w:ascii="Times New Roman" w:hAnsi="Times New Roman" w:cs="Times New Roman"/>
          <w:sz w:val="24"/>
          <w:szCs w:val="24"/>
          <w:vertAlign w:val="superscript"/>
          <w:lang w:val="en-GB"/>
        </w:rPr>
        <w:lastRenderedPageBreak/>
        <w:t>4</w:t>
      </w:r>
      <w:r>
        <w:rPr>
          <w:rFonts w:ascii="Times New Roman" w:hAnsi="Times New Roman" w:cs="Times New Roman"/>
          <w:sz w:val="24"/>
          <w:szCs w:val="24"/>
          <w:lang w:val="en-GB"/>
        </w:rPr>
        <w:t xml:space="preserve"> </w:t>
      </w:r>
      <w:r w:rsidRPr="0058236D">
        <w:rPr>
          <w:rFonts w:ascii="Times New Roman" w:hAnsi="Times New Roman" w:cs="Times New Roman"/>
          <w:sz w:val="24"/>
          <w:szCs w:val="24"/>
          <w:lang w:val="en-GB"/>
        </w:rPr>
        <w:t xml:space="preserve">For surveys with blood collection throughout the day or if the blood collection protocol was not reported, the average of the morning non-fasting and afternoon non-fasting </w:t>
      </w:r>
      <w:proofErr w:type="spellStart"/>
      <w:r w:rsidRPr="0058236D">
        <w:rPr>
          <w:rFonts w:ascii="Times New Roman" w:hAnsi="Times New Roman" w:cs="Times New Roman"/>
          <w:sz w:val="24"/>
          <w:szCs w:val="24"/>
          <w:lang w:val="en-GB"/>
        </w:rPr>
        <w:t>cutoffs</w:t>
      </w:r>
      <w:proofErr w:type="spellEnd"/>
      <w:r w:rsidRPr="0058236D">
        <w:rPr>
          <w:rFonts w:ascii="Times New Roman" w:hAnsi="Times New Roman" w:cs="Times New Roman"/>
          <w:sz w:val="24"/>
          <w:szCs w:val="24"/>
          <w:lang w:val="en-GB"/>
        </w:rPr>
        <w:t xml:space="preserve"> was used (</w:t>
      </w:r>
      <w:proofErr w:type="spellStart"/>
      <w:r>
        <w:rPr>
          <w:rFonts w:ascii="Times New Roman" w:hAnsi="Times New Roman" w:cs="Times New Roman"/>
          <w:sz w:val="24"/>
          <w:szCs w:val="24"/>
          <w:lang w:val="en-GB"/>
        </w:rPr>
        <w:t>ie</w:t>
      </w:r>
      <w:proofErr w:type="spellEnd"/>
      <w:r>
        <w:rPr>
          <w:rFonts w:ascii="Times New Roman" w:hAnsi="Times New Roman" w:cs="Times New Roman"/>
          <w:sz w:val="24"/>
          <w:szCs w:val="24"/>
          <w:lang w:val="en-GB"/>
        </w:rPr>
        <w:t xml:space="preserve">, </w:t>
      </w:r>
      <w:r w:rsidRPr="0058236D">
        <w:rPr>
          <w:rFonts w:ascii="Times New Roman" w:hAnsi="Times New Roman" w:cs="Times New Roman"/>
          <w:sz w:val="24"/>
          <w:szCs w:val="24"/>
          <w:lang w:val="en-GB"/>
        </w:rPr>
        <w:t xml:space="preserve">&lt;9.3 </w:t>
      </w:r>
      <w:proofErr w:type="spellStart"/>
      <w:r w:rsidRPr="0058236D">
        <w:rPr>
          <w:rFonts w:ascii="Times New Roman" w:hAnsi="Times New Roman" w:cs="Times New Roman"/>
          <w:sz w:val="24"/>
          <w:szCs w:val="24"/>
        </w:rPr>
        <w:t>μmol</w:t>
      </w:r>
      <w:proofErr w:type="spellEnd"/>
      <w:r w:rsidRPr="0058236D">
        <w:rPr>
          <w:rFonts w:ascii="Times New Roman" w:hAnsi="Times New Roman" w:cs="Times New Roman"/>
          <w:sz w:val="24"/>
          <w:szCs w:val="24"/>
        </w:rPr>
        <w:t xml:space="preserve">/L for children and &lt;9.55 </w:t>
      </w:r>
      <w:proofErr w:type="spellStart"/>
      <w:r w:rsidRPr="0058236D">
        <w:rPr>
          <w:rFonts w:ascii="Times New Roman" w:hAnsi="Times New Roman" w:cs="Times New Roman"/>
          <w:sz w:val="24"/>
          <w:szCs w:val="24"/>
        </w:rPr>
        <w:t>μmol</w:t>
      </w:r>
      <w:proofErr w:type="spellEnd"/>
      <w:r w:rsidRPr="0058236D">
        <w:rPr>
          <w:rFonts w:ascii="Times New Roman" w:hAnsi="Times New Roman" w:cs="Times New Roman"/>
          <w:sz w:val="24"/>
          <w:szCs w:val="24"/>
        </w:rPr>
        <w:t xml:space="preserve">/L for women). Specific thresholds used for each survey are listed in </w:t>
      </w:r>
      <w:r>
        <w:rPr>
          <w:rFonts w:ascii="Times New Roman" w:hAnsi="Times New Roman" w:cs="Times New Roman"/>
          <w:sz w:val="24"/>
          <w:szCs w:val="24"/>
        </w:rPr>
        <w:t xml:space="preserve">appendix </w:t>
      </w:r>
      <w:r w:rsidRPr="0058236D">
        <w:rPr>
          <w:rFonts w:ascii="Times New Roman" w:hAnsi="Times New Roman" w:cs="Times New Roman"/>
          <w:sz w:val="24"/>
          <w:szCs w:val="24"/>
        </w:rPr>
        <w:t>5.</w:t>
      </w:r>
    </w:p>
    <w:p w14:paraId="47A45DDD" w14:textId="77777777" w:rsidR="00655634" w:rsidRPr="0058236D" w:rsidRDefault="00655634" w:rsidP="00F91460">
      <w:pPr>
        <w:rPr>
          <w:rFonts w:ascii="Times New Roman" w:hAnsi="Times New Roman" w:cs="Times New Roman"/>
          <w:sz w:val="24"/>
          <w:szCs w:val="24"/>
          <w:lang w:val="en-GB"/>
        </w:rPr>
      </w:pPr>
    </w:p>
    <w:p w14:paraId="20034223" w14:textId="77777777" w:rsidR="00F91460" w:rsidRPr="00D35244" w:rsidRDefault="00F91460" w:rsidP="00F91460">
      <w:pPr>
        <w:rPr>
          <w:rFonts w:ascii="Times New Roman" w:hAnsi="Times New Roman" w:cs="Times New Roman"/>
          <w:b/>
          <w:bCs/>
          <w:sz w:val="24"/>
          <w:szCs w:val="24"/>
          <w:lang w:val="en-GB"/>
        </w:rPr>
      </w:pPr>
      <w:r w:rsidRPr="00D35244">
        <w:rPr>
          <w:rFonts w:ascii="Times New Roman" w:hAnsi="Times New Roman" w:cs="Times New Roman"/>
          <w:b/>
          <w:bCs/>
          <w:sz w:val="24"/>
          <w:szCs w:val="24"/>
          <w:lang w:val="en-GB"/>
        </w:rPr>
        <w:t xml:space="preserve">Table 2. Prevalence of deficiency by type for each </w:t>
      </w:r>
      <w:r>
        <w:rPr>
          <w:rFonts w:ascii="Times New Roman" w:hAnsi="Times New Roman" w:cs="Times New Roman"/>
          <w:b/>
          <w:bCs/>
          <w:sz w:val="24"/>
          <w:szCs w:val="24"/>
          <w:lang w:val="en-GB"/>
        </w:rPr>
        <w:t>dataset</w:t>
      </w:r>
      <w:r w:rsidRPr="00D35244">
        <w:rPr>
          <w:rFonts w:ascii="Times New Roman" w:hAnsi="Times New Roman" w:cs="Times New Roman"/>
          <w:b/>
          <w:bCs/>
          <w:sz w:val="24"/>
          <w:szCs w:val="24"/>
          <w:lang w:val="en-GB"/>
        </w:rPr>
        <w:t xml:space="preserve"> included in the analysis, </w:t>
      </w:r>
      <w:r>
        <w:rPr>
          <w:rFonts w:ascii="Times New Roman" w:hAnsi="Times New Roman" w:cs="Times New Roman"/>
          <w:b/>
          <w:bCs/>
          <w:sz w:val="24"/>
          <w:szCs w:val="24"/>
          <w:lang w:val="en-GB"/>
        </w:rPr>
        <w:t>children primarily 6–59 months</w:t>
      </w:r>
      <w:r w:rsidRPr="00D35244">
        <w:rPr>
          <w:rFonts w:ascii="Times New Roman" w:hAnsi="Times New Roman" w:cs="Times New Roman"/>
          <w:b/>
          <w:bCs/>
          <w:sz w:val="24"/>
          <w:szCs w:val="24"/>
          <w:lang w:val="en-GB"/>
        </w:rPr>
        <w:t>.</w:t>
      </w:r>
      <w:r w:rsidRPr="00D35244">
        <w:rPr>
          <w:rFonts w:ascii="Times New Roman" w:hAnsi="Times New Roman" w:cs="Times New Roman"/>
          <w:b/>
          <w:bCs/>
          <w:sz w:val="24"/>
          <w:szCs w:val="24"/>
          <w:vertAlign w:val="superscript"/>
          <w:lang w:val="en-GB"/>
        </w:rPr>
        <w:t>1</w:t>
      </w:r>
    </w:p>
    <w:tbl>
      <w:tblPr>
        <w:tblW w:w="14035" w:type="dxa"/>
        <w:tblLayout w:type="fixed"/>
        <w:tblLook w:val="04A0" w:firstRow="1" w:lastRow="0" w:firstColumn="1" w:lastColumn="0" w:noHBand="0" w:noVBand="1"/>
      </w:tblPr>
      <w:tblGrid>
        <w:gridCol w:w="1705"/>
        <w:gridCol w:w="1350"/>
        <w:gridCol w:w="1350"/>
        <w:gridCol w:w="1350"/>
        <w:gridCol w:w="1350"/>
        <w:gridCol w:w="1440"/>
        <w:gridCol w:w="1350"/>
        <w:gridCol w:w="1440"/>
        <w:gridCol w:w="1350"/>
        <w:gridCol w:w="1350"/>
      </w:tblGrid>
      <w:tr w:rsidR="00F91460" w:rsidRPr="004B3167" w14:paraId="462796B1" w14:textId="77777777" w:rsidTr="007214C8">
        <w:trPr>
          <w:trHeight w:val="96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0D025F" w14:textId="23AC8749" w:rsidR="00F91460" w:rsidRPr="004B3167" w:rsidRDefault="00F91460" w:rsidP="007214C8">
            <w:pPr>
              <w:rPr>
                <w:rFonts w:ascii="Times New Roman" w:eastAsia="Times New Roman" w:hAnsi="Times New Roman" w:cs="Times New Roman"/>
                <w:b/>
                <w:bCs/>
                <w:color w:val="000000"/>
                <w:sz w:val="24"/>
                <w:szCs w:val="24"/>
              </w:rPr>
            </w:pP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6620BF31"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Iron deficiency, % (95% </w:t>
            </w:r>
            <w:r>
              <w:rPr>
                <w:rFonts w:ascii="Times New Roman" w:eastAsia="Times New Roman" w:hAnsi="Times New Roman" w:cs="Times New Roman"/>
                <w:b/>
                <w:bCs/>
                <w:color w:val="000000"/>
                <w:sz w:val="24"/>
                <w:szCs w:val="24"/>
              </w:rPr>
              <w:t>UI</w:t>
            </w:r>
            <w:r w:rsidRPr="004B3167">
              <w:rPr>
                <w:rFonts w:ascii="Times New Roman" w:eastAsia="Times New Roman" w:hAnsi="Times New Roman" w:cs="Times New Roman"/>
                <w:b/>
                <w:bCs/>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11539BFC"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Zinc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4F93DC93"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Vitamin A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7681DEEC"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Any core deficiency</w:t>
            </w:r>
            <w:r>
              <w:rPr>
                <w:rFonts w:ascii="Times New Roman" w:eastAsia="Times New Roman" w:hAnsi="Times New Roman" w:cs="Times New Roman"/>
                <w:b/>
                <w:bCs/>
                <w:color w:val="000000"/>
                <w:sz w:val="24"/>
                <w:szCs w:val="24"/>
              </w:rPr>
              <w:t xml:space="preserve">, </w:t>
            </w:r>
            <w:r w:rsidRPr="004B3167">
              <w:rPr>
                <w:rFonts w:ascii="Times New Roman" w:eastAsia="Times New Roman" w:hAnsi="Times New Roman" w:cs="Times New Roman"/>
                <w:b/>
                <w:bCs/>
                <w:color w:val="000000"/>
                <w:sz w:val="24"/>
                <w:szCs w:val="24"/>
              </w:rPr>
              <w:t xml:space="preserve">%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r w:rsidRPr="00C409B8">
              <w:rPr>
                <w:rFonts w:ascii="Times New Roman" w:eastAsia="Times New Roman" w:hAnsi="Times New Roman" w:cs="Times New Roman"/>
                <w:b/>
                <w:bCs/>
                <w:color w:val="000000"/>
                <w:sz w:val="24"/>
                <w:szCs w:val="24"/>
                <w:vertAlign w:val="superscript"/>
              </w:rPr>
              <w:t>2</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6F51F6AC"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Sample size (any core deficiency)</w:t>
            </w:r>
            <w:r>
              <w:rPr>
                <w:rFonts w:ascii="Times New Roman" w:eastAsia="Times New Roman" w:hAnsi="Times New Roman" w:cs="Times New Roman"/>
                <w:b/>
                <w:bCs/>
                <w:color w:val="000000"/>
                <w:sz w:val="24"/>
                <w:szCs w:val="24"/>
                <w:vertAlign w:val="superscript"/>
              </w:rPr>
              <w:t>3</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367116E7"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Folate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2B885D7B"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Vitamin B</w:t>
            </w:r>
            <w:r w:rsidRPr="004B3167">
              <w:rPr>
                <w:rFonts w:ascii="Times New Roman" w:eastAsia="Times New Roman" w:hAnsi="Times New Roman" w:cs="Times New Roman"/>
                <w:b/>
                <w:bCs/>
                <w:color w:val="000000"/>
                <w:sz w:val="24"/>
                <w:szCs w:val="24"/>
                <w:vertAlign w:val="subscript"/>
              </w:rPr>
              <w:t>12</w:t>
            </w:r>
            <w:r w:rsidRPr="004B3167">
              <w:rPr>
                <w:rFonts w:ascii="Times New Roman" w:eastAsia="Times New Roman" w:hAnsi="Times New Roman" w:cs="Times New Roman"/>
                <w:b/>
                <w:bCs/>
                <w:color w:val="000000"/>
                <w:sz w:val="24"/>
                <w:szCs w:val="24"/>
              </w:rPr>
              <w:t xml:space="preserve">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29770F0D"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Vitamin D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5789379E"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Any sentinel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r w:rsidRPr="004C0522">
              <w:rPr>
                <w:rFonts w:ascii="Times New Roman" w:eastAsia="Times New Roman" w:hAnsi="Times New Roman" w:cs="Times New Roman"/>
                <w:b/>
                <w:bCs/>
                <w:color w:val="000000"/>
                <w:sz w:val="24"/>
                <w:szCs w:val="24"/>
                <w:vertAlign w:val="superscript"/>
              </w:rPr>
              <w:t>4</w:t>
            </w:r>
          </w:p>
        </w:tc>
      </w:tr>
      <w:tr w:rsidR="009B6B0E" w:rsidRPr="004B3167" w14:paraId="7789635B"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7CCEC86" w14:textId="77777777" w:rsidR="009B6B0E" w:rsidRPr="004B3167" w:rsidRDefault="009B6B0E" w:rsidP="009B6B0E">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Afghanistan, 2013</w:t>
            </w:r>
          </w:p>
        </w:tc>
        <w:tc>
          <w:tcPr>
            <w:tcW w:w="1350" w:type="dxa"/>
            <w:tcBorders>
              <w:top w:val="nil"/>
              <w:left w:val="nil"/>
              <w:bottom w:val="single" w:sz="4" w:space="0" w:color="auto"/>
              <w:right w:val="single" w:sz="4" w:space="0" w:color="auto"/>
            </w:tcBorders>
            <w:shd w:val="clear" w:color="auto" w:fill="auto"/>
            <w:noWrap/>
            <w:vAlign w:val="center"/>
            <w:hideMark/>
          </w:tcPr>
          <w:p w14:paraId="0B9AC3EC"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24 (20, 29)</w:t>
            </w:r>
          </w:p>
        </w:tc>
        <w:tc>
          <w:tcPr>
            <w:tcW w:w="1350" w:type="dxa"/>
            <w:tcBorders>
              <w:top w:val="nil"/>
              <w:left w:val="nil"/>
              <w:bottom w:val="single" w:sz="4" w:space="0" w:color="auto"/>
              <w:right w:val="single" w:sz="4" w:space="0" w:color="auto"/>
            </w:tcBorders>
            <w:shd w:val="clear" w:color="auto" w:fill="auto"/>
            <w:noWrap/>
            <w:vAlign w:val="center"/>
            <w:hideMark/>
          </w:tcPr>
          <w:p w14:paraId="4B5AF64C"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12 (8, 16)</w:t>
            </w:r>
          </w:p>
        </w:tc>
        <w:tc>
          <w:tcPr>
            <w:tcW w:w="1350" w:type="dxa"/>
            <w:tcBorders>
              <w:top w:val="nil"/>
              <w:left w:val="nil"/>
              <w:bottom w:val="single" w:sz="4" w:space="0" w:color="auto"/>
              <w:right w:val="single" w:sz="4" w:space="0" w:color="auto"/>
            </w:tcBorders>
            <w:shd w:val="clear" w:color="auto" w:fill="auto"/>
            <w:noWrap/>
            <w:vAlign w:val="center"/>
            <w:hideMark/>
          </w:tcPr>
          <w:p w14:paraId="7BA798F9"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39 (34, 44)</w:t>
            </w:r>
          </w:p>
        </w:tc>
        <w:tc>
          <w:tcPr>
            <w:tcW w:w="1350" w:type="dxa"/>
            <w:tcBorders>
              <w:top w:val="nil"/>
              <w:left w:val="nil"/>
              <w:bottom w:val="single" w:sz="4" w:space="0" w:color="auto"/>
              <w:right w:val="single" w:sz="4" w:space="0" w:color="auto"/>
            </w:tcBorders>
            <w:shd w:val="clear" w:color="auto" w:fill="auto"/>
            <w:noWrap/>
            <w:vAlign w:val="center"/>
            <w:hideMark/>
          </w:tcPr>
          <w:p w14:paraId="67A480B7"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54 (49, 59)</w:t>
            </w:r>
          </w:p>
        </w:tc>
        <w:tc>
          <w:tcPr>
            <w:tcW w:w="1440" w:type="dxa"/>
            <w:tcBorders>
              <w:top w:val="nil"/>
              <w:left w:val="nil"/>
              <w:bottom w:val="single" w:sz="4" w:space="0" w:color="auto"/>
              <w:right w:val="single" w:sz="4" w:space="0" w:color="auto"/>
            </w:tcBorders>
            <w:shd w:val="clear" w:color="auto" w:fill="auto"/>
            <w:noWrap/>
            <w:vAlign w:val="center"/>
            <w:hideMark/>
          </w:tcPr>
          <w:p w14:paraId="2CEADADA"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651</w:t>
            </w:r>
          </w:p>
        </w:tc>
        <w:tc>
          <w:tcPr>
            <w:tcW w:w="1350" w:type="dxa"/>
            <w:tcBorders>
              <w:top w:val="nil"/>
              <w:left w:val="nil"/>
              <w:bottom w:val="single" w:sz="4" w:space="0" w:color="auto"/>
              <w:right w:val="single" w:sz="4" w:space="0" w:color="auto"/>
            </w:tcBorders>
            <w:shd w:val="clear" w:color="auto" w:fill="auto"/>
            <w:noWrap/>
            <w:vAlign w:val="center"/>
            <w:hideMark/>
          </w:tcPr>
          <w:p w14:paraId="48DAA607" w14:textId="5E71C42A"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0720234D" w14:textId="48B0334F"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76F702C2"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29 (24, 35)</w:t>
            </w:r>
          </w:p>
        </w:tc>
        <w:tc>
          <w:tcPr>
            <w:tcW w:w="1350" w:type="dxa"/>
            <w:tcBorders>
              <w:top w:val="nil"/>
              <w:left w:val="nil"/>
              <w:bottom w:val="single" w:sz="4" w:space="0" w:color="auto"/>
              <w:right w:val="single" w:sz="4" w:space="0" w:color="auto"/>
            </w:tcBorders>
            <w:shd w:val="clear" w:color="auto" w:fill="auto"/>
            <w:noWrap/>
            <w:vAlign w:val="center"/>
            <w:hideMark/>
          </w:tcPr>
          <w:p w14:paraId="7D31B8BF" w14:textId="69C9FAA8"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9B6B0E" w:rsidRPr="004B3167" w14:paraId="44B496F2"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CB59085" w14:textId="77777777" w:rsidR="009B6B0E" w:rsidRPr="004B3167" w:rsidRDefault="009B6B0E" w:rsidP="009B6B0E">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Azerbaijan, 2013</w:t>
            </w:r>
          </w:p>
        </w:tc>
        <w:tc>
          <w:tcPr>
            <w:tcW w:w="1350" w:type="dxa"/>
            <w:tcBorders>
              <w:top w:val="nil"/>
              <w:left w:val="nil"/>
              <w:bottom w:val="single" w:sz="4" w:space="0" w:color="auto"/>
              <w:right w:val="single" w:sz="4" w:space="0" w:color="auto"/>
            </w:tcBorders>
            <w:shd w:val="clear" w:color="auto" w:fill="auto"/>
            <w:noWrap/>
            <w:vAlign w:val="center"/>
            <w:hideMark/>
          </w:tcPr>
          <w:p w14:paraId="0C761EE7"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22 (19, 26)</w:t>
            </w:r>
          </w:p>
        </w:tc>
        <w:tc>
          <w:tcPr>
            <w:tcW w:w="1350" w:type="dxa"/>
            <w:tcBorders>
              <w:top w:val="nil"/>
              <w:left w:val="nil"/>
              <w:bottom w:val="single" w:sz="4" w:space="0" w:color="auto"/>
              <w:right w:val="single" w:sz="4" w:space="0" w:color="auto"/>
            </w:tcBorders>
            <w:shd w:val="clear" w:color="auto" w:fill="auto"/>
            <w:noWrap/>
            <w:vAlign w:val="center"/>
            <w:hideMark/>
          </w:tcPr>
          <w:p w14:paraId="2A8C3CA4"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17 (14, 20)</w:t>
            </w:r>
          </w:p>
        </w:tc>
        <w:tc>
          <w:tcPr>
            <w:tcW w:w="1350" w:type="dxa"/>
            <w:tcBorders>
              <w:top w:val="nil"/>
              <w:left w:val="nil"/>
              <w:bottom w:val="single" w:sz="4" w:space="0" w:color="auto"/>
              <w:right w:val="single" w:sz="4" w:space="0" w:color="auto"/>
            </w:tcBorders>
            <w:shd w:val="clear" w:color="auto" w:fill="auto"/>
            <w:noWrap/>
            <w:vAlign w:val="center"/>
            <w:hideMark/>
          </w:tcPr>
          <w:p w14:paraId="60FF264F"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 (5, 9)</w:t>
            </w:r>
          </w:p>
        </w:tc>
        <w:tc>
          <w:tcPr>
            <w:tcW w:w="1350" w:type="dxa"/>
            <w:tcBorders>
              <w:top w:val="nil"/>
              <w:left w:val="nil"/>
              <w:bottom w:val="single" w:sz="4" w:space="0" w:color="auto"/>
              <w:right w:val="single" w:sz="4" w:space="0" w:color="auto"/>
            </w:tcBorders>
            <w:shd w:val="clear" w:color="auto" w:fill="auto"/>
            <w:noWrap/>
            <w:vAlign w:val="center"/>
            <w:hideMark/>
          </w:tcPr>
          <w:p w14:paraId="376D9086"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40 (36, 44)</w:t>
            </w:r>
          </w:p>
        </w:tc>
        <w:tc>
          <w:tcPr>
            <w:tcW w:w="1440" w:type="dxa"/>
            <w:tcBorders>
              <w:top w:val="nil"/>
              <w:left w:val="nil"/>
              <w:bottom w:val="single" w:sz="4" w:space="0" w:color="auto"/>
              <w:right w:val="single" w:sz="4" w:space="0" w:color="auto"/>
            </w:tcBorders>
            <w:shd w:val="clear" w:color="auto" w:fill="auto"/>
            <w:noWrap/>
            <w:vAlign w:val="center"/>
            <w:hideMark/>
          </w:tcPr>
          <w:p w14:paraId="014E26C5"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1019</w:t>
            </w:r>
          </w:p>
        </w:tc>
        <w:tc>
          <w:tcPr>
            <w:tcW w:w="1350" w:type="dxa"/>
            <w:tcBorders>
              <w:top w:val="nil"/>
              <w:left w:val="nil"/>
              <w:bottom w:val="single" w:sz="4" w:space="0" w:color="auto"/>
              <w:right w:val="single" w:sz="4" w:space="0" w:color="auto"/>
            </w:tcBorders>
            <w:shd w:val="clear" w:color="auto" w:fill="auto"/>
            <w:noWrap/>
            <w:vAlign w:val="center"/>
            <w:hideMark/>
          </w:tcPr>
          <w:p w14:paraId="2E320EFC" w14:textId="3DD786FB"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5175B4F6" w14:textId="5AEE615F"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2BAC176D" w14:textId="45C0A2A9"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040B6880" w14:textId="2FCFFE41"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9B6B0E" w:rsidRPr="004B3167" w14:paraId="431F8567"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F0F8E57" w14:textId="77777777" w:rsidR="009B6B0E" w:rsidRPr="004B3167" w:rsidRDefault="009B6B0E" w:rsidP="009B6B0E">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Bangladesh, 2011</w:t>
            </w:r>
          </w:p>
        </w:tc>
        <w:tc>
          <w:tcPr>
            <w:tcW w:w="1350" w:type="dxa"/>
            <w:tcBorders>
              <w:top w:val="nil"/>
              <w:left w:val="nil"/>
              <w:bottom w:val="single" w:sz="4" w:space="0" w:color="auto"/>
              <w:right w:val="single" w:sz="4" w:space="0" w:color="auto"/>
            </w:tcBorders>
            <w:shd w:val="clear" w:color="auto" w:fill="auto"/>
            <w:noWrap/>
            <w:vAlign w:val="center"/>
            <w:hideMark/>
          </w:tcPr>
          <w:p w14:paraId="72D483EF"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11 (7, 17)</w:t>
            </w:r>
          </w:p>
        </w:tc>
        <w:tc>
          <w:tcPr>
            <w:tcW w:w="1350" w:type="dxa"/>
            <w:tcBorders>
              <w:top w:val="nil"/>
              <w:left w:val="nil"/>
              <w:bottom w:val="single" w:sz="4" w:space="0" w:color="auto"/>
              <w:right w:val="single" w:sz="4" w:space="0" w:color="auto"/>
            </w:tcBorders>
            <w:shd w:val="clear" w:color="auto" w:fill="auto"/>
            <w:noWrap/>
            <w:vAlign w:val="center"/>
            <w:hideMark/>
          </w:tcPr>
          <w:p w14:paraId="5DD649FB"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32 (24, 41)</w:t>
            </w:r>
          </w:p>
        </w:tc>
        <w:tc>
          <w:tcPr>
            <w:tcW w:w="1350" w:type="dxa"/>
            <w:tcBorders>
              <w:top w:val="nil"/>
              <w:left w:val="nil"/>
              <w:bottom w:val="single" w:sz="4" w:space="0" w:color="auto"/>
              <w:right w:val="single" w:sz="4" w:space="0" w:color="auto"/>
            </w:tcBorders>
            <w:shd w:val="clear" w:color="auto" w:fill="auto"/>
            <w:noWrap/>
            <w:vAlign w:val="center"/>
            <w:hideMark/>
          </w:tcPr>
          <w:p w14:paraId="00E0FA3A"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15 (11, 20)</w:t>
            </w:r>
          </w:p>
        </w:tc>
        <w:tc>
          <w:tcPr>
            <w:tcW w:w="1350" w:type="dxa"/>
            <w:tcBorders>
              <w:top w:val="nil"/>
              <w:left w:val="nil"/>
              <w:bottom w:val="single" w:sz="4" w:space="0" w:color="auto"/>
              <w:right w:val="single" w:sz="4" w:space="0" w:color="auto"/>
            </w:tcBorders>
            <w:shd w:val="clear" w:color="auto" w:fill="auto"/>
            <w:noWrap/>
            <w:vAlign w:val="center"/>
            <w:hideMark/>
          </w:tcPr>
          <w:p w14:paraId="51EC46F4"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52 (41, 63)</w:t>
            </w:r>
          </w:p>
        </w:tc>
        <w:tc>
          <w:tcPr>
            <w:tcW w:w="1440" w:type="dxa"/>
            <w:tcBorders>
              <w:top w:val="nil"/>
              <w:left w:val="nil"/>
              <w:bottom w:val="single" w:sz="4" w:space="0" w:color="auto"/>
              <w:right w:val="single" w:sz="4" w:space="0" w:color="auto"/>
            </w:tcBorders>
            <w:shd w:val="clear" w:color="auto" w:fill="auto"/>
            <w:noWrap/>
            <w:vAlign w:val="center"/>
            <w:hideMark/>
          </w:tcPr>
          <w:p w14:paraId="706AEE35"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302</w:t>
            </w:r>
          </w:p>
        </w:tc>
        <w:tc>
          <w:tcPr>
            <w:tcW w:w="1350" w:type="dxa"/>
            <w:tcBorders>
              <w:top w:val="nil"/>
              <w:left w:val="nil"/>
              <w:bottom w:val="single" w:sz="4" w:space="0" w:color="auto"/>
              <w:right w:val="single" w:sz="4" w:space="0" w:color="auto"/>
            </w:tcBorders>
            <w:shd w:val="clear" w:color="auto" w:fill="auto"/>
            <w:noWrap/>
            <w:vAlign w:val="center"/>
            <w:hideMark/>
          </w:tcPr>
          <w:p w14:paraId="51415E50" w14:textId="3EFC08E1"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53CC1507" w14:textId="013C6929"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574F91F2" w14:textId="5E278B77"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229EDA0A" w14:textId="55B91377"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9B6B0E" w:rsidRPr="004B3167" w14:paraId="3C403FEC"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B4D9D1B" w14:textId="77777777" w:rsidR="009B6B0E" w:rsidRPr="004B3167" w:rsidRDefault="009B6B0E" w:rsidP="009B6B0E">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Cambodia, 2014</w:t>
            </w:r>
          </w:p>
        </w:tc>
        <w:tc>
          <w:tcPr>
            <w:tcW w:w="1350" w:type="dxa"/>
            <w:tcBorders>
              <w:top w:val="nil"/>
              <w:left w:val="nil"/>
              <w:bottom w:val="single" w:sz="4" w:space="0" w:color="auto"/>
              <w:right w:val="single" w:sz="4" w:space="0" w:color="auto"/>
            </w:tcBorders>
            <w:shd w:val="clear" w:color="auto" w:fill="auto"/>
            <w:noWrap/>
            <w:vAlign w:val="center"/>
            <w:hideMark/>
          </w:tcPr>
          <w:p w14:paraId="5B90E2BC"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 (3, 7)</w:t>
            </w:r>
          </w:p>
        </w:tc>
        <w:tc>
          <w:tcPr>
            <w:tcW w:w="1350" w:type="dxa"/>
            <w:tcBorders>
              <w:top w:val="nil"/>
              <w:left w:val="nil"/>
              <w:bottom w:val="single" w:sz="4" w:space="0" w:color="auto"/>
              <w:right w:val="single" w:sz="4" w:space="0" w:color="auto"/>
            </w:tcBorders>
            <w:shd w:val="clear" w:color="auto" w:fill="auto"/>
            <w:noWrap/>
            <w:vAlign w:val="center"/>
            <w:hideMark/>
          </w:tcPr>
          <w:p w14:paraId="60571C8A"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67 (59, 75)</w:t>
            </w:r>
          </w:p>
        </w:tc>
        <w:tc>
          <w:tcPr>
            <w:tcW w:w="1350" w:type="dxa"/>
            <w:tcBorders>
              <w:top w:val="nil"/>
              <w:left w:val="nil"/>
              <w:bottom w:val="single" w:sz="4" w:space="0" w:color="auto"/>
              <w:right w:val="single" w:sz="4" w:space="0" w:color="auto"/>
            </w:tcBorders>
            <w:shd w:val="clear" w:color="auto" w:fill="auto"/>
            <w:noWrap/>
            <w:vAlign w:val="center"/>
            <w:hideMark/>
          </w:tcPr>
          <w:p w14:paraId="08EEB699"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 (4, 9)</w:t>
            </w:r>
          </w:p>
        </w:tc>
        <w:tc>
          <w:tcPr>
            <w:tcW w:w="1350" w:type="dxa"/>
            <w:tcBorders>
              <w:top w:val="nil"/>
              <w:left w:val="nil"/>
              <w:bottom w:val="single" w:sz="4" w:space="0" w:color="auto"/>
              <w:right w:val="single" w:sz="4" w:space="0" w:color="auto"/>
            </w:tcBorders>
            <w:shd w:val="clear" w:color="auto" w:fill="auto"/>
            <w:noWrap/>
            <w:vAlign w:val="center"/>
            <w:hideMark/>
          </w:tcPr>
          <w:p w14:paraId="48DFC49A"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71 (62, 78)</w:t>
            </w:r>
          </w:p>
        </w:tc>
        <w:tc>
          <w:tcPr>
            <w:tcW w:w="1440" w:type="dxa"/>
            <w:tcBorders>
              <w:top w:val="nil"/>
              <w:left w:val="nil"/>
              <w:bottom w:val="single" w:sz="4" w:space="0" w:color="auto"/>
              <w:right w:val="single" w:sz="4" w:space="0" w:color="auto"/>
            </w:tcBorders>
            <w:shd w:val="clear" w:color="auto" w:fill="auto"/>
            <w:noWrap/>
            <w:vAlign w:val="center"/>
            <w:hideMark/>
          </w:tcPr>
          <w:p w14:paraId="4B862A8D"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534</w:t>
            </w:r>
          </w:p>
        </w:tc>
        <w:tc>
          <w:tcPr>
            <w:tcW w:w="1350" w:type="dxa"/>
            <w:tcBorders>
              <w:top w:val="nil"/>
              <w:left w:val="nil"/>
              <w:bottom w:val="single" w:sz="4" w:space="0" w:color="auto"/>
              <w:right w:val="single" w:sz="4" w:space="0" w:color="auto"/>
            </w:tcBorders>
            <w:shd w:val="clear" w:color="auto" w:fill="auto"/>
            <w:noWrap/>
            <w:vAlign w:val="center"/>
            <w:hideMark/>
          </w:tcPr>
          <w:p w14:paraId="751B3E8F"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30 (25, 35)</w:t>
            </w:r>
          </w:p>
        </w:tc>
        <w:tc>
          <w:tcPr>
            <w:tcW w:w="1440" w:type="dxa"/>
            <w:tcBorders>
              <w:top w:val="nil"/>
              <w:left w:val="nil"/>
              <w:bottom w:val="single" w:sz="4" w:space="0" w:color="auto"/>
              <w:right w:val="single" w:sz="4" w:space="0" w:color="auto"/>
            </w:tcBorders>
            <w:shd w:val="clear" w:color="auto" w:fill="auto"/>
            <w:noWrap/>
            <w:vAlign w:val="center"/>
            <w:hideMark/>
          </w:tcPr>
          <w:p w14:paraId="313BDDE6"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 (1, 4)</w:t>
            </w:r>
          </w:p>
        </w:tc>
        <w:tc>
          <w:tcPr>
            <w:tcW w:w="1350" w:type="dxa"/>
            <w:tcBorders>
              <w:top w:val="nil"/>
              <w:left w:val="nil"/>
              <w:bottom w:val="single" w:sz="4" w:space="0" w:color="auto"/>
              <w:right w:val="single" w:sz="4" w:space="0" w:color="auto"/>
            </w:tcBorders>
            <w:shd w:val="clear" w:color="auto" w:fill="auto"/>
            <w:noWrap/>
            <w:vAlign w:val="center"/>
            <w:hideMark/>
          </w:tcPr>
          <w:p w14:paraId="60BC9466"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(2, 5)</w:t>
            </w:r>
          </w:p>
        </w:tc>
        <w:tc>
          <w:tcPr>
            <w:tcW w:w="1350" w:type="dxa"/>
            <w:tcBorders>
              <w:top w:val="nil"/>
              <w:left w:val="nil"/>
              <w:bottom w:val="single" w:sz="4" w:space="0" w:color="auto"/>
              <w:right w:val="single" w:sz="4" w:space="0" w:color="auto"/>
            </w:tcBorders>
            <w:shd w:val="clear" w:color="auto" w:fill="auto"/>
            <w:noWrap/>
            <w:vAlign w:val="center"/>
            <w:hideMark/>
          </w:tcPr>
          <w:p w14:paraId="3D95F0B6"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81 (74, 86)</w:t>
            </w:r>
          </w:p>
        </w:tc>
      </w:tr>
      <w:tr w:rsidR="009B6B0E" w:rsidRPr="004B3167" w14:paraId="0AD8C6DE"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7E1175B" w14:textId="77777777" w:rsidR="009B6B0E" w:rsidRPr="004B3167" w:rsidRDefault="009B6B0E" w:rsidP="009B6B0E">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Cameroon, 2009</w:t>
            </w:r>
          </w:p>
        </w:tc>
        <w:tc>
          <w:tcPr>
            <w:tcW w:w="1350" w:type="dxa"/>
            <w:tcBorders>
              <w:top w:val="nil"/>
              <w:left w:val="nil"/>
              <w:bottom w:val="single" w:sz="4" w:space="0" w:color="auto"/>
              <w:right w:val="single" w:sz="4" w:space="0" w:color="auto"/>
            </w:tcBorders>
            <w:shd w:val="clear" w:color="auto" w:fill="auto"/>
            <w:noWrap/>
            <w:vAlign w:val="center"/>
            <w:hideMark/>
          </w:tcPr>
          <w:p w14:paraId="6149B0A2"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34 (30, 39)</w:t>
            </w:r>
          </w:p>
        </w:tc>
        <w:tc>
          <w:tcPr>
            <w:tcW w:w="1350" w:type="dxa"/>
            <w:tcBorders>
              <w:top w:val="nil"/>
              <w:left w:val="nil"/>
              <w:bottom w:val="single" w:sz="4" w:space="0" w:color="auto"/>
              <w:right w:val="single" w:sz="4" w:space="0" w:color="auto"/>
            </w:tcBorders>
            <w:shd w:val="clear" w:color="auto" w:fill="auto"/>
            <w:noWrap/>
            <w:vAlign w:val="center"/>
            <w:hideMark/>
          </w:tcPr>
          <w:p w14:paraId="630A27FE"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57 (52, 61)</w:t>
            </w:r>
          </w:p>
        </w:tc>
        <w:tc>
          <w:tcPr>
            <w:tcW w:w="1350" w:type="dxa"/>
            <w:tcBorders>
              <w:top w:val="nil"/>
              <w:left w:val="nil"/>
              <w:bottom w:val="single" w:sz="4" w:space="0" w:color="auto"/>
              <w:right w:val="single" w:sz="4" w:space="0" w:color="auto"/>
            </w:tcBorders>
            <w:shd w:val="clear" w:color="auto" w:fill="auto"/>
            <w:noWrap/>
            <w:vAlign w:val="center"/>
            <w:hideMark/>
          </w:tcPr>
          <w:p w14:paraId="17AD1FC1"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 (7, 12)</w:t>
            </w:r>
          </w:p>
        </w:tc>
        <w:tc>
          <w:tcPr>
            <w:tcW w:w="1350" w:type="dxa"/>
            <w:tcBorders>
              <w:top w:val="nil"/>
              <w:left w:val="nil"/>
              <w:bottom w:val="single" w:sz="4" w:space="0" w:color="auto"/>
              <w:right w:val="single" w:sz="4" w:space="0" w:color="auto"/>
            </w:tcBorders>
            <w:shd w:val="clear" w:color="auto" w:fill="auto"/>
            <w:noWrap/>
            <w:vAlign w:val="center"/>
            <w:hideMark/>
          </w:tcPr>
          <w:p w14:paraId="67A7F8D7"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72 (68, 76)</w:t>
            </w:r>
          </w:p>
        </w:tc>
        <w:tc>
          <w:tcPr>
            <w:tcW w:w="1440" w:type="dxa"/>
            <w:tcBorders>
              <w:top w:val="nil"/>
              <w:left w:val="nil"/>
              <w:bottom w:val="single" w:sz="4" w:space="0" w:color="auto"/>
              <w:right w:val="single" w:sz="4" w:space="0" w:color="auto"/>
            </w:tcBorders>
            <w:shd w:val="clear" w:color="auto" w:fill="auto"/>
            <w:noWrap/>
            <w:vAlign w:val="center"/>
            <w:hideMark/>
          </w:tcPr>
          <w:p w14:paraId="3202461E"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776</w:t>
            </w:r>
          </w:p>
        </w:tc>
        <w:tc>
          <w:tcPr>
            <w:tcW w:w="1350" w:type="dxa"/>
            <w:tcBorders>
              <w:top w:val="nil"/>
              <w:left w:val="nil"/>
              <w:bottom w:val="single" w:sz="4" w:space="0" w:color="auto"/>
              <w:right w:val="single" w:sz="4" w:space="0" w:color="auto"/>
            </w:tcBorders>
            <w:shd w:val="clear" w:color="auto" w:fill="auto"/>
            <w:noWrap/>
            <w:vAlign w:val="center"/>
            <w:hideMark/>
          </w:tcPr>
          <w:p w14:paraId="1C48C9F6"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18 (14, 23)</w:t>
            </w:r>
          </w:p>
        </w:tc>
        <w:tc>
          <w:tcPr>
            <w:tcW w:w="1440" w:type="dxa"/>
            <w:tcBorders>
              <w:top w:val="nil"/>
              <w:left w:val="nil"/>
              <w:bottom w:val="single" w:sz="4" w:space="0" w:color="auto"/>
              <w:right w:val="single" w:sz="4" w:space="0" w:color="auto"/>
            </w:tcBorders>
            <w:shd w:val="clear" w:color="auto" w:fill="auto"/>
            <w:noWrap/>
            <w:vAlign w:val="center"/>
            <w:hideMark/>
          </w:tcPr>
          <w:p w14:paraId="2F78ACC6"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15 (12, 20)</w:t>
            </w:r>
          </w:p>
        </w:tc>
        <w:tc>
          <w:tcPr>
            <w:tcW w:w="1350" w:type="dxa"/>
            <w:tcBorders>
              <w:top w:val="nil"/>
              <w:left w:val="nil"/>
              <w:bottom w:val="single" w:sz="4" w:space="0" w:color="auto"/>
              <w:right w:val="single" w:sz="4" w:space="0" w:color="auto"/>
            </w:tcBorders>
            <w:shd w:val="clear" w:color="auto" w:fill="auto"/>
            <w:noWrap/>
            <w:vAlign w:val="center"/>
            <w:hideMark/>
          </w:tcPr>
          <w:p w14:paraId="4388E991" w14:textId="00E4D923"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76753E02" w14:textId="338FD2CE"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9B6B0E" w:rsidRPr="004B3167" w14:paraId="69A2EA59"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951FB1B" w14:textId="77777777" w:rsidR="009B6B0E" w:rsidRPr="004B3167" w:rsidRDefault="009B6B0E" w:rsidP="009B6B0E">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Colombia, 2010</w:t>
            </w:r>
          </w:p>
        </w:tc>
        <w:tc>
          <w:tcPr>
            <w:tcW w:w="1350" w:type="dxa"/>
            <w:tcBorders>
              <w:top w:val="nil"/>
              <w:left w:val="nil"/>
              <w:bottom w:val="single" w:sz="4" w:space="0" w:color="auto"/>
              <w:right w:val="single" w:sz="4" w:space="0" w:color="auto"/>
            </w:tcBorders>
            <w:shd w:val="clear" w:color="auto" w:fill="auto"/>
            <w:noWrap/>
            <w:vAlign w:val="center"/>
            <w:hideMark/>
          </w:tcPr>
          <w:p w14:paraId="191B0717"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14 (12, 15)</w:t>
            </w:r>
          </w:p>
        </w:tc>
        <w:tc>
          <w:tcPr>
            <w:tcW w:w="1350" w:type="dxa"/>
            <w:tcBorders>
              <w:top w:val="nil"/>
              <w:left w:val="nil"/>
              <w:bottom w:val="single" w:sz="4" w:space="0" w:color="auto"/>
              <w:right w:val="single" w:sz="4" w:space="0" w:color="auto"/>
            </w:tcBorders>
            <w:shd w:val="clear" w:color="auto" w:fill="auto"/>
            <w:noWrap/>
            <w:vAlign w:val="center"/>
            <w:hideMark/>
          </w:tcPr>
          <w:p w14:paraId="3CEBAD63"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39 (37, 41)</w:t>
            </w:r>
          </w:p>
        </w:tc>
        <w:tc>
          <w:tcPr>
            <w:tcW w:w="1350" w:type="dxa"/>
            <w:tcBorders>
              <w:top w:val="nil"/>
              <w:left w:val="nil"/>
              <w:bottom w:val="single" w:sz="4" w:space="0" w:color="auto"/>
              <w:right w:val="single" w:sz="4" w:space="0" w:color="auto"/>
            </w:tcBorders>
            <w:shd w:val="clear" w:color="auto" w:fill="auto"/>
            <w:noWrap/>
            <w:vAlign w:val="center"/>
            <w:hideMark/>
          </w:tcPr>
          <w:p w14:paraId="38677300"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19 (17, 21)</w:t>
            </w:r>
          </w:p>
        </w:tc>
        <w:tc>
          <w:tcPr>
            <w:tcW w:w="1350" w:type="dxa"/>
            <w:tcBorders>
              <w:top w:val="nil"/>
              <w:left w:val="nil"/>
              <w:bottom w:val="single" w:sz="4" w:space="0" w:color="auto"/>
              <w:right w:val="single" w:sz="4" w:space="0" w:color="auto"/>
            </w:tcBorders>
            <w:shd w:val="clear" w:color="auto" w:fill="auto"/>
            <w:noWrap/>
            <w:vAlign w:val="center"/>
            <w:hideMark/>
          </w:tcPr>
          <w:p w14:paraId="73B39E24"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57 (55, 59)</w:t>
            </w:r>
          </w:p>
        </w:tc>
        <w:tc>
          <w:tcPr>
            <w:tcW w:w="1440" w:type="dxa"/>
            <w:tcBorders>
              <w:top w:val="nil"/>
              <w:left w:val="nil"/>
              <w:bottom w:val="single" w:sz="4" w:space="0" w:color="auto"/>
              <w:right w:val="single" w:sz="4" w:space="0" w:color="auto"/>
            </w:tcBorders>
            <w:shd w:val="clear" w:color="auto" w:fill="auto"/>
            <w:noWrap/>
            <w:vAlign w:val="center"/>
            <w:hideMark/>
          </w:tcPr>
          <w:p w14:paraId="4CC6AE6F" w14:textId="77777777" w:rsidR="009B6B0E" w:rsidRPr="004B3167" w:rsidRDefault="009B6B0E" w:rsidP="009B6B0E">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4091</w:t>
            </w:r>
          </w:p>
        </w:tc>
        <w:tc>
          <w:tcPr>
            <w:tcW w:w="1350" w:type="dxa"/>
            <w:tcBorders>
              <w:top w:val="nil"/>
              <w:left w:val="nil"/>
              <w:bottom w:val="single" w:sz="4" w:space="0" w:color="auto"/>
              <w:right w:val="single" w:sz="4" w:space="0" w:color="auto"/>
            </w:tcBorders>
            <w:shd w:val="clear" w:color="auto" w:fill="auto"/>
            <w:noWrap/>
            <w:vAlign w:val="center"/>
            <w:hideMark/>
          </w:tcPr>
          <w:p w14:paraId="7D1EACC4" w14:textId="35D9882F"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1CD6D03E" w14:textId="4B48E46D"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77FFA9DF" w14:textId="4D7BB17D"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2624B791" w14:textId="340ADCD9" w:rsidR="009B6B0E" w:rsidRPr="004B3167" w:rsidRDefault="009B6B0E" w:rsidP="009B6B0E">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21B91011"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A054CC6"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Côte d’Ivoire, 2007</w:t>
            </w:r>
          </w:p>
        </w:tc>
        <w:tc>
          <w:tcPr>
            <w:tcW w:w="1350" w:type="dxa"/>
            <w:tcBorders>
              <w:top w:val="nil"/>
              <w:left w:val="nil"/>
              <w:bottom w:val="single" w:sz="4" w:space="0" w:color="auto"/>
              <w:right w:val="single" w:sz="4" w:space="0" w:color="auto"/>
            </w:tcBorders>
            <w:shd w:val="clear" w:color="auto" w:fill="auto"/>
            <w:noWrap/>
            <w:vAlign w:val="center"/>
            <w:hideMark/>
          </w:tcPr>
          <w:p w14:paraId="285F05BF"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39 (35, 43)</w:t>
            </w:r>
          </w:p>
        </w:tc>
        <w:tc>
          <w:tcPr>
            <w:tcW w:w="1350" w:type="dxa"/>
            <w:tcBorders>
              <w:top w:val="nil"/>
              <w:left w:val="nil"/>
              <w:bottom w:val="single" w:sz="4" w:space="0" w:color="auto"/>
              <w:right w:val="single" w:sz="4" w:space="0" w:color="auto"/>
            </w:tcBorders>
            <w:shd w:val="clear" w:color="auto" w:fill="auto"/>
            <w:noWrap/>
            <w:vAlign w:val="center"/>
            <w:hideMark/>
          </w:tcPr>
          <w:p w14:paraId="606C449B" w14:textId="3497F4D6"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3490CE71"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(2, 4)</w:t>
            </w:r>
          </w:p>
        </w:tc>
        <w:tc>
          <w:tcPr>
            <w:tcW w:w="1350" w:type="dxa"/>
            <w:tcBorders>
              <w:top w:val="nil"/>
              <w:left w:val="nil"/>
              <w:bottom w:val="single" w:sz="4" w:space="0" w:color="auto"/>
              <w:right w:val="single" w:sz="4" w:space="0" w:color="auto"/>
            </w:tcBorders>
            <w:shd w:val="clear" w:color="auto" w:fill="auto"/>
            <w:noWrap/>
            <w:vAlign w:val="center"/>
            <w:hideMark/>
          </w:tcPr>
          <w:p w14:paraId="324CA09D" w14:textId="1A82E93F"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40BA7F87" w14:textId="5C80A631" w:rsidR="0049428C" w:rsidRPr="004B3167" w:rsidRDefault="0049428C" w:rsidP="0049428C">
            <w:pPr>
              <w:jc w:val="center"/>
              <w:rPr>
                <w:rFonts w:ascii="Times New Roman" w:eastAsia="Times New Roman" w:hAnsi="Times New Roman" w:cs="Times New Roman"/>
                <w:color w:val="000000"/>
                <w:sz w:val="24"/>
                <w:szCs w:val="24"/>
              </w:rPr>
            </w:pPr>
            <w:r w:rsidRPr="00B2594C">
              <w:rPr>
                <w:rFonts w:ascii="Times New Roman" w:eastAsia="Times New Roman" w:hAnsi="Times New Roman" w:cs="Times New Roman"/>
                <w:color w:val="000000"/>
                <w:sz w:val="24"/>
                <w:szCs w:val="24"/>
              </w:rPr>
              <w:t>746</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4DBB2560" w14:textId="1C048827"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1F95AAB8" w14:textId="00090DF8"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4BC31C53" w14:textId="3882ECC1"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172280EF" w14:textId="64F68163"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29B18F49"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3AA1B57"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Ecuador, 2012</w:t>
            </w:r>
          </w:p>
        </w:tc>
        <w:tc>
          <w:tcPr>
            <w:tcW w:w="1350" w:type="dxa"/>
            <w:tcBorders>
              <w:top w:val="nil"/>
              <w:left w:val="nil"/>
              <w:bottom w:val="single" w:sz="4" w:space="0" w:color="auto"/>
              <w:right w:val="single" w:sz="4" w:space="0" w:color="auto"/>
            </w:tcBorders>
            <w:shd w:val="clear" w:color="auto" w:fill="auto"/>
            <w:noWrap/>
            <w:vAlign w:val="center"/>
            <w:hideMark/>
          </w:tcPr>
          <w:p w14:paraId="3FE7B72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11 (9, 14)</w:t>
            </w:r>
          </w:p>
        </w:tc>
        <w:tc>
          <w:tcPr>
            <w:tcW w:w="1350" w:type="dxa"/>
            <w:tcBorders>
              <w:top w:val="nil"/>
              <w:left w:val="nil"/>
              <w:bottom w:val="single" w:sz="4" w:space="0" w:color="auto"/>
              <w:right w:val="single" w:sz="4" w:space="0" w:color="auto"/>
            </w:tcBorders>
            <w:shd w:val="clear" w:color="auto" w:fill="auto"/>
            <w:noWrap/>
            <w:vAlign w:val="center"/>
            <w:hideMark/>
          </w:tcPr>
          <w:p w14:paraId="376AA8F0"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28 (25, 31)</w:t>
            </w:r>
          </w:p>
        </w:tc>
        <w:tc>
          <w:tcPr>
            <w:tcW w:w="1350" w:type="dxa"/>
            <w:tcBorders>
              <w:top w:val="nil"/>
              <w:left w:val="nil"/>
              <w:bottom w:val="single" w:sz="4" w:space="0" w:color="auto"/>
              <w:right w:val="single" w:sz="4" w:space="0" w:color="auto"/>
            </w:tcBorders>
            <w:shd w:val="clear" w:color="auto" w:fill="auto"/>
            <w:noWrap/>
            <w:vAlign w:val="center"/>
            <w:hideMark/>
          </w:tcPr>
          <w:p w14:paraId="11DFE17F"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16 (13, 19)</w:t>
            </w:r>
          </w:p>
        </w:tc>
        <w:tc>
          <w:tcPr>
            <w:tcW w:w="1350" w:type="dxa"/>
            <w:tcBorders>
              <w:top w:val="nil"/>
              <w:left w:val="nil"/>
              <w:bottom w:val="single" w:sz="4" w:space="0" w:color="auto"/>
              <w:right w:val="single" w:sz="4" w:space="0" w:color="auto"/>
            </w:tcBorders>
            <w:shd w:val="clear" w:color="auto" w:fill="auto"/>
            <w:noWrap/>
            <w:vAlign w:val="center"/>
            <w:hideMark/>
          </w:tcPr>
          <w:p w14:paraId="54DA849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43 (40, 46)</w:t>
            </w:r>
          </w:p>
        </w:tc>
        <w:tc>
          <w:tcPr>
            <w:tcW w:w="1440" w:type="dxa"/>
            <w:tcBorders>
              <w:top w:val="nil"/>
              <w:left w:val="nil"/>
              <w:bottom w:val="single" w:sz="4" w:space="0" w:color="auto"/>
              <w:right w:val="single" w:sz="4" w:space="0" w:color="auto"/>
            </w:tcBorders>
            <w:shd w:val="clear" w:color="auto" w:fill="auto"/>
            <w:noWrap/>
            <w:vAlign w:val="center"/>
            <w:hideMark/>
          </w:tcPr>
          <w:p w14:paraId="5E1DDC03"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2017</w:t>
            </w:r>
          </w:p>
        </w:tc>
        <w:tc>
          <w:tcPr>
            <w:tcW w:w="1350" w:type="dxa"/>
            <w:tcBorders>
              <w:top w:val="nil"/>
              <w:left w:val="nil"/>
              <w:bottom w:val="single" w:sz="4" w:space="0" w:color="auto"/>
              <w:right w:val="single" w:sz="4" w:space="0" w:color="auto"/>
            </w:tcBorders>
            <w:shd w:val="clear" w:color="auto" w:fill="auto"/>
            <w:noWrap/>
            <w:vAlign w:val="center"/>
            <w:hideMark/>
          </w:tcPr>
          <w:p w14:paraId="3A8E57A6"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 (7, 10)</w:t>
            </w:r>
          </w:p>
        </w:tc>
        <w:tc>
          <w:tcPr>
            <w:tcW w:w="1440" w:type="dxa"/>
            <w:tcBorders>
              <w:top w:val="nil"/>
              <w:left w:val="nil"/>
              <w:bottom w:val="single" w:sz="4" w:space="0" w:color="auto"/>
              <w:right w:val="single" w:sz="4" w:space="0" w:color="auto"/>
            </w:tcBorders>
            <w:shd w:val="clear" w:color="auto" w:fill="auto"/>
            <w:noWrap/>
            <w:vAlign w:val="center"/>
            <w:hideMark/>
          </w:tcPr>
          <w:p w14:paraId="01C55F1D" w14:textId="68B73011"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0BDE8CEB" w14:textId="460D42C7"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73D0BB62" w14:textId="7BF31ED4"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123E1BD9"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BD2B56B"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Ethiopia, 2015</w:t>
            </w:r>
          </w:p>
        </w:tc>
        <w:tc>
          <w:tcPr>
            <w:tcW w:w="1350" w:type="dxa"/>
            <w:tcBorders>
              <w:top w:val="nil"/>
              <w:left w:val="nil"/>
              <w:bottom w:val="single" w:sz="4" w:space="0" w:color="auto"/>
              <w:right w:val="single" w:sz="4" w:space="0" w:color="auto"/>
            </w:tcBorders>
            <w:shd w:val="clear" w:color="auto" w:fill="auto"/>
            <w:noWrap/>
            <w:vAlign w:val="center"/>
          </w:tcPr>
          <w:p w14:paraId="7D8691CC"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17 (14, 20)</w:t>
            </w:r>
          </w:p>
        </w:tc>
        <w:tc>
          <w:tcPr>
            <w:tcW w:w="1350" w:type="dxa"/>
            <w:tcBorders>
              <w:top w:val="nil"/>
              <w:left w:val="nil"/>
              <w:bottom w:val="single" w:sz="4" w:space="0" w:color="auto"/>
              <w:right w:val="single" w:sz="4" w:space="0" w:color="auto"/>
            </w:tcBorders>
            <w:shd w:val="clear" w:color="auto" w:fill="auto"/>
            <w:noWrap/>
            <w:vAlign w:val="center"/>
          </w:tcPr>
          <w:p w14:paraId="2E944DB3"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21 (17, 25)</w:t>
            </w:r>
          </w:p>
        </w:tc>
        <w:tc>
          <w:tcPr>
            <w:tcW w:w="1350" w:type="dxa"/>
            <w:tcBorders>
              <w:top w:val="nil"/>
              <w:left w:val="nil"/>
              <w:bottom w:val="single" w:sz="4" w:space="0" w:color="auto"/>
              <w:right w:val="single" w:sz="4" w:space="0" w:color="auto"/>
            </w:tcBorders>
            <w:shd w:val="clear" w:color="auto" w:fill="auto"/>
            <w:noWrap/>
            <w:vAlign w:val="center"/>
          </w:tcPr>
          <w:p w14:paraId="0A7598FB"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11 (9, 14)</w:t>
            </w:r>
          </w:p>
        </w:tc>
        <w:tc>
          <w:tcPr>
            <w:tcW w:w="1350" w:type="dxa"/>
            <w:tcBorders>
              <w:top w:val="nil"/>
              <w:left w:val="nil"/>
              <w:bottom w:val="single" w:sz="4" w:space="0" w:color="auto"/>
              <w:right w:val="single" w:sz="4" w:space="0" w:color="auto"/>
            </w:tcBorders>
            <w:shd w:val="clear" w:color="auto" w:fill="auto"/>
            <w:noWrap/>
            <w:vAlign w:val="center"/>
          </w:tcPr>
          <w:p w14:paraId="5C7A9D90"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40 (36, 44)</w:t>
            </w:r>
          </w:p>
        </w:tc>
        <w:tc>
          <w:tcPr>
            <w:tcW w:w="1440" w:type="dxa"/>
            <w:tcBorders>
              <w:top w:val="nil"/>
              <w:left w:val="nil"/>
              <w:bottom w:val="single" w:sz="4" w:space="0" w:color="auto"/>
              <w:right w:val="single" w:sz="4" w:space="0" w:color="auto"/>
            </w:tcBorders>
            <w:shd w:val="clear" w:color="auto" w:fill="auto"/>
            <w:noWrap/>
            <w:vAlign w:val="center"/>
          </w:tcPr>
          <w:p w14:paraId="66FB88FB"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1116</w:t>
            </w:r>
          </w:p>
        </w:tc>
        <w:tc>
          <w:tcPr>
            <w:tcW w:w="1350" w:type="dxa"/>
            <w:tcBorders>
              <w:top w:val="nil"/>
              <w:left w:val="nil"/>
              <w:bottom w:val="single" w:sz="4" w:space="0" w:color="auto"/>
              <w:right w:val="single" w:sz="4" w:space="0" w:color="auto"/>
            </w:tcBorders>
            <w:shd w:val="clear" w:color="auto" w:fill="auto"/>
            <w:noWrap/>
            <w:vAlign w:val="center"/>
            <w:hideMark/>
          </w:tcPr>
          <w:p w14:paraId="5AC3060F" w14:textId="3927414A"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06CC577A" w14:textId="080EF473"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6844979E" w14:textId="56B57753"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2A79805C" w14:textId="593110E0"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4BA4A762"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3BEFFD0"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Ghana, 2017</w:t>
            </w:r>
          </w:p>
        </w:tc>
        <w:tc>
          <w:tcPr>
            <w:tcW w:w="1350" w:type="dxa"/>
            <w:tcBorders>
              <w:top w:val="nil"/>
              <w:left w:val="nil"/>
              <w:bottom w:val="single" w:sz="4" w:space="0" w:color="auto"/>
              <w:right w:val="single" w:sz="4" w:space="0" w:color="auto"/>
            </w:tcBorders>
            <w:shd w:val="clear" w:color="auto" w:fill="auto"/>
            <w:noWrap/>
            <w:vAlign w:val="center"/>
            <w:hideMark/>
          </w:tcPr>
          <w:p w14:paraId="0168C04F"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30 (26, 34)</w:t>
            </w:r>
          </w:p>
        </w:tc>
        <w:tc>
          <w:tcPr>
            <w:tcW w:w="1350" w:type="dxa"/>
            <w:tcBorders>
              <w:top w:val="nil"/>
              <w:left w:val="nil"/>
              <w:bottom w:val="single" w:sz="4" w:space="0" w:color="auto"/>
              <w:right w:val="single" w:sz="4" w:space="0" w:color="auto"/>
            </w:tcBorders>
            <w:shd w:val="clear" w:color="auto" w:fill="auto"/>
            <w:noWrap/>
            <w:vAlign w:val="center"/>
            <w:hideMark/>
          </w:tcPr>
          <w:p w14:paraId="2AA63FFD" w14:textId="15199D80"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46F1839C"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13 (11, 16)</w:t>
            </w:r>
          </w:p>
        </w:tc>
        <w:tc>
          <w:tcPr>
            <w:tcW w:w="1350" w:type="dxa"/>
            <w:tcBorders>
              <w:top w:val="nil"/>
              <w:left w:val="nil"/>
              <w:bottom w:val="single" w:sz="4" w:space="0" w:color="auto"/>
              <w:right w:val="single" w:sz="4" w:space="0" w:color="auto"/>
            </w:tcBorders>
            <w:shd w:val="clear" w:color="auto" w:fill="auto"/>
            <w:noWrap/>
            <w:vAlign w:val="center"/>
            <w:hideMark/>
          </w:tcPr>
          <w:p w14:paraId="3A52CD94" w14:textId="7511A264"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15A57717" w14:textId="2694C618" w:rsidR="0049428C" w:rsidRPr="004B3167" w:rsidRDefault="0049428C" w:rsidP="0049428C">
            <w:pPr>
              <w:jc w:val="center"/>
              <w:rPr>
                <w:rFonts w:ascii="Times New Roman" w:eastAsia="Times New Roman" w:hAnsi="Times New Roman" w:cs="Times New Roman"/>
                <w:color w:val="000000"/>
                <w:sz w:val="24"/>
                <w:szCs w:val="24"/>
              </w:rPr>
            </w:pPr>
            <w:r w:rsidRPr="002C4FBA">
              <w:rPr>
                <w:rFonts w:ascii="Times New Roman" w:eastAsia="Times New Roman" w:hAnsi="Times New Roman" w:cs="Times New Roman"/>
                <w:color w:val="000000"/>
                <w:sz w:val="24"/>
                <w:szCs w:val="24"/>
              </w:rPr>
              <w:t>1165</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07D67C69" w14:textId="23E74569"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4A6F6D75" w14:textId="0D38019A"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2FC70CE1" w14:textId="12048FD5"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0245D262" w14:textId="5590FBFF"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57F0963C"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6B633C6" w14:textId="51DCFE1C"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Guatemala, 2013</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16</w:t>
            </w:r>
          </w:p>
        </w:tc>
        <w:tc>
          <w:tcPr>
            <w:tcW w:w="1350" w:type="dxa"/>
            <w:tcBorders>
              <w:top w:val="nil"/>
              <w:left w:val="nil"/>
              <w:bottom w:val="single" w:sz="4" w:space="0" w:color="auto"/>
              <w:right w:val="single" w:sz="4" w:space="0" w:color="auto"/>
            </w:tcBorders>
            <w:shd w:val="clear" w:color="auto" w:fill="auto"/>
            <w:noWrap/>
            <w:vAlign w:val="center"/>
            <w:hideMark/>
          </w:tcPr>
          <w:p w14:paraId="16ECDCE4"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11 (9, 13)</w:t>
            </w:r>
          </w:p>
        </w:tc>
        <w:tc>
          <w:tcPr>
            <w:tcW w:w="1350" w:type="dxa"/>
            <w:tcBorders>
              <w:top w:val="nil"/>
              <w:left w:val="nil"/>
              <w:bottom w:val="single" w:sz="4" w:space="0" w:color="auto"/>
              <w:right w:val="single" w:sz="4" w:space="0" w:color="auto"/>
            </w:tcBorders>
            <w:shd w:val="clear" w:color="auto" w:fill="auto"/>
            <w:noWrap/>
            <w:vAlign w:val="center"/>
            <w:hideMark/>
          </w:tcPr>
          <w:p w14:paraId="17E2E5E1"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25 (18, 34)</w:t>
            </w:r>
          </w:p>
        </w:tc>
        <w:tc>
          <w:tcPr>
            <w:tcW w:w="1350" w:type="dxa"/>
            <w:tcBorders>
              <w:top w:val="nil"/>
              <w:left w:val="nil"/>
              <w:bottom w:val="single" w:sz="4" w:space="0" w:color="auto"/>
              <w:right w:val="single" w:sz="4" w:space="0" w:color="auto"/>
            </w:tcBorders>
            <w:shd w:val="clear" w:color="auto" w:fill="auto"/>
            <w:noWrap/>
            <w:vAlign w:val="center"/>
            <w:hideMark/>
          </w:tcPr>
          <w:p w14:paraId="7699B46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0 (0, 1)</w:t>
            </w:r>
          </w:p>
        </w:tc>
        <w:tc>
          <w:tcPr>
            <w:tcW w:w="1350" w:type="dxa"/>
            <w:tcBorders>
              <w:top w:val="nil"/>
              <w:left w:val="nil"/>
              <w:bottom w:val="single" w:sz="4" w:space="0" w:color="auto"/>
              <w:right w:val="single" w:sz="4" w:space="0" w:color="auto"/>
            </w:tcBorders>
            <w:shd w:val="clear" w:color="auto" w:fill="auto"/>
            <w:noWrap/>
            <w:vAlign w:val="center"/>
            <w:hideMark/>
          </w:tcPr>
          <w:p w14:paraId="01AB31E2"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31 (22, 40)</w:t>
            </w:r>
          </w:p>
        </w:tc>
        <w:tc>
          <w:tcPr>
            <w:tcW w:w="1440" w:type="dxa"/>
            <w:tcBorders>
              <w:top w:val="nil"/>
              <w:left w:val="nil"/>
              <w:bottom w:val="single" w:sz="4" w:space="0" w:color="auto"/>
              <w:right w:val="single" w:sz="4" w:space="0" w:color="auto"/>
            </w:tcBorders>
            <w:shd w:val="clear" w:color="auto" w:fill="auto"/>
            <w:noWrap/>
            <w:vAlign w:val="center"/>
            <w:hideMark/>
          </w:tcPr>
          <w:p w14:paraId="1FA569D2"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144</w:t>
            </w:r>
          </w:p>
        </w:tc>
        <w:tc>
          <w:tcPr>
            <w:tcW w:w="1350" w:type="dxa"/>
            <w:tcBorders>
              <w:top w:val="nil"/>
              <w:left w:val="nil"/>
              <w:bottom w:val="single" w:sz="4" w:space="0" w:color="auto"/>
              <w:right w:val="single" w:sz="4" w:space="0" w:color="auto"/>
            </w:tcBorders>
            <w:shd w:val="clear" w:color="auto" w:fill="auto"/>
            <w:noWrap/>
            <w:vAlign w:val="center"/>
            <w:hideMark/>
          </w:tcPr>
          <w:p w14:paraId="27D9520B" w14:textId="7F36CD47"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572D35AE"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20 (15, 27)</w:t>
            </w:r>
          </w:p>
        </w:tc>
        <w:tc>
          <w:tcPr>
            <w:tcW w:w="1350" w:type="dxa"/>
            <w:tcBorders>
              <w:top w:val="nil"/>
              <w:left w:val="nil"/>
              <w:bottom w:val="single" w:sz="4" w:space="0" w:color="auto"/>
              <w:right w:val="single" w:sz="4" w:space="0" w:color="auto"/>
            </w:tcBorders>
            <w:shd w:val="clear" w:color="auto" w:fill="auto"/>
            <w:noWrap/>
            <w:vAlign w:val="center"/>
            <w:hideMark/>
          </w:tcPr>
          <w:p w14:paraId="7C712B33" w14:textId="17115C4C"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1C933F50" w14:textId="65697144"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2EB80B17"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3C06226"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India, 2016</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18</w:t>
            </w:r>
          </w:p>
        </w:tc>
        <w:tc>
          <w:tcPr>
            <w:tcW w:w="1350" w:type="dxa"/>
            <w:tcBorders>
              <w:top w:val="nil"/>
              <w:left w:val="nil"/>
              <w:bottom w:val="single" w:sz="4" w:space="0" w:color="auto"/>
              <w:right w:val="single" w:sz="4" w:space="0" w:color="auto"/>
            </w:tcBorders>
            <w:shd w:val="clear" w:color="auto" w:fill="auto"/>
            <w:noWrap/>
            <w:vAlign w:val="center"/>
            <w:hideMark/>
          </w:tcPr>
          <w:p w14:paraId="46822A4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30 (28, 33)</w:t>
            </w:r>
          </w:p>
        </w:tc>
        <w:tc>
          <w:tcPr>
            <w:tcW w:w="1350" w:type="dxa"/>
            <w:tcBorders>
              <w:top w:val="nil"/>
              <w:left w:val="nil"/>
              <w:bottom w:val="single" w:sz="4" w:space="0" w:color="auto"/>
              <w:right w:val="single" w:sz="4" w:space="0" w:color="auto"/>
            </w:tcBorders>
            <w:shd w:val="clear" w:color="auto" w:fill="auto"/>
            <w:noWrap/>
            <w:vAlign w:val="center"/>
            <w:hideMark/>
          </w:tcPr>
          <w:p w14:paraId="0A9D3499"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19 (17, 21)</w:t>
            </w:r>
          </w:p>
        </w:tc>
        <w:tc>
          <w:tcPr>
            <w:tcW w:w="1350" w:type="dxa"/>
            <w:tcBorders>
              <w:top w:val="nil"/>
              <w:left w:val="nil"/>
              <w:bottom w:val="single" w:sz="4" w:space="0" w:color="auto"/>
              <w:right w:val="single" w:sz="4" w:space="0" w:color="auto"/>
            </w:tcBorders>
            <w:shd w:val="clear" w:color="auto" w:fill="auto"/>
            <w:noWrap/>
            <w:vAlign w:val="center"/>
            <w:hideMark/>
          </w:tcPr>
          <w:p w14:paraId="4BF791A5"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18 (16, 20)</w:t>
            </w:r>
          </w:p>
        </w:tc>
        <w:tc>
          <w:tcPr>
            <w:tcW w:w="1350" w:type="dxa"/>
            <w:tcBorders>
              <w:top w:val="nil"/>
              <w:left w:val="nil"/>
              <w:bottom w:val="single" w:sz="4" w:space="0" w:color="auto"/>
              <w:right w:val="single" w:sz="4" w:space="0" w:color="auto"/>
            </w:tcBorders>
            <w:shd w:val="clear" w:color="auto" w:fill="auto"/>
            <w:noWrap/>
            <w:vAlign w:val="center"/>
            <w:hideMark/>
          </w:tcPr>
          <w:p w14:paraId="739B4C64"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53 (50, 55)</w:t>
            </w:r>
          </w:p>
        </w:tc>
        <w:tc>
          <w:tcPr>
            <w:tcW w:w="1440" w:type="dxa"/>
            <w:tcBorders>
              <w:top w:val="nil"/>
              <w:left w:val="nil"/>
              <w:bottom w:val="single" w:sz="4" w:space="0" w:color="auto"/>
              <w:right w:val="single" w:sz="4" w:space="0" w:color="auto"/>
            </w:tcBorders>
            <w:shd w:val="clear" w:color="auto" w:fill="auto"/>
            <w:noWrap/>
            <w:vAlign w:val="center"/>
            <w:hideMark/>
          </w:tcPr>
          <w:p w14:paraId="27CE9649"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6514</w:t>
            </w:r>
          </w:p>
        </w:tc>
        <w:tc>
          <w:tcPr>
            <w:tcW w:w="1350" w:type="dxa"/>
            <w:tcBorders>
              <w:top w:val="nil"/>
              <w:left w:val="nil"/>
              <w:bottom w:val="single" w:sz="4" w:space="0" w:color="auto"/>
              <w:right w:val="single" w:sz="4" w:space="0" w:color="auto"/>
            </w:tcBorders>
            <w:shd w:val="clear" w:color="auto" w:fill="auto"/>
            <w:noWrap/>
            <w:vAlign w:val="center"/>
            <w:hideMark/>
          </w:tcPr>
          <w:p w14:paraId="3B682F09"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52 (49, 54)</w:t>
            </w:r>
          </w:p>
        </w:tc>
        <w:tc>
          <w:tcPr>
            <w:tcW w:w="1440" w:type="dxa"/>
            <w:tcBorders>
              <w:top w:val="nil"/>
              <w:left w:val="nil"/>
              <w:bottom w:val="single" w:sz="4" w:space="0" w:color="auto"/>
              <w:right w:val="single" w:sz="4" w:space="0" w:color="auto"/>
            </w:tcBorders>
            <w:shd w:val="clear" w:color="auto" w:fill="auto"/>
            <w:noWrap/>
            <w:vAlign w:val="center"/>
            <w:hideMark/>
          </w:tcPr>
          <w:p w14:paraId="26E12ECF"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14 (12, 16)</w:t>
            </w:r>
          </w:p>
        </w:tc>
        <w:tc>
          <w:tcPr>
            <w:tcW w:w="1350" w:type="dxa"/>
            <w:tcBorders>
              <w:top w:val="nil"/>
              <w:left w:val="nil"/>
              <w:bottom w:val="single" w:sz="4" w:space="0" w:color="auto"/>
              <w:right w:val="single" w:sz="4" w:space="0" w:color="auto"/>
            </w:tcBorders>
            <w:shd w:val="clear" w:color="auto" w:fill="auto"/>
            <w:noWrap/>
            <w:vAlign w:val="center"/>
            <w:hideMark/>
          </w:tcPr>
          <w:p w14:paraId="27CD7A11"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 (7, 10)</w:t>
            </w:r>
          </w:p>
        </w:tc>
        <w:tc>
          <w:tcPr>
            <w:tcW w:w="1350" w:type="dxa"/>
            <w:tcBorders>
              <w:top w:val="nil"/>
              <w:left w:val="nil"/>
              <w:bottom w:val="single" w:sz="4" w:space="0" w:color="auto"/>
              <w:right w:val="single" w:sz="4" w:space="0" w:color="auto"/>
            </w:tcBorders>
            <w:shd w:val="clear" w:color="auto" w:fill="auto"/>
            <w:noWrap/>
            <w:vAlign w:val="center"/>
            <w:hideMark/>
          </w:tcPr>
          <w:p w14:paraId="10D0A0DD"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80 (77, 83)</w:t>
            </w:r>
          </w:p>
        </w:tc>
      </w:tr>
      <w:tr w:rsidR="0049428C" w:rsidRPr="004B3167" w14:paraId="5005EAC5"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58E2BCC"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Liberia, 2011</w:t>
            </w:r>
          </w:p>
        </w:tc>
        <w:tc>
          <w:tcPr>
            <w:tcW w:w="1350" w:type="dxa"/>
            <w:tcBorders>
              <w:top w:val="nil"/>
              <w:left w:val="nil"/>
              <w:bottom w:val="single" w:sz="4" w:space="0" w:color="auto"/>
              <w:right w:val="single" w:sz="4" w:space="0" w:color="auto"/>
            </w:tcBorders>
            <w:shd w:val="clear" w:color="auto" w:fill="auto"/>
            <w:noWrap/>
            <w:vAlign w:val="center"/>
            <w:hideMark/>
          </w:tcPr>
          <w:p w14:paraId="1A332507"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51 (47, 55)</w:t>
            </w:r>
          </w:p>
        </w:tc>
        <w:tc>
          <w:tcPr>
            <w:tcW w:w="1350" w:type="dxa"/>
            <w:tcBorders>
              <w:top w:val="nil"/>
              <w:left w:val="nil"/>
              <w:bottom w:val="single" w:sz="4" w:space="0" w:color="auto"/>
              <w:right w:val="single" w:sz="4" w:space="0" w:color="auto"/>
            </w:tcBorders>
            <w:shd w:val="clear" w:color="auto" w:fill="auto"/>
            <w:noWrap/>
            <w:vAlign w:val="center"/>
            <w:hideMark/>
          </w:tcPr>
          <w:p w14:paraId="372030F2" w14:textId="23A1A41C"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69027E9E"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 (4, 7)</w:t>
            </w:r>
          </w:p>
        </w:tc>
        <w:tc>
          <w:tcPr>
            <w:tcW w:w="1350" w:type="dxa"/>
            <w:tcBorders>
              <w:top w:val="nil"/>
              <w:left w:val="nil"/>
              <w:bottom w:val="single" w:sz="4" w:space="0" w:color="auto"/>
              <w:right w:val="single" w:sz="4" w:space="0" w:color="auto"/>
            </w:tcBorders>
            <w:shd w:val="clear" w:color="auto" w:fill="auto"/>
            <w:noWrap/>
            <w:vAlign w:val="center"/>
            <w:hideMark/>
          </w:tcPr>
          <w:p w14:paraId="1FC050E9" w14:textId="33151863"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2FECC87F" w14:textId="17A8E9D3"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r w:rsidRPr="0054675C">
              <w:rPr>
                <w:rFonts w:ascii="Times New Roman" w:eastAsia="Times New Roman" w:hAnsi="Times New Roman" w:cs="Times New Roman"/>
                <w:color w:val="000000"/>
                <w:sz w:val="24"/>
                <w:szCs w:val="24"/>
              </w:rPr>
              <w:t>1434</w:t>
            </w:r>
          </w:p>
        </w:tc>
        <w:tc>
          <w:tcPr>
            <w:tcW w:w="1350" w:type="dxa"/>
            <w:tcBorders>
              <w:top w:val="nil"/>
              <w:left w:val="nil"/>
              <w:bottom w:val="single" w:sz="4" w:space="0" w:color="auto"/>
              <w:right w:val="single" w:sz="4" w:space="0" w:color="auto"/>
            </w:tcBorders>
            <w:shd w:val="clear" w:color="auto" w:fill="auto"/>
            <w:noWrap/>
            <w:vAlign w:val="center"/>
            <w:hideMark/>
          </w:tcPr>
          <w:p w14:paraId="29D47F6A" w14:textId="65C6C105"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5828BFBA" w14:textId="7C3CAA17"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2E502195" w14:textId="160D60EC"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532510E4" w14:textId="42DBCD8D"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0295D972"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E0C6FA5"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lastRenderedPageBreak/>
              <w:t>Malawi, 2015</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16</w:t>
            </w:r>
          </w:p>
        </w:tc>
        <w:tc>
          <w:tcPr>
            <w:tcW w:w="1350" w:type="dxa"/>
            <w:tcBorders>
              <w:top w:val="nil"/>
              <w:left w:val="nil"/>
              <w:bottom w:val="single" w:sz="4" w:space="0" w:color="auto"/>
              <w:right w:val="single" w:sz="4" w:space="0" w:color="auto"/>
            </w:tcBorders>
            <w:shd w:val="clear" w:color="auto" w:fill="auto"/>
            <w:noWrap/>
            <w:vAlign w:val="center"/>
            <w:hideMark/>
          </w:tcPr>
          <w:p w14:paraId="0E23CBE2"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22 (17, 28)</w:t>
            </w:r>
          </w:p>
        </w:tc>
        <w:tc>
          <w:tcPr>
            <w:tcW w:w="1350" w:type="dxa"/>
            <w:tcBorders>
              <w:top w:val="nil"/>
              <w:left w:val="nil"/>
              <w:bottom w:val="single" w:sz="4" w:space="0" w:color="auto"/>
              <w:right w:val="single" w:sz="4" w:space="0" w:color="auto"/>
            </w:tcBorders>
            <w:shd w:val="clear" w:color="auto" w:fill="auto"/>
            <w:noWrap/>
            <w:vAlign w:val="center"/>
            <w:hideMark/>
          </w:tcPr>
          <w:p w14:paraId="0E5166C2"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61 (55, 67)</w:t>
            </w:r>
          </w:p>
        </w:tc>
        <w:tc>
          <w:tcPr>
            <w:tcW w:w="1350" w:type="dxa"/>
            <w:tcBorders>
              <w:top w:val="nil"/>
              <w:left w:val="nil"/>
              <w:bottom w:val="single" w:sz="4" w:space="0" w:color="auto"/>
              <w:right w:val="single" w:sz="4" w:space="0" w:color="auto"/>
            </w:tcBorders>
            <w:shd w:val="clear" w:color="auto" w:fill="auto"/>
            <w:noWrap/>
            <w:vAlign w:val="center"/>
            <w:hideMark/>
          </w:tcPr>
          <w:p w14:paraId="63DFE928"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 (6, 11)</w:t>
            </w:r>
          </w:p>
        </w:tc>
        <w:tc>
          <w:tcPr>
            <w:tcW w:w="1350" w:type="dxa"/>
            <w:tcBorders>
              <w:top w:val="nil"/>
              <w:left w:val="nil"/>
              <w:bottom w:val="single" w:sz="4" w:space="0" w:color="auto"/>
              <w:right w:val="single" w:sz="4" w:space="0" w:color="auto"/>
            </w:tcBorders>
            <w:shd w:val="clear" w:color="auto" w:fill="auto"/>
            <w:noWrap/>
            <w:vAlign w:val="center"/>
            <w:hideMark/>
          </w:tcPr>
          <w:p w14:paraId="200084B7"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74 (69, 78)</w:t>
            </w:r>
          </w:p>
        </w:tc>
        <w:tc>
          <w:tcPr>
            <w:tcW w:w="1440" w:type="dxa"/>
            <w:tcBorders>
              <w:top w:val="nil"/>
              <w:left w:val="nil"/>
              <w:bottom w:val="single" w:sz="4" w:space="0" w:color="auto"/>
              <w:right w:val="single" w:sz="4" w:space="0" w:color="auto"/>
            </w:tcBorders>
            <w:shd w:val="clear" w:color="auto" w:fill="auto"/>
            <w:noWrap/>
            <w:vAlign w:val="center"/>
            <w:hideMark/>
          </w:tcPr>
          <w:p w14:paraId="4EF02A82"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1080</w:t>
            </w:r>
          </w:p>
        </w:tc>
        <w:tc>
          <w:tcPr>
            <w:tcW w:w="1350" w:type="dxa"/>
            <w:tcBorders>
              <w:top w:val="nil"/>
              <w:left w:val="nil"/>
              <w:bottom w:val="single" w:sz="4" w:space="0" w:color="auto"/>
              <w:right w:val="single" w:sz="4" w:space="0" w:color="auto"/>
            </w:tcBorders>
            <w:shd w:val="clear" w:color="auto" w:fill="auto"/>
            <w:noWrap/>
            <w:vAlign w:val="center"/>
            <w:hideMark/>
          </w:tcPr>
          <w:p w14:paraId="6E9BA8BF" w14:textId="5B4C90F2"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64A59A53" w14:textId="04FD8DD3"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401E5491" w14:textId="08D7C3C1"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669F2686" w14:textId="27F71858"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39BC0F54"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9C39A11"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Mexico, 2006</w:t>
            </w:r>
          </w:p>
        </w:tc>
        <w:tc>
          <w:tcPr>
            <w:tcW w:w="1350" w:type="dxa"/>
            <w:tcBorders>
              <w:top w:val="nil"/>
              <w:left w:val="nil"/>
              <w:bottom w:val="single" w:sz="4" w:space="0" w:color="auto"/>
              <w:right w:val="single" w:sz="4" w:space="0" w:color="auto"/>
            </w:tcBorders>
            <w:shd w:val="clear" w:color="auto" w:fill="auto"/>
            <w:noWrap/>
            <w:vAlign w:val="center"/>
            <w:hideMark/>
          </w:tcPr>
          <w:p w14:paraId="6FFA6C18"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35 (32, 39)</w:t>
            </w:r>
          </w:p>
        </w:tc>
        <w:tc>
          <w:tcPr>
            <w:tcW w:w="1350" w:type="dxa"/>
            <w:tcBorders>
              <w:top w:val="nil"/>
              <w:left w:val="nil"/>
              <w:bottom w:val="single" w:sz="4" w:space="0" w:color="auto"/>
              <w:right w:val="single" w:sz="4" w:space="0" w:color="auto"/>
            </w:tcBorders>
            <w:shd w:val="clear" w:color="auto" w:fill="auto"/>
            <w:noWrap/>
            <w:vAlign w:val="center"/>
            <w:hideMark/>
          </w:tcPr>
          <w:p w14:paraId="7511D777"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27 (24, 32)</w:t>
            </w:r>
          </w:p>
        </w:tc>
        <w:tc>
          <w:tcPr>
            <w:tcW w:w="1350" w:type="dxa"/>
            <w:tcBorders>
              <w:top w:val="nil"/>
              <w:left w:val="nil"/>
              <w:bottom w:val="single" w:sz="4" w:space="0" w:color="auto"/>
              <w:right w:val="single" w:sz="4" w:space="0" w:color="auto"/>
            </w:tcBorders>
            <w:shd w:val="clear" w:color="auto" w:fill="auto"/>
            <w:noWrap/>
            <w:vAlign w:val="center"/>
            <w:hideMark/>
          </w:tcPr>
          <w:p w14:paraId="4883EF15" w14:textId="32F49CF0"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0877E667" w14:textId="00BDB5A5"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7ACEB4DD" w14:textId="604D02FA"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r w:rsidRPr="006E2FA9">
              <w:rPr>
                <w:rFonts w:ascii="Times New Roman" w:eastAsia="Times New Roman" w:hAnsi="Times New Roman" w:cs="Times New Roman"/>
                <w:color w:val="000000"/>
                <w:sz w:val="24"/>
                <w:szCs w:val="24"/>
              </w:rPr>
              <w:t>1253</w:t>
            </w:r>
          </w:p>
        </w:tc>
        <w:tc>
          <w:tcPr>
            <w:tcW w:w="1350" w:type="dxa"/>
            <w:tcBorders>
              <w:top w:val="nil"/>
              <w:left w:val="nil"/>
              <w:bottom w:val="single" w:sz="4" w:space="0" w:color="auto"/>
              <w:right w:val="single" w:sz="4" w:space="0" w:color="auto"/>
            </w:tcBorders>
            <w:shd w:val="clear" w:color="auto" w:fill="auto"/>
            <w:noWrap/>
            <w:vAlign w:val="center"/>
            <w:hideMark/>
          </w:tcPr>
          <w:p w14:paraId="66FD6C02" w14:textId="4DE9532B"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23256DF5"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(1, 4)</w:t>
            </w:r>
          </w:p>
        </w:tc>
        <w:tc>
          <w:tcPr>
            <w:tcW w:w="1350" w:type="dxa"/>
            <w:tcBorders>
              <w:top w:val="nil"/>
              <w:left w:val="nil"/>
              <w:bottom w:val="single" w:sz="4" w:space="0" w:color="auto"/>
              <w:right w:val="single" w:sz="4" w:space="0" w:color="auto"/>
            </w:tcBorders>
            <w:shd w:val="clear" w:color="auto" w:fill="auto"/>
            <w:noWrap/>
            <w:vAlign w:val="center"/>
            <w:hideMark/>
          </w:tcPr>
          <w:p w14:paraId="6DF812B0" w14:textId="1B7DABD0"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60F1DD1A" w14:textId="0DEC3DBD"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163B2287"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EA4DE08"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Mexico, 2012</w:t>
            </w:r>
          </w:p>
        </w:tc>
        <w:tc>
          <w:tcPr>
            <w:tcW w:w="1350" w:type="dxa"/>
            <w:tcBorders>
              <w:top w:val="nil"/>
              <w:left w:val="nil"/>
              <w:bottom w:val="single" w:sz="4" w:space="0" w:color="auto"/>
              <w:right w:val="single" w:sz="4" w:space="0" w:color="auto"/>
            </w:tcBorders>
            <w:shd w:val="clear" w:color="auto" w:fill="auto"/>
            <w:noWrap/>
            <w:vAlign w:val="center"/>
            <w:hideMark/>
          </w:tcPr>
          <w:p w14:paraId="15E6D4E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18 (16, 21)</w:t>
            </w:r>
          </w:p>
        </w:tc>
        <w:tc>
          <w:tcPr>
            <w:tcW w:w="1350" w:type="dxa"/>
            <w:tcBorders>
              <w:top w:val="nil"/>
              <w:left w:val="nil"/>
              <w:bottom w:val="single" w:sz="4" w:space="0" w:color="auto"/>
              <w:right w:val="single" w:sz="4" w:space="0" w:color="auto"/>
            </w:tcBorders>
            <w:shd w:val="clear" w:color="auto" w:fill="auto"/>
            <w:noWrap/>
            <w:vAlign w:val="center"/>
            <w:hideMark/>
          </w:tcPr>
          <w:p w14:paraId="5382E029" w14:textId="41204081"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5EDE65D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 (6, 9)</w:t>
            </w:r>
          </w:p>
        </w:tc>
        <w:tc>
          <w:tcPr>
            <w:tcW w:w="1350" w:type="dxa"/>
            <w:tcBorders>
              <w:top w:val="nil"/>
              <w:left w:val="nil"/>
              <w:bottom w:val="single" w:sz="4" w:space="0" w:color="auto"/>
              <w:right w:val="single" w:sz="4" w:space="0" w:color="auto"/>
            </w:tcBorders>
            <w:shd w:val="clear" w:color="auto" w:fill="auto"/>
            <w:noWrap/>
            <w:vAlign w:val="center"/>
            <w:hideMark/>
          </w:tcPr>
          <w:p w14:paraId="14F637B0" w14:textId="3E8898DE"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44C30619" w14:textId="000B1931"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r w:rsidRPr="006E2FA9">
              <w:rPr>
                <w:rFonts w:ascii="Times New Roman" w:eastAsia="Times New Roman" w:hAnsi="Times New Roman" w:cs="Times New Roman"/>
                <w:color w:val="000000"/>
                <w:sz w:val="24"/>
                <w:szCs w:val="24"/>
              </w:rPr>
              <w:t>2595</w:t>
            </w:r>
          </w:p>
        </w:tc>
        <w:tc>
          <w:tcPr>
            <w:tcW w:w="1350" w:type="dxa"/>
            <w:tcBorders>
              <w:top w:val="nil"/>
              <w:left w:val="nil"/>
              <w:bottom w:val="single" w:sz="4" w:space="0" w:color="auto"/>
              <w:right w:val="single" w:sz="4" w:space="0" w:color="auto"/>
            </w:tcBorders>
            <w:shd w:val="clear" w:color="auto" w:fill="auto"/>
            <w:noWrap/>
            <w:vAlign w:val="center"/>
            <w:hideMark/>
          </w:tcPr>
          <w:p w14:paraId="08CDB88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(0, 1)</w:t>
            </w:r>
          </w:p>
        </w:tc>
        <w:tc>
          <w:tcPr>
            <w:tcW w:w="1440" w:type="dxa"/>
            <w:tcBorders>
              <w:top w:val="nil"/>
              <w:left w:val="nil"/>
              <w:bottom w:val="single" w:sz="4" w:space="0" w:color="auto"/>
              <w:right w:val="single" w:sz="4" w:space="0" w:color="auto"/>
            </w:tcBorders>
            <w:shd w:val="clear" w:color="auto" w:fill="auto"/>
            <w:noWrap/>
            <w:vAlign w:val="center"/>
            <w:hideMark/>
          </w:tcPr>
          <w:p w14:paraId="572D363C"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0 (0, 1)</w:t>
            </w:r>
          </w:p>
        </w:tc>
        <w:tc>
          <w:tcPr>
            <w:tcW w:w="1350" w:type="dxa"/>
            <w:tcBorders>
              <w:top w:val="nil"/>
              <w:left w:val="nil"/>
              <w:bottom w:val="single" w:sz="4" w:space="0" w:color="auto"/>
              <w:right w:val="single" w:sz="4" w:space="0" w:color="auto"/>
            </w:tcBorders>
            <w:shd w:val="clear" w:color="auto" w:fill="auto"/>
            <w:noWrap/>
            <w:vAlign w:val="center"/>
            <w:hideMark/>
          </w:tcPr>
          <w:p w14:paraId="7C868D29" w14:textId="1062FF3B"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50E25747" w14:textId="47C4EB61"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1BD0CB2F"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5A83F73"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Mexico, 2018</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19</w:t>
            </w:r>
          </w:p>
        </w:tc>
        <w:tc>
          <w:tcPr>
            <w:tcW w:w="1350" w:type="dxa"/>
            <w:tcBorders>
              <w:top w:val="nil"/>
              <w:left w:val="nil"/>
              <w:bottom w:val="single" w:sz="4" w:space="0" w:color="auto"/>
              <w:right w:val="single" w:sz="4" w:space="0" w:color="auto"/>
            </w:tcBorders>
            <w:shd w:val="clear" w:color="auto" w:fill="auto"/>
            <w:noWrap/>
            <w:vAlign w:val="center"/>
            <w:hideMark/>
          </w:tcPr>
          <w:p w14:paraId="529717A3"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17 (13, 20)</w:t>
            </w:r>
          </w:p>
        </w:tc>
        <w:tc>
          <w:tcPr>
            <w:tcW w:w="1350" w:type="dxa"/>
            <w:tcBorders>
              <w:top w:val="nil"/>
              <w:left w:val="nil"/>
              <w:bottom w:val="single" w:sz="4" w:space="0" w:color="auto"/>
              <w:right w:val="single" w:sz="4" w:space="0" w:color="auto"/>
            </w:tcBorders>
            <w:shd w:val="clear" w:color="auto" w:fill="auto"/>
            <w:noWrap/>
            <w:vAlign w:val="center"/>
            <w:hideMark/>
          </w:tcPr>
          <w:p w14:paraId="0972A19C"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13 (10, 17)</w:t>
            </w:r>
          </w:p>
        </w:tc>
        <w:tc>
          <w:tcPr>
            <w:tcW w:w="1350" w:type="dxa"/>
            <w:tcBorders>
              <w:top w:val="nil"/>
              <w:left w:val="nil"/>
              <w:bottom w:val="single" w:sz="4" w:space="0" w:color="auto"/>
              <w:right w:val="single" w:sz="4" w:space="0" w:color="auto"/>
            </w:tcBorders>
            <w:shd w:val="clear" w:color="auto" w:fill="auto"/>
            <w:noWrap/>
            <w:vAlign w:val="center"/>
            <w:hideMark/>
          </w:tcPr>
          <w:p w14:paraId="0DAE858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 (1, 4)</w:t>
            </w:r>
          </w:p>
        </w:tc>
        <w:tc>
          <w:tcPr>
            <w:tcW w:w="1350" w:type="dxa"/>
            <w:tcBorders>
              <w:top w:val="nil"/>
              <w:left w:val="nil"/>
              <w:bottom w:val="single" w:sz="4" w:space="0" w:color="auto"/>
              <w:right w:val="single" w:sz="4" w:space="0" w:color="auto"/>
            </w:tcBorders>
            <w:shd w:val="clear" w:color="auto" w:fill="auto"/>
            <w:noWrap/>
            <w:vAlign w:val="center"/>
            <w:hideMark/>
          </w:tcPr>
          <w:p w14:paraId="7B45A485"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28 (24, 33)</w:t>
            </w:r>
          </w:p>
        </w:tc>
        <w:tc>
          <w:tcPr>
            <w:tcW w:w="1440" w:type="dxa"/>
            <w:tcBorders>
              <w:top w:val="nil"/>
              <w:left w:val="nil"/>
              <w:bottom w:val="single" w:sz="4" w:space="0" w:color="auto"/>
              <w:right w:val="single" w:sz="4" w:space="0" w:color="auto"/>
            </w:tcBorders>
            <w:shd w:val="clear" w:color="auto" w:fill="auto"/>
            <w:noWrap/>
            <w:vAlign w:val="center"/>
            <w:hideMark/>
          </w:tcPr>
          <w:p w14:paraId="39C574A8"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965</w:t>
            </w:r>
          </w:p>
        </w:tc>
        <w:tc>
          <w:tcPr>
            <w:tcW w:w="1350" w:type="dxa"/>
            <w:tcBorders>
              <w:top w:val="nil"/>
              <w:left w:val="nil"/>
              <w:bottom w:val="single" w:sz="4" w:space="0" w:color="auto"/>
              <w:right w:val="single" w:sz="4" w:space="0" w:color="auto"/>
            </w:tcBorders>
            <w:shd w:val="clear" w:color="auto" w:fill="auto"/>
            <w:noWrap/>
            <w:vAlign w:val="center"/>
            <w:hideMark/>
          </w:tcPr>
          <w:p w14:paraId="67193210" w14:textId="08636E0F"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4CA27245"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(1, 2)</w:t>
            </w:r>
          </w:p>
        </w:tc>
        <w:tc>
          <w:tcPr>
            <w:tcW w:w="1350" w:type="dxa"/>
            <w:tcBorders>
              <w:top w:val="nil"/>
              <w:left w:val="nil"/>
              <w:bottom w:val="single" w:sz="4" w:space="0" w:color="auto"/>
              <w:right w:val="single" w:sz="4" w:space="0" w:color="auto"/>
            </w:tcBorders>
            <w:shd w:val="clear" w:color="auto" w:fill="auto"/>
            <w:noWrap/>
            <w:vAlign w:val="center"/>
            <w:hideMark/>
          </w:tcPr>
          <w:p w14:paraId="0F068E78"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 (6, 11)</w:t>
            </w:r>
          </w:p>
        </w:tc>
        <w:tc>
          <w:tcPr>
            <w:tcW w:w="1350" w:type="dxa"/>
            <w:tcBorders>
              <w:top w:val="nil"/>
              <w:left w:val="nil"/>
              <w:bottom w:val="single" w:sz="4" w:space="0" w:color="auto"/>
              <w:right w:val="single" w:sz="4" w:space="0" w:color="auto"/>
            </w:tcBorders>
            <w:shd w:val="clear" w:color="auto" w:fill="auto"/>
            <w:noWrap/>
            <w:vAlign w:val="center"/>
            <w:hideMark/>
          </w:tcPr>
          <w:p w14:paraId="09945D6D" w14:textId="19E2F6CE"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3AB52FE9"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40F8079"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Nepal, 2016</w:t>
            </w:r>
          </w:p>
        </w:tc>
        <w:tc>
          <w:tcPr>
            <w:tcW w:w="1350" w:type="dxa"/>
            <w:tcBorders>
              <w:top w:val="nil"/>
              <w:left w:val="nil"/>
              <w:bottom w:val="single" w:sz="4" w:space="0" w:color="auto"/>
              <w:right w:val="single" w:sz="4" w:space="0" w:color="auto"/>
            </w:tcBorders>
            <w:shd w:val="clear" w:color="auto" w:fill="auto"/>
            <w:noWrap/>
            <w:vAlign w:val="center"/>
            <w:hideMark/>
          </w:tcPr>
          <w:p w14:paraId="51C076D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27 (24, 30)</w:t>
            </w:r>
          </w:p>
        </w:tc>
        <w:tc>
          <w:tcPr>
            <w:tcW w:w="1350" w:type="dxa"/>
            <w:tcBorders>
              <w:top w:val="nil"/>
              <w:left w:val="nil"/>
              <w:bottom w:val="single" w:sz="4" w:space="0" w:color="auto"/>
              <w:right w:val="single" w:sz="4" w:space="0" w:color="auto"/>
            </w:tcBorders>
            <w:shd w:val="clear" w:color="auto" w:fill="auto"/>
            <w:noWrap/>
            <w:vAlign w:val="center"/>
            <w:hideMark/>
          </w:tcPr>
          <w:p w14:paraId="5F9C5B51"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22 (19, 25)</w:t>
            </w:r>
          </w:p>
        </w:tc>
        <w:tc>
          <w:tcPr>
            <w:tcW w:w="1350" w:type="dxa"/>
            <w:tcBorders>
              <w:top w:val="nil"/>
              <w:left w:val="nil"/>
              <w:bottom w:val="single" w:sz="4" w:space="0" w:color="auto"/>
              <w:right w:val="single" w:sz="4" w:space="0" w:color="auto"/>
            </w:tcBorders>
            <w:shd w:val="clear" w:color="auto" w:fill="auto"/>
            <w:noWrap/>
            <w:vAlign w:val="center"/>
            <w:hideMark/>
          </w:tcPr>
          <w:p w14:paraId="0C680F44"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(2, 4)</w:t>
            </w:r>
          </w:p>
        </w:tc>
        <w:tc>
          <w:tcPr>
            <w:tcW w:w="1350" w:type="dxa"/>
            <w:tcBorders>
              <w:top w:val="nil"/>
              <w:left w:val="nil"/>
              <w:bottom w:val="single" w:sz="4" w:space="0" w:color="auto"/>
              <w:right w:val="single" w:sz="4" w:space="0" w:color="auto"/>
            </w:tcBorders>
            <w:shd w:val="clear" w:color="auto" w:fill="auto"/>
            <w:noWrap/>
            <w:vAlign w:val="center"/>
            <w:hideMark/>
          </w:tcPr>
          <w:p w14:paraId="0F1E5935"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44 (41, 48)</w:t>
            </w:r>
          </w:p>
        </w:tc>
        <w:tc>
          <w:tcPr>
            <w:tcW w:w="1440" w:type="dxa"/>
            <w:tcBorders>
              <w:top w:val="nil"/>
              <w:left w:val="nil"/>
              <w:bottom w:val="single" w:sz="4" w:space="0" w:color="auto"/>
              <w:right w:val="single" w:sz="4" w:space="0" w:color="auto"/>
            </w:tcBorders>
            <w:shd w:val="clear" w:color="auto" w:fill="auto"/>
            <w:noWrap/>
            <w:vAlign w:val="center"/>
            <w:hideMark/>
          </w:tcPr>
          <w:p w14:paraId="1A50EDE5"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1647</w:t>
            </w:r>
          </w:p>
        </w:tc>
        <w:tc>
          <w:tcPr>
            <w:tcW w:w="1350" w:type="dxa"/>
            <w:tcBorders>
              <w:top w:val="nil"/>
              <w:left w:val="nil"/>
              <w:bottom w:val="single" w:sz="4" w:space="0" w:color="auto"/>
              <w:right w:val="single" w:sz="4" w:space="0" w:color="auto"/>
            </w:tcBorders>
            <w:shd w:val="clear" w:color="auto" w:fill="auto"/>
            <w:noWrap/>
            <w:vAlign w:val="center"/>
            <w:hideMark/>
          </w:tcPr>
          <w:p w14:paraId="2DC3210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 (6, 11)</w:t>
            </w:r>
          </w:p>
        </w:tc>
        <w:tc>
          <w:tcPr>
            <w:tcW w:w="1440" w:type="dxa"/>
            <w:tcBorders>
              <w:top w:val="nil"/>
              <w:left w:val="nil"/>
              <w:bottom w:val="single" w:sz="4" w:space="0" w:color="auto"/>
              <w:right w:val="single" w:sz="4" w:space="0" w:color="auto"/>
            </w:tcBorders>
            <w:shd w:val="clear" w:color="auto" w:fill="auto"/>
            <w:noWrap/>
            <w:vAlign w:val="center"/>
            <w:hideMark/>
          </w:tcPr>
          <w:p w14:paraId="31D754F9" w14:textId="23794625"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2CE3B438" w14:textId="41E79D01"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36858111" w14:textId="499ABC44"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04E0E5D8"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3FBC31A"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Nicaragua, 2005</w:t>
            </w:r>
          </w:p>
        </w:tc>
        <w:tc>
          <w:tcPr>
            <w:tcW w:w="1350" w:type="dxa"/>
            <w:tcBorders>
              <w:top w:val="nil"/>
              <w:left w:val="nil"/>
              <w:bottom w:val="single" w:sz="4" w:space="0" w:color="auto"/>
              <w:right w:val="single" w:sz="4" w:space="0" w:color="auto"/>
            </w:tcBorders>
            <w:shd w:val="clear" w:color="auto" w:fill="auto"/>
            <w:noWrap/>
            <w:vAlign w:val="center"/>
            <w:hideMark/>
          </w:tcPr>
          <w:p w14:paraId="7C78A4E4"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45 (38, 52)</w:t>
            </w:r>
          </w:p>
        </w:tc>
        <w:tc>
          <w:tcPr>
            <w:tcW w:w="1350" w:type="dxa"/>
            <w:tcBorders>
              <w:top w:val="nil"/>
              <w:left w:val="nil"/>
              <w:bottom w:val="single" w:sz="4" w:space="0" w:color="auto"/>
              <w:right w:val="single" w:sz="4" w:space="0" w:color="auto"/>
            </w:tcBorders>
            <w:shd w:val="clear" w:color="auto" w:fill="auto"/>
            <w:noWrap/>
            <w:vAlign w:val="center"/>
            <w:hideMark/>
          </w:tcPr>
          <w:p w14:paraId="3B5AC6F9" w14:textId="0903B866"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249019F2"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(0, 1)</w:t>
            </w:r>
          </w:p>
        </w:tc>
        <w:tc>
          <w:tcPr>
            <w:tcW w:w="1350" w:type="dxa"/>
            <w:tcBorders>
              <w:top w:val="nil"/>
              <w:left w:val="nil"/>
              <w:bottom w:val="single" w:sz="4" w:space="0" w:color="auto"/>
              <w:right w:val="single" w:sz="4" w:space="0" w:color="auto"/>
            </w:tcBorders>
            <w:shd w:val="clear" w:color="auto" w:fill="auto"/>
            <w:noWrap/>
            <w:vAlign w:val="center"/>
            <w:hideMark/>
          </w:tcPr>
          <w:p w14:paraId="47402A70" w14:textId="638775B4"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03A8D625" w14:textId="3D5C34AE"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r w:rsidRPr="0019114C">
              <w:rPr>
                <w:rFonts w:ascii="Times New Roman" w:eastAsia="Times New Roman" w:hAnsi="Times New Roman" w:cs="Times New Roman"/>
                <w:color w:val="000000"/>
                <w:sz w:val="24"/>
                <w:szCs w:val="24"/>
              </w:rPr>
              <w:t>953</w:t>
            </w:r>
          </w:p>
        </w:tc>
        <w:tc>
          <w:tcPr>
            <w:tcW w:w="1350" w:type="dxa"/>
            <w:tcBorders>
              <w:top w:val="nil"/>
              <w:left w:val="nil"/>
              <w:bottom w:val="single" w:sz="4" w:space="0" w:color="auto"/>
              <w:right w:val="single" w:sz="4" w:space="0" w:color="auto"/>
            </w:tcBorders>
            <w:shd w:val="clear" w:color="auto" w:fill="auto"/>
            <w:noWrap/>
            <w:vAlign w:val="center"/>
            <w:hideMark/>
          </w:tcPr>
          <w:p w14:paraId="7F2BF98B" w14:textId="55BFCA4A"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55113ADD" w14:textId="6CB28EDE"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110C0362" w14:textId="090E7922"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14EA8AF0" w14:textId="0F1B7F58"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43612086"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2DE3BFA"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Pakistan, 2011</w:t>
            </w:r>
          </w:p>
        </w:tc>
        <w:tc>
          <w:tcPr>
            <w:tcW w:w="1350" w:type="dxa"/>
            <w:tcBorders>
              <w:top w:val="nil"/>
              <w:left w:val="nil"/>
              <w:bottom w:val="single" w:sz="4" w:space="0" w:color="auto"/>
              <w:right w:val="single" w:sz="4" w:space="0" w:color="auto"/>
            </w:tcBorders>
            <w:shd w:val="clear" w:color="auto" w:fill="auto"/>
            <w:noWrap/>
            <w:vAlign w:val="center"/>
            <w:hideMark/>
          </w:tcPr>
          <w:p w14:paraId="62AFBB9D"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51 (49, 53)</w:t>
            </w:r>
          </w:p>
        </w:tc>
        <w:tc>
          <w:tcPr>
            <w:tcW w:w="1350" w:type="dxa"/>
            <w:tcBorders>
              <w:top w:val="nil"/>
              <w:left w:val="nil"/>
              <w:bottom w:val="single" w:sz="4" w:space="0" w:color="auto"/>
              <w:right w:val="single" w:sz="4" w:space="0" w:color="auto"/>
            </w:tcBorders>
            <w:shd w:val="clear" w:color="auto" w:fill="auto"/>
            <w:noWrap/>
            <w:vAlign w:val="center"/>
            <w:hideMark/>
          </w:tcPr>
          <w:p w14:paraId="0ABD4F0E"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40 (38, 42)</w:t>
            </w:r>
          </w:p>
        </w:tc>
        <w:tc>
          <w:tcPr>
            <w:tcW w:w="1350" w:type="dxa"/>
            <w:tcBorders>
              <w:top w:val="nil"/>
              <w:left w:val="nil"/>
              <w:bottom w:val="single" w:sz="4" w:space="0" w:color="auto"/>
              <w:right w:val="single" w:sz="4" w:space="0" w:color="auto"/>
            </w:tcBorders>
            <w:shd w:val="clear" w:color="auto" w:fill="auto"/>
            <w:noWrap/>
            <w:vAlign w:val="center"/>
            <w:hideMark/>
          </w:tcPr>
          <w:p w14:paraId="1B8E7779"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51 (49, 54)</w:t>
            </w:r>
          </w:p>
        </w:tc>
        <w:tc>
          <w:tcPr>
            <w:tcW w:w="1350" w:type="dxa"/>
            <w:tcBorders>
              <w:top w:val="nil"/>
              <w:left w:val="nil"/>
              <w:bottom w:val="single" w:sz="4" w:space="0" w:color="auto"/>
              <w:right w:val="single" w:sz="4" w:space="0" w:color="auto"/>
            </w:tcBorders>
            <w:shd w:val="clear" w:color="auto" w:fill="auto"/>
            <w:noWrap/>
            <w:vAlign w:val="center"/>
            <w:hideMark/>
          </w:tcPr>
          <w:p w14:paraId="438A16F4"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86 (85, 87)</w:t>
            </w:r>
          </w:p>
        </w:tc>
        <w:tc>
          <w:tcPr>
            <w:tcW w:w="1440" w:type="dxa"/>
            <w:tcBorders>
              <w:top w:val="nil"/>
              <w:left w:val="nil"/>
              <w:bottom w:val="single" w:sz="4" w:space="0" w:color="auto"/>
              <w:right w:val="single" w:sz="4" w:space="0" w:color="auto"/>
            </w:tcBorders>
            <w:shd w:val="clear" w:color="auto" w:fill="auto"/>
            <w:noWrap/>
            <w:vAlign w:val="center"/>
            <w:hideMark/>
          </w:tcPr>
          <w:p w14:paraId="239F58BF"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6638</w:t>
            </w:r>
          </w:p>
        </w:tc>
        <w:tc>
          <w:tcPr>
            <w:tcW w:w="1350" w:type="dxa"/>
            <w:tcBorders>
              <w:top w:val="nil"/>
              <w:left w:val="nil"/>
              <w:bottom w:val="single" w:sz="4" w:space="0" w:color="auto"/>
              <w:right w:val="single" w:sz="4" w:space="0" w:color="auto"/>
            </w:tcBorders>
            <w:shd w:val="clear" w:color="auto" w:fill="auto"/>
            <w:noWrap/>
            <w:vAlign w:val="center"/>
            <w:hideMark/>
          </w:tcPr>
          <w:p w14:paraId="331C6384" w14:textId="503D82E3"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63228768" w14:textId="77E95D68"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3EB1936C"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13 (12, 15)</w:t>
            </w:r>
          </w:p>
        </w:tc>
        <w:tc>
          <w:tcPr>
            <w:tcW w:w="1350" w:type="dxa"/>
            <w:tcBorders>
              <w:top w:val="nil"/>
              <w:left w:val="nil"/>
              <w:bottom w:val="single" w:sz="4" w:space="0" w:color="auto"/>
              <w:right w:val="single" w:sz="4" w:space="0" w:color="auto"/>
            </w:tcBorders>
            <w:shd w:val="clear" w:color="auto" w:fill="auto"/>
            <w:noWrap/>
            <w:vAlign w:val="center"/>
            <w:hideMark/>
          </w:tcPr>
          <w:p w14:paraId="3D716CA1" w14:textId="66459F03"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5A782B67" w14:textId="77777777" w:rsidTr="007214C8">
        <w:trPr>
          <w:trHeight w:val="60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00298BD3"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United Kingdom, 2008</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19</w:t>
            </w:r>
          </w:p>
        </w:tc>
        <w:tc>
          <w:tcPr>
            <w:tcW w:w="1350" w:type="dxa"/>
            <w:tcBorders>
              <w:top w:val="nil"/>
              <w:left w:val="nil"/>
              <w:bottom w:val="single" w:sz="4" w:space="0" w:color="auto"/>
              <w:right w:val="single" w:sz="4" w:space="0" w:color="auto"/>
            </w:tcBorders>
            <w:shd w:val="clear" w:color="auto" w:fill="auto"/>
            <w:noWrap/>
            <w:vAlign w:val="center"/>
            <w:hideMark/>
          </w:tcPr>
          <w:p w14:paraId="54E5DAA5"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31 (23, 40)</w:t>
            </w:r>
          </w:p>
        </w:tc>
        <w:tc>
          <w:tcPr>
            <w:tcW w:w="1350" w:type="dxa"/>
            <w:tcBorders>
              <w:top w:val="nil"/>
              <w:left w:val="nil"/>
              <w:bottom w:val="single" w:sz="4" w:space="0" w:color="auto"/>
              <w:right w:val="single" w:sz="4" w:space="0" w:color="auto"/>
            </w:tcBorders>
            <w:shd w:val="clear" w:color="auto" w:fill="auto"/>
            <w:noWrap/>
            <w:vAlign w:val="center"/>
            <w:hideMark/>
          </w:tcPr>
          <w:p w14:paraId="1101C03E" w14:textId="4345492A"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0B38B34A"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(1, 11)</w:t>
            </w:r>
          </w:p>
        </w:tc>
        <w:tc>
          <w:tcPr>
            <w:tcW w:w="1350" w:type="dxa"/>
            <w:tcBorders>
              <w:top w:val="nil"/>
              <w:left w:val="nil"/>
              <w:bottom w:val="single" w:sz="4" w:space="0" w:color="auto"/>
              <w:right w:val="single" w:sz="4" w:space="0" w:color="auto"/>
            </w:tcBorders>
            <w:shd w:val="clear" w:color="auto" w:fill="auto"/>
            <w:noWrap/>
            <w:vAlign w:val="center"/>
            <w:hideMark/>
          </w:tcPr>
          <w:p w14:paraId="1942CA2B" w14:textId="5505C474"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32529483" w14:textId="355FE61F"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r w:rsidRPr="00794BEE">
              <w:rPr>
                <w:rFonts w:ascii="Times New Roman" w:eastAsia="Times New Roman" w:hAnsi="Times New Roman" w:cs="Times New Roman"/>
                <w:color w:val="000000"/>
                <w:sz w:val="24"/>
                <w:szCs w:val="24"/>
              </w:rPr>
              <w:t>140</w:t>
            </w:r>
          </w:p>
        </w:tc>
        <w:tc>
          <w:tcPr>
            <w:tcW w:w="1350" w:type="dxa"/>
            <w:tcBorders>
              <w:top w:val="nil"/>
              <w:left w:val="nil"/>
              <w:bottom w:val="single" w:sz="4" w:space="0" w:color="auto"/>
              <w:right w:val="single" w:sz="4" w:space="0" w:color="auto"/>
            </w:tcBorders>
            <w:shd w:val="clear" w:color="auto" w:fill="auto"/>
            <w:noWrap/>
            <w:vAlign w:val="center"/>
            <w:hideMark/>
          </w:tcPr>
          <w:p w14:paraId="2518249B"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 (1, 5)</w:t>
            </w:r>
          </w:p>
        </w:tc>
        <w:tc>
          <w:tcPr>
            <w:tcW w:w="1440" w:type="dxa"/>
            <w:tcBorders>
              <w:top w:val="nil"/>
              <w:left w:val="nil"/>
              <w:bottom w:val="single" w:sz="4" w:space="0" w:color="auto"/>
              <w:right w:val="single" w:sz="4" w:space="0" w:color="auto"/>
            </w:tcBorders>
            <w:shd w:val="clear" w:color="auto" w:fill="auto"/>
            <w:noWrap/>
            <w:vAlign w:val="center"/>
            <w:hideMark/>
          </w:tcPr>
          <w:p w14:paraId="2A411EEF" w14:textId="7985463E"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1F4C7B63"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12 (7, 20)</w:t>
            </w:r>
          </w:p>
        </w:tc>
        <w:tc>
          <w:tcPr>
            <w:tcW w:w="1350" w:type="dxa"/>
            <w:tcBorders>
              <w:top w:val="nil"/>
              <w:left w:val="nil"/>
              <w:bottom w:val="single" w:sz="4" w:space="0" w:color="auto"/>
              <w:right w:val="single" w:sz="4" w:space="0" w:color="auto"/>
            </w:tcBorders>
            <w:shd w:val="clear" w:color="auto" w:fill="auto"/>
            <w:noWrap/>
            <w:vAlign w:val="center"/>
            <w:hideMark/>
          </w:tcPr>
          <w:p w14:paraId="54264028" w14:textId="770CE941"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49428C" w:rsidRPr="004B3167" w14:paraId="0122FE85"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F25E556" w14:textId="77777777" w:rsidR="0049428C" w:rsidRPr="004B3167" w:rsidRDefault="0049428C" w:rsidP="0049428C">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Viet Nam, 2010</w:t>
            </w:r>
          </w:p>
        </w:tc>
        <w:tc>
          <w:tcPr>
            <w:tcW w:w="1350" w:type="dxa"/>
            <w:tcBorders>
              <w:top w:val="nil"/>
              <w:left w:val="nil"/>
              <w:bottom w:val="single" w:sz="4" w:space="0" w:color="auto"/>
              <w:right w:val="single" w:sz="4" w:space="0" w:color="auto"/>
            </w:tcBorders>
            <w:shd w:val="clear" w:color="auto" w:fill="auto"/>
            <w:noWrap/>
            <w:vAlign w:val="center"/>
            <w:hideMark/>
          </w:tcPr>
          <w:p w14:paraId="7BDBE2B0"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19 (15, 23)</w:t>
            </w:r>
          </w:p>
        </w:tc>
        <w:tc>
          <w:tcPr>
            <w:tcW w:w="1350" w:type="dxa"/>
            <w:tcBorders>
              <w:top w:val="nil"/>
              <w:left w:val="nil"/>
              <w:bottom w:val="single" w:sz="4" w:space="0" w:color="auto"/>
              <w:right w:val="single" w:sz="4" w:space="0" w:color="auto"/>
            </w:tcBorders>
            <w:shd w:val="clear" w:color="auto" w:fill="auto"/>
            <w:noWrap/>
            <w:vAlign w:val="center"/>
            <w:hideMark/>
          </w:tcPr>
          <w:p w14:paraId="3D9480F5"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56 (50, 61)</w:t>
            </w:r>
          </w:p>
        </w:tc>
        <w:tc>
          <w:tcPr>
            <w:tcW w:w="1350" w:type="dxa"/>
            <w:tcBorders>
              <w:top w:val="nil"/>
              <w:left w:val="nil"/>
              <w:bottom w:val="single" w:sz="4" w:space="0" w:color="auto"/>
              <w:right w:val="single" w:sz="4" w:space="0" w:color="auto"/>
            </w:tcBorders>
            <w:shd w:val="clear" w:color="auto" w:fill="auto"/>
            <w:noWrap/>
            <w:vAlign w:val="center"/>
            <w:hideMark/>
          </w:tcPr>
          <w:p w14:paraId="05241D23"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 (4, 9)</w:t>
            </w:r>
          </w:p>
        </w:tc>
        <w:tc>
          <w:tcPr>
            <w:tcW w:w="1350" w:type="dxa"/>
            <w:tcBorders>
              <w:top w:val="nil"/>
              <w:left w:val="nil"/>
              <w:bottom w:val="single" w:sz="4" w:space="0" w:color="auto"/>
              <w:right w:val="single" w:sz="4" w:space="0" w:color="auto"/>
            </w:tcBorders>
            <w:shd w:val="clear" w:color="auto" w:fill="auto"/>
            <w:noWrap/>
            <w:vAlign w:val="center"/>
            <w:hideMark/>
          </w:tcPr>
          <w:p w14:paraId="557E6AEE"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66 (61, 71)</w:t>
            </w:r>
          </w:p>
        </w:tc>
        <w:tc>
          <w:tcPr>
            <w:tcW w:w="1440" w:type="dxa"/>
            <w:tcBorders>
              <w:top w:val="nil"/>
              <w:left w:val="nil"/>
              <w:bottom w:val="single" w:sz="4" w:space="0" w:color="auto"/>
              <w:right w:val="single" w:sz="4" w:space="0" w:color="auto"/>
            </w:tcBorders>
            <w:shd w:val="clear" w:color="auto" w:fill="auto"/>
            <w:noWrap/>
            <w:vAlign w:val="center"/>
            <w:hideMark/>
          </w:tcPr>
          <w:p w14:paraId="6DD91489"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360</w:t>
            </w:r>
          </w:p>
        </w:tc>
        <w:tc>
          <w:tcPr>
            <w:tcW w:w="1350" w:type="dxa"/>
            <w:tcBorders>
              <w:top w:val="nil"/>
              <w:left w:val="nil"/>
              <w:bottom w:val="single" w:sz="4" w:space="0" w:color="auto"/>
              <w:right w:val="single" w:sz="4" w:space="0" w:color="auto"/>
            </w:tcBorders>
            <w:shd w:val="clear" w:color="auto" w:fill="auto"/>
            <w:noWrap/>
            <w:vAlign w:val="center"/>
            <w:hideMark/>
          </w:tcPr>
          <w:p w14:paraId="3BF5B113"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 (4, 13)</w:t>
            </w:r>
          </w:p>
        </w:tc>
        <w:tc>
          <w:tcPr>
            <w:tcW w:w="1440" w:type="dxa"/>
            <w:tcBorders>
              <w:top w:val="nil"/>
              <w:left w:val="nil"/>
              <w:bottom w:val="single" w:sz="4" w:space="0" w:color="auto"/>
              <w:right w:val="single" w:sz="4" w:space="0" w:color="auto"/>
            </w:tcBorders>
            <w:shd w:val="clear" w:color="auto" w:fill="auto"/>
            <w:noWrap/>
            <w:vAlign w:val="center"/>
            <w:hideMark/>
          </w:tcPr>
          <w:p w14:paraId="5B96EF8E" w14:textId="2451FCA7"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hideMark/>
          </w:tcPr>
          <w:p w14:paraId="487109A1" w14:textId="77777777" w:rsidR="0049428C" w:rsidRPr="004B3167" w:rsidRDefault="0049428C" w:rsidP="0049428C">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14 (10, 19)</w:t>
            </w:r>
          </w:p>
        </w:tc>
        <w:tc>
          <w:tcPr>
            <w:tcW w:w="1350" w:type="dxa"/>
            <w:tcBorders>
              <w:top w:val="nil"/>
              <w:left w:val="nil"/>
              <w:bottom w:val="single" w:sz="4" w:space="0" w:color="auto"/>
              <w:right w:val="single" w:sz="4" w:space="0" w:color="auto"/>
            </w:tcBorders>
            <w:shd w:val="clear" w:color="auto" w:fill="auto"/>
            <w:noWrap/>
            <w:vAlign w:val="center"/>
            <w:hideMark/>
          </w:tcPr>
          <w:p w14:paraId="338B46AC" w14:textId="7EC311EA" w:rsidR="0049428C" w:rsidRPr="004B3167" w:rsidRDefault="0049428C" w:rsidP="0049428C">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bl>
    <w:p w14:paraId="368AD31D" w14:textId="498097F3" w:rsidR="00F91460" w:rsidRDefault="00F91460" w:rsidP="00F91460">
      <w:pPr>
        <w:rPr>
          <w:rFonts w:ascii="Times New Roman" w:hAnsi="Times New Roman" w:cs="Times New Roman"/>
          <w:sz w:val="24"/>
          <w:szCs w:val="24"/>
          <w:lang w:val="en-GB"/>
        </w:rPr>
      </w:pPr>
      <w:r w:rsidRPr="00D56334">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 Exact age ranges vary slightly and are listed in appendix Table 6. </w:t>
      </w:r>
      <w:r w:rsidRPr="004B3167">
        <w:rPr>
          <w:rFonts w:ascii="Times New Roman" w:hAnsi="Times New Roman" w:cs="Times New Roman"/>
          <w:sz w:val="24"/>
          <w:szCs w:val="24"/>
          <w:lang w:val="en-GB"/>
        </w:rPr>
        <w:t xml:space="preserve">Definitions of deficiency are </w:t>
      </w:r>
      <w:r>
        <w:rPr>
          <w:rFonts w:ascii="Times New Roman" w:hAnsi="Times New Roman" w:cs="Times New Roman"/>
          <w:sz w:val="24"/>
          <w:szCs w:val="24"/>
          <w:lang w:val="en-GB"/>
        </w:rPr>
        <w:t>specified</w:t>
      </w:r>
      <w:r w:rsidRPr="004B3167">
        <w:rPr>
          <w:rFonts w:ascii="Times New Roman" w:hAnsi="Times New Roman" w:cs="Times New Roman"/>
          <w:sz w:val="24"/>
          <w:szCs w:val="24"/>
          <w:lang w:val="en-GB"/>
        </w:rPr>
        <w:t xml:space="preserve"> in </w:t>
      </w:r>
      <w:r>
        <w:rPr>
          <w:rFonts w:ascii="Times New Roman" w:hAnsi="Times New Roman" w:cs="Times New Roman"/>
          <w:sz w:val="24"/>
          <w:szCs w:val="24"/>
          <w:lang w:val="en-GB"/>
        </w:rPr>
        <w:t>Table 1.</w:t>
      </w:r>
      <w:r w:rsidR="001B5F5D">
        <w:rPr>
          <w:rFonts w:ascii="Times New Roman" w:hAnsi="Times New Roman" w:cs="Times New Roman"/>
          <w:sz w:val="24"/>
          <w:szCs w:val="24"/>
          <w:lang w:val="en-GB"/>
        </w:rPr>
        <w:t xml:space="preserve"> Empty cells indicate missing data or exclusion of the survey micronutrient.</w:t>
      </w:r>
      <w:r>
        <w:rPr>
          <w:rFonts w:ascii="Times New Roman" w:hAnsi="Times New Roman" w:cs="Times New Roman"/>
          <w:sz w:val="24"/>
          <w:szCs w:val="24"/>
          <w:lang w:val="en-GB"/>
        </w:rPr>
        <w:t xml:space="preserve"> UI, uncertainty interval.</w:t>
      </w:r>
    </w:p>
    <w:p w14:paraId="06D1CC1E" w14:textId="2E1ADA7E" w:rsidR="00F91460" w:rsidRDefault="00F91460" w:rsidP="00F91460">
      <w:pPr>
        <w:rPr>
          <w:rFonts w:ascii="Times New Roman" w:hAnsi="Times New Roman" w:cs="Times New Roman"/>
          <w:sz w:val="24"/>
          <w:szCs w:val="24"/>
          <w:lang w:val="en-GB"/>
        </w:rPr>
      </w:pPr>
      <w:r w:rsidRPr="00A70A2B">
        <w:rPr>
          <w:rFonts w:ascii="Times New Roman" w:hAnsi="Times New Roman" w:cs="Times New Roman"/>
          <w:sz w:val="24"/>
          <w:szCs w:val="24"/>
          <w:vertAlign w:val="superscript"/>
          <w:lang w:val="en-GB"/>
        </w:rPr>
        <w:t xml:space="preserve">2 </w:t>
      </w:r>
      <w:r>
        <w:rPr>
          <w:rFonts w:ascii="Times New Roman" w:hAnsi="Times New Roman" w:cs="Times New Roman"/>
          <w:sz w:val="24"/>
          <w:szCs w:val="24"/>
          <w:lang w:val="en-GB"/>
        </w:rPr>
        <w:t>Core micronutrients are iron, zinc, and vitamin A.</w:t>
      </w:r>
      <w:r w:rsidR="0006331C">
        <w:rPr>
          <w:rFonts w:ascii="Times New Roman" w:hAnsi="Times New Roman" w:cs="Times New Roman"/>
          <w:sz w:val="24"/>
          <w:szCs w:val="24"/>
          <w:lang w:val="en-GB"/>
        </w:rPr>
        <w:t xml:space="preserve"> Prevalence is only shown for surveys </w:t>
      </w:r>
      <w:r w:rsidR="00AF08B6">
        <w:rPr>
          <w:rFonts w:ascii="Times New Roman" w:hAnsi="Times New Roman" w:cs="Times New Roman"/>
          <w:sz w:val="24"/>
          <w:szCs w:val="24"/>
          <w:lang w:val="en-GB"/>
        </w:rPr>
        <w:t>containing</w:t>
      </w:r>
      <w:r w:rsidR="0006331C">
        <w:rPr>
          <w:rFonts w:ascii="Times New Roman" w:hAnsi="Times New Roman" w:cs="Times New Roman"/>
          <w:sz w:val="24"/>
          <w:szCs w:val="24"/>
          <w:lang w:val="en-GB"/>
        </w:rPr>
        <w:t xml:space="preserve"> all three core micronutrients.</w:t>
      </w:r>
    </w:p>
    <w:p w14:paraId="39904BE7" w14:textId="1366BB37" w:rsidR="00F91460" w:rsidRPr="00EC57EF" w:rsidRDefault="00F91460" w:rsidP="00F91460">
      <w:pPr>
        <w:rPr>
          <w:rFonts w:ascii="Times New Roman" w:hAnsi="Times New Roman" w:cs="Times New Roman"/>
          <w:sz w:val="24"/>
          <w:szCs w:val="24"/>
          <w:lang w:val="en-GB"/>
        </w:rPr>
      </w:pPr>
      <w:r w:rsidRPr="00AD7B4B">
        <w:rPr>
          <w:rFonts w:ascii="Times New Roman" w:hAnsi="Times New Roman" w:cs="Times New Roman"/>
          <w:sz w:val="24"/>
          <w:szCs w:val="24"/>
          <w:vertAlign w:val="superscript"/>
          <w:lang w:val="en-GB"/>
        </w:rPr>
        <w:t xml:space="preserve">3 </w:t>
      </w:r>
      <w:r w:rsidRPr="004B3167">
        <w:rPr>
          <w:rFonts w:ascii="Times New Roman" w:hAnsi="Times New Roman" w:cs="Times New Roman"/>
          <w:sz w:val="24"/>
          <w:szCs w:val="24"/>
          <w:lang w:val="en-GB"/>
        </w:rPr>
        <w:t>Sample size varies by deficiency; sample size for any measured core deficiency is shown</w:t>
      </w:r>
      <w:r>
        <w:rPr>
          <w:rFonts w:ascii="Times New Roman" w:hAnsi="Times New Roman" w:cs="Times New Roman"/>
          <w:sz w:val="24"/>
          <w:szCs w:val="24"/>
          <w:lang w:val="en-GB"/>
        </w:rPr>
        <w:t xml:space="preserve"> </w:t>
      </w:r>
      <w:r w:rsidR="005D1364">
        <w:rPr>
          <w:rFonts w:ascii="Times New Roman" w:hAnsi="Times New Roman" w:cs="Times New Roman"/>
          <w:sz w:val="24"/>
          <w:szCs w:val="24"/>
          <w:lang w:val="en-GB"/>
        </w:rPr>
        <w:t>in this column</w:t>
      </w:r>
      <w:r>
        <w:rPr>
          <w:rFonts w:ascii="Times New Roman" w:hAnsi="Times New Roman" w:cs="Times New Roman"/>
          <w:sz w:val="24"/>
          <w:szCs w:val="24"/>
          <w:lang w:val="en-GB"/>
        </w:rPr>
        <w:t>.</w:t>
      </w:r>
    </w:p>
    <w:p w14:paraId="6FBCAED0" w14:textId="6DD858FF" w:rsidR="00F91460" w:rsidRPr="004B3167" w:rsidRDefault="00F91460" w:rsidP="00F91460">
      <w:pPr>
        <w:rPr>
          <w:rFonts w:ascii="Times New Roman" w:hAnsi="Times New Roman" w:cs="Times New Roman"/>
          <w:sz w:val="24"/>
          <w:szCs w:val="24"/>
          <w:lang w:val="en-GB"/>
        </w:rPr>
      </w:pPr>
      <w:r w:rsidRPr="006E4E4F">
        <w:rPr>
          <w:rFonts w:ascii="Times New Roman" w:hAnsi="Times New Roman" w:cs="Times New Roman"/>
          <w:sz w:val="24"/>
          <w:szCs w:val="24"/>
          <w:vertAlign w:val="superscript"/>
          <w:lang w:val="en-GB"/>
        </w:rPr>
        <w:t xml:space="preserve">4 </w:t>
      </w:r>
      <w:r>
        <w:rPr>
          <w:rFonts w:ascii="Times New Roman" w:hAnsi="Times New Roman" w:cs="Times New Roman"/>
          <w:sz w:val="24"/>
          <w:szCs w:val="24"/>
          <w:lang w:val="en-GB"/>
        </w:rPr>
        <w:t>Sentinel micronutrients are iron, zinc, vitamin A, folate, vitamin B</w:t>
      </w:r>
      <w:r w:rsidRPr="00C913DA">
        <w:rPr>
          <w:rFonts w:ascii="Times New Roman" w:hAnsi="Times New Roman" w:cs="Times New Roman"/>
          <w:sz w:val="24"/>
          <w:szCs w:val="24"/>
          <w:vertAlign w:val="subscript"/>
          <w:lang w:val="en-GB"/>
        </w:rPr>
        <w:t>12</w:t>
      </w:r>
      <w:r>
        <w:rPr>
          <w:rFonts w:ascii="Times New Roman" w:hAnsi="Times New Roman" w:cs="Times New Roman"/>
          <w:sz w:val="24"/>
          <w:szCs w:val="24"/>
          <w:lang w:val="en-GB"/>
        </w:rPr>
        <w:t>, and vitamin D.</w:t>
      </w:r>
      <w:r w:rsidR="0036141B">
        <w:rPr>
          <w:rFonts w:ascii="Times New Roman" w:hAnsi="Times New Roman" w:cs="Times New Roman"/>
          <w:sz w:val="24"/>
          <w:szCs w:val="24"/>
          <w:lang w:val="en-GB"/>
        </w:rPr>
        <w:t xml:space="preserve"> Prevalence is only shown for surveys </w:t>
      </w:r>
      <w:r w:rsidR="00AF08B6">
        <w:rPr>
          <w:rFonts w:ascii="Times New Roman" w:hAnsi="Times New Roman" w:cs="Times New Roman"/>
          <w:sz w:val="24"/>
          <w:szCs w:val="24"/>
          <w:lang w:val="en-GB"/>
        </w:rPr>
        <w:t>containing</w:t>
      </w:r>
      <w:r w:rsidR="0036141B">
        <w:rPr>
          <w:rFonts w:ascii="Times New Roman" w:hAnsi="Times New Roman" w:cs="Times New Roman"/>
          <w:sz w:val="24"/>
          <w:szCs w:val="24"/>
          <w:lang w:val="en-GB"/>
        </w:rPr>
        <w:t xml:space="preserve"> all six sentinel micronutrients.</w:t>
      </w:r>
    </w:p>
    <w:p w14:paraId="348B4FDC" w14:textId="77777777" w:rsidR="00F91460" w:rsidRPr="004B3167" w:rsidRDefault="00F91460" w:rsidP="00F91460">
      <w:pPr>
        <w:rPr>
          <w:rFonts w:ascii="Times New Roman" w:hAnsi="Times New Roman" w:cs="Times New Roman"/>
          <w:sz w:val="24"/>
          <w:szCs w:val="24"/>
          <w:lang w:val="en-GB"/>
        </w:rPr>
      </w:pPr>
    </w:p>
    <w:p w14:paraId="5F836CC8" w14:textId="77777777" w:rsidR="00F91460" w:rsidRPr="00D35244" w:rsidRDefault="00F91460" w:rsidP="00F91460">
      <w:pPr>
        <w:rPr>
          <w:rFonts w:ascii="Times New Roman" w:hAnsi="Times New Roman" w:cs="Times New Roman"/>
          <w:b/>
          <w:bCs/>
          <w:sz w:val="24"/>
          <w:szCs w:val="24"/>
          <w:lang w:val="en-GB"/>
        </w:rPr>
      </w:pPr>
      <w:r w:rsidRPr="00D35244">
        <w:rPr>
          <w:rFonts w:ascii="Times New Roman" w:hAnsi="Times New Roman" w:cs="Times New Roman"/>
          <w:b/>
          <w:bCs/>
          <w:sz w:val="24"/>
          <w:szCs w:val="24"/>
          <w:lang w:val="en-GB"/>
        </w:rPr>
        <w:t xml:space="preserve">Table </w:t>
      </w:r>
      <w:r>
        <w:rPr>
          <w:rFonts w:ascii="Times New Roman" w:hAnsi="Times New Roman" w:cs="Times New Roman"/>
          <w:b/>
          <w:bCs/>
          <w:sz w:val="24"/>
          <w:szCs w:val="24"/>
          <w:lang w:val="en-GB"/>
        </w:rPr>
        <w:t>3</w:t>
      </w:r>
      <w:r w:rsidRPr="00D35244">
        <w:rPr>
          <w:rFonts w:ascii="Times New Roman" w:hAnsi="Times New Roman" w:cs="Times New Roman"/>
          <w:b/>
          <w:bCs/>
          <w:sz w:val="24"/>
          <w:szCs w:val="24"/>
          <w:lang w:val="en-GB"/>
        </w:rPr>
        <w:t xml:space="preserve">. Prevalence of deficiency by type for each </w:t>
      </w:r>
      <w:r>
        <w:rPr>
          <w:rFonts w:ascii="Times New Roman" w:hAnsi="Times New Roman" w:cs="Times New Roman"/>
          <w:b/>
          <w:bCs/>
          <w:sz w:val="24"/>
          <w:szCs w:val="24"/>
          <w:lang w:val="en-GB"/>
        </w:rPr>
        <w:t>dataset</w:t>
      </w:r>
      <w:r w:rsidRPr="00D35244">
        <w:rPr>
          <w:rFonts w:ascii="Times New Roman" w:hAnsi="Times New Roman" w:cs="Times New Roman"/>
          <w:b/>
          <w:bCs/>
          <w:sz w:val="24"/>
          <w:szCs w:val="24"/>
          <w:lang w:val="en-GB"/>
        </w:rPr>
        <w:t xml:space="preserve"> included in the analysis, </w:t>
      </w:r>
      <w:r>
        <w:rPr>
          <w:rFonts w:ascii="Times New Roman" w:hAnsi="Times New Roman" w:cs="Times New Roman"/>
          <w:b/>
          <w:bCs/>
          <w:sz w:val="24"/>
          <w:szCs w:val="24"/>
          <w:lang w:val="en-GB"/>
        </w:rPr>
        <w:t>non-pregnant women primarily 15–49</w:t>
      </w:r>
      <w:r w:rsidRPr="00D35244">
        <w:rPr>
          <w:rFonts w:ascii="Times New Roman" w:hAnsi="Times New Roman" w:cs="Times New Roman"/>
          <w:b/>
          <w:bCs/>
          <w:sz w:val="24"/>
          <w:szCs w:val="24"/>
          <w:lang w:val="en-GB"/>
        </w:rPr>
        <w:t>.</w:t>
      </w:r>
      <w:r w:rsidRPr="00D35244">
        <w:rPr>
          <w:rFonts w:ascii="Times New Roman" w:hAnsi="Times New Roman" w:cs="Times New Roman"/>
          <w:b/>
          <w:bCs/>
          <w:sz w:val="24"/>
          <w:szCs w:val="24"/>
          <w:vertAlign w:val="superscript"/>
          <w:lang w:val="en-GB"/>
        </w:rPr>
        <w:t>1</w:t>
      </w:r>
    </w:p>
    <w:tbl>
      <w:tblPr>
        <w:tblW w:w="14035" w:type="dxa"/>
        <w:tblLayout w:type="fixed"/>
        <w:tblLook w:val="04A0" w:firstRow="1" w:lastRow="0" w:firstColumn="1" w:lastColumn="0" w:noHBand="0" w:noVBand="1"/>
      </w:tblPr>
      <w:tblGrid>
        <w:gridCol w:w="1705"/>
        <w:gridCol w:w="1350"/>
        <w:gridCol w:w="1350"/>
        <w:gridCol w:w="1350"/>
        <w:gridCol w:w="1350"/>
        <w:gridCol w:w="1440"/>
        <w:gridCol w:w="1350"/>
        <w:gridCol w:w="1440"/>
        <w:gridCol w:w="1350"/>
        <w:gridCol w:w="1350"/>
      </w:tblGrid>
      <w:tr w:rsidR="00F91460" w:rsidRPr="004B3167" w14:paraId="55782CD2" w14:textId="77777777" w:rsidTr="007214C8">
        <w:trPr>
          <w:trHeight w:val="96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F127E5"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Survey</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719463F7"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Iron deficiency, % (95% </w:t>
            </w:r>
            <w:r>
              <w:rPr>
                <w:rFonts w:ascii="Times New Roman" w:eastAsia="Times New Roman" w:hAnsi="Times New Roman" w:cs="Times New Roman"/>
                <w:b/>
                <w:bCs/>
                <w:color w:val="000000"/>
                <w:sz w:val="24"/>
                <w:szCs w:val="24"/>
              </w:rPr>
              <w:t>UI</w:t>
            </w:r>
            <w:r w:rsidRPr="004B3167">
              <w:rPr>
                <w:rFonts w:ascii="Times New Roman" w:eastAsia="Times New Roman" w:hAnsi="Times New Roman" w:cs="Times New Roman"/>
                <w:b/>
                <w:bCs/>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64CBEA86"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Zinc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7DF0F0D1" w14:textId="2B724227" w:rsidR="00F91460" w:rsidRPr="004B3167" w:rsidRDefault="00D00C0D" w:rsidP="007214C8">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Folate</w:t>
            </w:r>
            <w:r w:rsidR="00F91460" w:rsidRPr="004B3167">
              <w:rPr>
                <w:rFonts w:ascii="Times New Roman" w:eastAsia="Times New Roman" w:hAnsi="Times New Roman" w:cs="Times New Roman"/>
                <w:b/>
                <w:bCs/>
                <w:color w:val="000000"/>
                <w:sz w:val="24"/>
                <w:szCs w:val="24"/>
              </w:rPr>
              <w:t xml:space="preserve"> deficiency, % (95% </w:t>
            </w:r>
            <w:r w:rsidR="00F91460">
              <w:rPr>
                <w:rFonts w:ascii="Times New Roman" w:eastAsia="Times New Roman" w:hAnsi="Times New Roman" w:cs="Times New Roman"/>
                <w:b/>
                <w:bCs/>
                <w:color w:val="000000"/>
                <w:sz w:val="24"/>
                <w:szCs w:val="24"/>
              </w:rPr>
              <w:t>U</w:t>
            </w:r>
            <w:r w:rsidR="00F91460" w:rsidRPr="004B3167">
              <w:rPr>
                <w:rFonts w:ascii="Times New Roman" w:eastAsia="Times New Roman" w:hAnsi="Times New Roman" w:cs="Times New Roman"/>
                <w:b/>
                <w:bCs/>
                <w:color w:val="000000"/>
                <w:sz w:val="24"/>
                <w:szCs w:val="24"/>
              </w:rPr>
              <w:t>I)</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1F536F79"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Any core deficiency</w:t>
            </w:r>
            <w:r>
              <w:rPr>
                <w:rFonts w:ascii="Times New Roman" w:eastAsia="Times New Roman" w:hAnsi="Times New Roman" w:cs="Times New Roman"/>
                <w:b/>
                <w:bCs/>
                <w:color w:val="000000"/>
                <w:sz w:val="24"/>
                <w:szCs w:val="24"/>
              </w:rPr>
              <w:t xml:space="preserve">, </w:t>
            </w:r>
            <w:r w:rsidRPr="004B3167">
              <w:rPr>
                <w:rFonts w:ascii="Times New Roman" w:eastAsia="Times New Roman" w:hAnsi="Times New Roman" w:cs="Times New Roman"/>
                <w:b/>
                <w:bCs/>
                <w:color w:val="000000"/>
                <w:sz w:val="24"/>
                <w:szCs w:val="24"/>
              </w:rPr>
              <w:t xml:space="preserve">%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r w:rsidRPr="00C409B8">
              <w:rPr>
                <w:rFonts w:ascii="Times New Roman" w:eastAsia="Times New Roman" w:hAnsi="Times New Roman" w:cs="Times New Roman"/>
                <w:b/>
                <w:bCs/>
                <w:color w:val="000000"/>
                <w:sz w:val="24"/>
                <w:szCs w:val="24"/>
                <w:vertAlign w:val="superscript"/>
              </w:rPr>
              <w:t>2</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5EE83E03"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Sample size (any core deficiency)</w:t>
            </w:r>
            <w:r>
              <w:rPr>
                <w:rFonts w:ascii="Times New Roman" w:eastAsia="Times New Roman" w:hAnsi="Times New Roman" w:cs="Times New Roman"/>
                <w:b/>
                <w:bCs/>
                <w:color w:val="000000"/>
                <w:sz w:val="24"/>
                <w:szCs w:val="24"/>
                <w:vertAlign w:val="superscript"/>
              </w:rPr>
              <w:t>3</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0E9FD6C1" w14:textId="56713BA5" w:rsidR="00F91460" w:rsidRPr="004B3167" w:rsidRDefault="00D00C0D" w:rsidP="007214C8">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Vitamin A</w:t>
            </w:r>
            <w:r w:rsidR="00F91460" w:rsidRPr="004B3167">
              <w:rPr>
                <w:rFonts w:ascii="Times New Roman" w:eastAsia="Times New Roman" w:hAnsi="Times New Roman" w:cs="Times New Roman"/>
                <w:b/>
                <w:bCs/>
                <w:color w:val="000000"/>
                <w:sz w:val="24"/>
                <w:szCs w:val="24"/>
              </w:rPr>
              <w:t xml:space="preserve"> deficiency, % (95% </w:t>
            </w:r>
            <w:r w:rsidR="00F91460">
              <w:rPr>
                <w:rFonts w:ascii="Times New Roman" w:eastAsia="Times New Roman" w:hAnsi="Times New Roman" w:cs="Times New Roman"/>
                <w:b/>
                <w:bCs/>
                <w:color w:val="000000"/>
                <w:sz w:val="24"/>
                <w:szCs w:val="24"/>
              </w:rPr>
              <w:t>U</w:t>
            </w:r>
            <w:r w:rsidR="00F91460" w:rsidRPr="004B3167">
              <w:rPr>
                <w:rFonts w:ascii="Times New Roman" w:eastAsia="Times New Roman" w:hAnsi="Times New Roman" w:cs="Times New Roman"/>
                <w:b/>
                <w:bCs/>
                <w:color w:val="000000"/>
                <w:sz w:val="24"/>
                <w:szCs w:val="24"/>
              </w:rPr>
              <w:t>I)</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24FE5F8A"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Vitamin B</w:t>
            </w:r>
            <w:r w:rsidRPr="004B3167">
              <w:rPr>
                <w:rFonts w:ascii="Times New Roman" w:eastAsia="Times New Roman" w:hAnsi="Times New Roman" w:cs="Times New Roman"/>
                <w:b/>
                <w:bCs/>
                <w:color w:val="000000"/>
                <w:sz w:val="24"/>
                <w:szCs w:val="24"/>
                <w:vertAlign w:val="subscript"/>
              </w:rPr>
              <w:t>12</w:t>
            </w:r>
            <w:r w:rsidRPr="004B3167">
              <w:rPr>
                <w:rFonts w:ascii="Times New Roman" w:eastAsia="Times New Roman" w:hAnsi="Times New Roman" w:cs="Times New Roman"/>
                <w:b/>
                <w:bCs/>
                <w:color w:val="000000"/>
                <w:sz w:val="24"/>
                <w:szCs w:val="24"/>
              </w:rPr>
              <w:t xml:space="preserve">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4DA3F82A"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Vitamin D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26744497"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 xml:space="preserve">Any sentinel deficiency, % (95% </w:t>
            </w:r>
            <w:r>
              <w:rPr>
                <w:rFonts w:ascii="Times New Roman" w:eastAsia="Times New Roman" w:hAnsi="Times New Roman" w:cs="Times New Roman"/>
                <w:b/>
                <w:bCs/>
                <w:color w:val="000000"/>
                <w:sz w:val="24"/>
                <w:szCs w:val="24"/>
              </w:rPr>
              <w:t>U</w:t>
            </w:r>
            <w:r w:rsidRPr="004B3167">
              <w:rPr>
                <w:rFonts w:ascii="Times New Roman" w:eastAsia="Times New Roman" w:hAnsi="Times New Roman" w:cs="Times New Roman"/>
                <w:b/>
                <w:bCs/>
                <w:color w:val="000000"/>
                <w:sz w:val="24"/>
                <w:szCs w:val="24"/>
              </w:rPr>
              <w:t>I)</w:t>
            </w:r>
            <w:r w:rsidRPr="004C0522">
              <w:rPr>
                <w:rFonts w:ascii="Times New Roman" w:eastAsia="Times New Roman" w:hAnsi="Times New Roman" w:cs="Times New Roman"/>
                <w:b/>
                <w:bCs/>
                <w:color w:val="000000"/>
                <w:sz w:val="24"/>
                <w:szCs w:val="24"/>
                <w:vertAlign w:val="superscript"/>
              </w:rPr>
              <w:t>4</w:t>
            </w:r>
          </w:p>
        </w:tc>
      </w:tr>
      <w:tr w:rsidR="006D1AA2" w:rsidRPr="004B3167" w14:paraId="4B3604E3"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7E5C5791"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Afghanistan, 2013</w:t>
            </w:r>
          </w:p>
        </w:tc>
        <w:tc>
          <w:tcPr>
            <w:tcW w:w="1350" w:type="dxa"/>
            <w:tcBorders>
              <w:top w:val="nil"/>
              <w:left w:val="nil"/>
              <w:bottom w:val="single" w:sz="4" w:space="0" w:color="auto"/>
              <w:right w:val="single" w:sz="4" w:space="0" w:color="auto"/>
            </w:tcBorders>
            <w:shd w:val="clear" w:color="auto" w:fill="auto"/>
            <w:noWrap/>
            <w:vAlign w:val="center"/>
          </w:tcPr>
          <w:p w14:paraId="3798495E"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33 (28, 39)</w:t>
            </w:r>
          </w:p>
        </w:tc>
        <w:tc>
          <w:tcPr>
            <w:tcW w:w="1350" w:type="dxa"/>
            <w:tcBorders>
              <w:top w:val="nil"/>
              <w:left w:val="nil"/>
              <w:bottom w:val="single" w:sz="4" w:space="0" w:color="auto"/>
              <w:right w:val="single" w:sz="4" w:space="0" w:color="auto"/>
            </w:tcBorders>
            <w:shd w:val="clear" w:color="auto" w:fill="auto"/>
            <w:noWrap/>
            <w:vAlign w:val="center"/>
          </w:tcPr>
          <w:p w14:paraId="68436001"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23 (18, 29)</w:t>
            </w:r>
          </w:p>
        </w:tc>
        <w:tc>
          <w:tcPr>
            <w:tcW w:w="1350" w:type="dxa"/>
            <w:tcBorders>
              <w:top w:val="nil"/>
              <w:left w:val="nil"/>
              <w:bottom w:val="single" w:sz="4" w:space="0" w:color="auto"/>
              <w:right w:val="single" w:sz="4" w:space="0" w:color="auto"/>
            </w:tcBorders>
            <w:shd w:val="clear" w:color="auto" w:fill="auto"/>
            <w:noWrap/>
            <w:vAlign w:val="center"/>
          </w:tcPr>
          <w:p w14:paraId="7BC703CA" w14:textId="156A1454"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1CE95F23" w14:textId="29793C5F"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3FF373D8" w14:textId="624CA89A"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r w:rsidRPr="00073683">
              <w:rPr>
                <w:rFonts w:ascii="Times New Roman" w:eastAsia="Times New Roman" w:hAnsi="Times New Roman" w:cs="Times New Roman"/>
                <w:color w:val="000000"/>
                <w:sz w:val="24"/>
                <w:szCs w:val="24"/>
              </w:rPr>
              <w:t>1044</w:t>
            </w:r>
          </w:p>
        </w:tc>
        <w:tc>
          <w:tcPr>
            <w:tcW w:w="1350" w:type="dxa"/>
            <w:tcBorders>
              <w:top w:val="nil"/>
              <w:left w:val="nil"/>
              <w:bottom w:val="single" w:sz="4" w:space="0" w:color="auto"/>
              <w:right w:val="single" w:sz="4" w:space="0" w:color="auto"/>
            </w:tcBorders>
            <w:shd w:val="clear" w:color="auto" w:fill="auto"/>
            <w:noWrap/>
            <w:vAlign w:val="center"/>
          </w:tcPr>
          <w:p w14:paraId="79AFECC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10 (8, 13)</w:t>
            </w:r>
          </w:p>
        </w:tc>
        <w:tc>
          <w:tcPr>
            <w:tcW w:w="1440" w:type="dxa"/>
            <w:tcBorders>
              <w:top w:val="nil"/>
              <w:left w:val="nil"/>
              <w:bottom w:val="single" w:sz="4" w:space="0" w:color="auto"/>
              <w:right w:val="single" w:sz="4" w:space="0" w:color="auto"/>
            </w:tcBorders>
            <w:shd w:val="clear" w:color="auto" w:fill="auto"/>
            <w:noWrap/>
            <w:vAlign w:val="center"/>
          </w:tcPr>
          <w:p w14:paraId="6D1C4B50" w14:textId="1BE4E694"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718229FB"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78 (74, 82)</w:t>
            </w:r>
          </w:p>
        </w:tc>
        <w:tc>
          <w:tcPr>
            <w:tcW w:w="1350" w:type="dxa"/>
            <w:tcBorders>
              <w:top w:val="nil"/>
              <w:left w:val="nil"/>
              <w:bottom w:val="single" w:sz="4" w:space="0" w:color="auto"/>
              <w:right w:val="single" w:sz="4" w:space="0" w:color="auto"/>
            </w:tcBorders>
            <w:shd w:val="clear" w:color="auto" w:fill="auto"/>
            <w:noWrap/>
            <w:vAlign w:val="center"/>
          </w:tcPr>
          <w:p w14:paraId="29916E02" w14:textId="7D45653B"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1D9E7D0E"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72666136"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lastRenderedPageBreak/>
              <w:t>Azerbaijan, 2013</w:t>
            </w:r>
          </w:p>
        </w:tc>
        <w:tc>
          <w:tcPr>
            <w:tcW w:w="1350" w:type="dxa"/>
            <w:tcBorders>
              <w:top w:val="nil"/>
              <w:left w:val="nil"/>
              <w:bottom w:val="single" w:sz="4" w:space="0" w:color="auto"/>
              <w:right w:val="single" w:sz="4" w:space="0" w:color="auto"/>
            </w:tcBorders>
            <w:shd w:val="clear" w:color="auto" w:fill="auto"/>
            <w:noWrap/>
            <w:vAlign w:val="center"/>
          </w:tcPr>
          <w:p w14:paraId="5CAC5245"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43 (40, 45)</w:t>
            </w:r>
          </w:p>
        </w:tc>
        <w:tc>
          <w:tcPr>
            <w:tcW w:w="1350" w:type="dxa"/>
            <w:tcBorders>
              <w:top w:val="nil"/>
              <w:left w:val="nil"/>
              <w:bottom w:val="single" w:sz="4" w:space="0" w:color="auto"/>
              <w:right w:val="single" w:sz="4" w:space="0" w:color="auto"/>
            </w:tcBorders>
            <w:shd w:val="clear" w:color="auto" w:fill="auto"/>
            <w:noWrap/>
            <w:vAlign w:val="center"/>
          </w:tcPr>
          <w:p w14:paraId="59DD126F" w14:textId="620114F4"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1118FF5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35 (31, 39)</w:t>
            </w:r>
          </w:p>
        </w:tc>
        <w:tc>
          <w:tcPr>
            <w:tcW w:w="1350" w:type="dxa"/>
            <w:tcBorders>
              <w:top w:val="nil"/>
              <w:left w:val="nil"/>
              <w:bottom w:val="single" w:sz="4" w:space="0" w:color="auto"/>
              <w:right w:val="single" w:sz="4" w:space="0" w:color="auto"/>
            </w:tcBorders>
            <w:shd w:val="clear" w:color="auto" w:fill="auto"/>
            <w:noWrap/>
            <w:vAlign w:val="center"/>
          </w:tcPr>
          <w:p w14:paraId="0708B6B4" w14:textId="684ED1E6"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7455C1CC" w14:textId="11B3DB6E" w:rsidR="006D1AA2" w:rsidRPr="004B3167" w:rsidRDefault="006D1AA2" w:rsidP="006D1AA2">
            <w:pPr>
              <w:jc w:val="center"/>
              <w:rPr>
                <w:rFonts w:ascii="Times New Roman" w:eastAsia="Times New Roman" w:hAnsi="Times New Roman" w:cs="Times New Roman"/>
                <w:color w:val="000000"/>
                <w:sz w:val="24"/>
                <w:szCs w:val="24"/>
              </w:rPr>
            </w:pPr>
            <w:r w:rsidRPr="00073683">
              <w:rPr>
                <w:rFonts w:ascii="Times New Roman" w:eastAsia="Times New Roman" w:hAnsi="Times New Roman" w:cs="Times New Roman"/>
                <w:color w:val="000000"/>
                <w:sz w:val="24"/>
                <w:szCs w:val="24"/>
              </w:rPr>
              <w:t>2551</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18F8A7F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0 (0, 1)</w:t>
            </w:r>
          </w:p>
        </w:tc>
        <w:tc>
          <w:tcPr>
            <w:tcW w:w="1440" w:type="dxa"/>
            <w:tcBorders>
              <w:top w:val="nil"/>
              <w:left w:val="nil"/>
              <w:bottom w:val="single" w:sz="4" w:space="0" w:color="auto"/>
              <w:right w:val="single" w:sz="4" w:space="0" w:color="auto"/>
            </w:tcBorders>
            <w:shd w:val="clear" w:color="auto" w:fill="auto"/>
            <w:noWrap/>
            <w:vAlign w:val="center"/>
          </w:tcPr>
          <w:p w14:paraId="1650AE7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20 (16, 24)</w:t>
            </w:r>
          </w:p>
        </w:tc>
        <w:tc>
          <w:tcPr>
            <w:tcW w:w="1350" w:type="dxa"/>
            <w:tcBorders>
              <w:top w:val="nil"/>
              <w:left w:val="nil"/>
              <w:bottom w:val="single" w:sz="4" w:space="0" w:color="auto"/>
              <w:right w:val="single" w:sz="4" w:space="0" w:color="auto"/>
            </w:tcBorders>
            <w:shd w:val="clear" w:color="auto" w:fill="auto"/>
            <w:noWrap/>
            <w:vAlign w:val="center"/>
          </w:tcPr>
          <w:p w14:paraId="30429946" w14:textId="5FAC3126"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05FEDE30" w14:textId="76045A0D"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599BA17A"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64303C9A"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Bangladesh, 2011</w:t>
            </w:r>
          </w:p>
        </w:tc>
        <w:tc>
          <w:tcPr>
            <w:tcW w:w="1350" w:type="dxa"/>
            <w:tcBorders>
              <w:top w:val="nil"/>
              <w:left w:val="nil"/>
              <w:bottom w:val="single" w:sz="4" w:space="0" w:color="auto"/>
              <w:right w:val="single" w:sz="4" w:space="0" w:color="auto"/>
            </w:tcBorders>
            <w:shd w:val="clear" w:color="auto" w:fill="auto"/>
            <w:noWrap/>
            <w:vAlign w:val="center"/>
          </w:tcPr>
          <w:p w14:paraId="2991DAD4"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 (6, 13)</w:t>
            </w:r>
          </w:p>
        </w:tc>
        <w:tc>
          <w:tcPr>
            <w:tcW w:w="1350" w:type="dxa"/>
            <w:tcBorders>
              <w:top w:val="nil"/>
              <w:left w:val="nil"/>
              <w:bottom w:val="single" w:sz="4" w:space="0" w:color="auto"/>
              <w:right w:val="single" w:sz="4" w:space="0" w:color="auto"/>
            </w:tcBorders>
            <w:shd w:val="clear" w:color="auto" w:fill="auto"/>
            <w:noWrap/>
            <w:vAlign w:val="center"/>
          </w:tcPr>
          <w:p w14:paraId="5B84CCA8"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41 (35, 48)</w:t>
            </w:r>
          </w:p>
        </w:tc>
        <w:tc>
          <w:tcPr>
            <w:tcW w:w="1350" w:type="dxa"/>
            <w:tcBorders>
              <w:top w:val="nil"/>
              <w:left w:val="nil"/>
              <w:bottom w:val="single" w:sz="4" w:space="0" w:color="auto"/>
              <w:right w:val="single" w:sz="4" w:space="0" w:color="auto"/>
            </w:tcBorders>
            <w:shd w:val="clear" w:color="auto" w:fill="auto"/>
            <w:noWrap/>
            <w:vAlign w:val="center"/>
          </w:tcPr>
          <w:p w14:paraId="10AC3A7A"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84 (79, 87)</w:t>
            </w:r>
          </w:p>
        </w:tc>
        <w:tc>
          <w:tcPr>
            <w:tcW w:w="1350" w:type="dxa"/>
            <w:tcBorders>
              <w:top w:val="nil"/>
              <w:left w:val="nil"/>
              <w:bottom w:val="single" w:sz="4" w:space="0" w:color="auto"/>
              <w:right w:val="single" w:sz="4" w:space="0" w:color="auto"/>
            </w:tcBorders>
            <w:shd w:val="clear" w:color="auto" w:fill="auto"/>
            <w:noWrap/>
            <w:vAlign w:val="center"/>
          </w:tcPr>
          <w:p w14:paraId="3A4C0DF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91 (86, 94)</w:t>
            </w:r>
          </w:p>
        </w:tc>
        <w:tc>
          <w:tcPr>
            <w:tcW w:w="1440" w:type="dxa"/>
            <w:tcBorders>
              <w:top w:val="nil"/>
              <w:left w:val="nil"/>
              <w:bottom w:val="single" w:sz="4" w:space="0" w:color="auto"/>
              <w:right w:val="single" w:sz="4" w:space="0" w:color="auto"/>
            </w:tcBorders>
            <w:shd w:val="clear" w:color="auto" w:fill="auto"/>
            <w:noWrap/>
            <w:vAlign w:val="center"/>
          </w:tcPr>
          <w:p w14:paraId="12BFDC87"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699</w:t>
            </w:r>
          </w:p>
        </w:tc>
        <w:tc>
          <w:tcPr>
            <w:tcW w:w="1350" w:type="dxa"/>
            <w:tcBorders>
              <w:top w:val="nil"/>
              <w:left w:val="nil"/>
              <w:bottom w:val="single" w:sz="4" w:space="0" w:color="auto"/>
              <w:right w:val="single" w:sz="4" w:space="0" w:color="auto"/>
            </w:tcBorders>
            <w:shd w:val="clear" w:color="auto" w:fill="auto"/>
            <w:noWrap/>
            <w:vAlign w:val="center"/>
          </w:tcPr>
          <w:p w14:paraId="657BD1D3"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 (4, 9)</w:t>
            </w:r>
          </w:p>
        </w:tc>
        <w:tc>
          <w:tcPr>
            <w:tcW w:w="1440" w:type="dxa"/>
            <w:tcBorders>
              <w:top w:val="nil"/>
              <w:left w:val="nil"/>
              <w:bottom w:val="single" w:sz="4" w:space="0" w:color="auto"/>
              <w:right w:val="single" w:sz="4" w:space="0" w:color="auto"/>
            </w:tcBorders>
            <w:shd w:val="clear" w:color="auto" w:fill="auto"/>
            <w:noWrap/>
            <w:vAlign w:val="center"/>
          </w:tcPr>
          <w:p w14:paraId="5A2D80FD"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 (3, 13)</w:t>
            </w:r>
          </w:p>
        </w:tc>
        <w:tc>
          <w:tcPr>
            <w:tcW w:w="1350" w:type="dxa"/>
            <w:tcBorders>
              <w:top w:val="nil"/>
              <w:left w:val="nil"/>
              <w:bottom w:val="single" w:sz="4" w:space="0" w:color="auto"/>
              <w:right w:val="single" w:sz="4" w:space="0" w:color="auto"/>
            </w:tcBorders>
            <w:shd w:val="clear" w:color="auto" w:fill="auto"/>
            <w:noWrap/>
            <w:vAlign w:val="center"/>
          </w:tcPr>
          <w:p w14:paraId="1EBA54FC" w14:textId="0BC8F11E"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6D5B10AD" w14:textId="2B045D46"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3E2E19B4"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428E9D10"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Cambodia, 2014</w:t>
            </w:r>
          </w:p>
        </w:tc>
        <w:tc>
          <w:tcPr>
            <w:tcW w:w="1350" w:type="dxa"/>
            <w:tcBorders>
              <w:top w:val="nil"/>
              <w:left w:val="nil"/>
              <w:bottom w:val="single" w:sz="4" w:space="0" w:color="auto"/>
              <w:right w:val="single" w:sz="4" w:space="0" w:color="auto"/>
            </w:tcBorders>
            <w:shd w:val="clear" w:color="auto" w:fill="auto"/>
            <w:noWrap/>
            <w:vAlign w:val="center"/>
          </w:tcPr>
          <w:p w14:paraId="742C3D2F"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 (2, 6)</w:t>
            </w:r>
          </w:p>
        </w:tc>
        <w:tc>
          <w:tcPr>
            <w:tcW w:w="1350" w:type="dxa"/>
            <w:tcBorders>
              <w:top w:val="nil"/>
              <w:left w:val="nil"/>
              <w:bottom w:val="single" w:sz="4" w:space="0" w:color="auto"/>
              <w:right w:val="single" w:sz="4" w:space="0" w:color="auto"/>
            </w:tcBorders>
            <w:shd w:val="clear" w:color="auto" w:fill="auto"/>
            <w:noWrap/>
            <w:vAlign w:val="center"/>
          </w:tcPr>
          <w:p w14:paraId="6034342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63 (57, 69)</w:t>
            </w:r>
          </w:p>
        </w:tc>
        <w:tc>
          <w:tcPr>
            <w:tcW w:w="1350" w:type="dxa"/>
            <w:tcBorders>
              <w:top w:val="nil"/>
              <w:left w:val="nil"/>
              <w:bottom w:val="single" w:sz="4" w:space="0" w:color="auto"/>
              <w:right w:val="single" w:sz="4" w:space="0" w:color="auto"/>
            </w:tcBorders>
            <w:shd w:val="clear" w:color="auto" w:fill="auto"/>
            <w:noWrap/>
            <w:vAlign w:val="center"/>
          </w:tcPr>
          <w:p w14:paraId="4DC099C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61 (55, 67)</w:t>
            </w:r>
          </w:p>
        </w:tc>
        <w:tc>
          <w:tcPr>
            <w:tcW w:w="1350" w:type="dxa"/>
            <w:tcBorders>
              <w:top w:val="nil"/>
              <w:left w:val="nil"/>
              <w:bottom w:val="single" w:sz="4" w:space="0" w:color="auto"/>
              <w:right w:val="single" w:sz="4" w:space="0" w:color="auto"/>
            </w:tcBorders>
            <w:shd w:val="clear" w:color="auto" w:fill="auto"/>
            <w:noWrap/>
            <w:vAlign w:val="center"/>
          </w:tcPr>
          <w:p w14:paraId="70D90FB5"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84 (80, 88)</w:t>
            </w:r>
          </w:p>
        </w:tc>
        <w:tc>
          <w:tcPr>
            <w:tcW w:w="1440" w:type="dxa"/>
            <w:tcBorders>
              <w:top w:val="nil"/>
              <w:left w:val="nil"/>
              <w:bottom w:val="single" w:sz="4" w:space="0" w:color="auto"/>
              <w:right w:val="single" w:sz="4" w:space="0" w:color="auto"/>
            </w:tcBorders>
            <w:shd w:val="clear" w:color="auto" w:fill="auto"/>
            <w:noWrap/>
            <w:vAlign w:val="center"/>
          </w:tcPr>
          <w:p w14:paraId="523C827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689</w:t>
            </w:r>
          </w:p>
        </w:tc>
        <w:tc>
          <w:tcPr>
            <w:tcW w:w="1350" w:type="dxa"/>
            <w:tcBorders>
              <w:top w:val="nil"/>
              <w:left w:val="nil"/>
              <w:bottom w:val="single" w:sz="4" w:space="0" w:color="auto"/>
              <w:right w:val="single" w:sz="4" w:space="0" w:color="auto"/>
            </w:tcBorders>
            <w:shd w:val="clear" w:color="auto" w:fill="auto"/>
            <w:noWrap/>
            <w:vAlign w:val="center"/>
          </w:tcPr>
          <w:p w14:paraId="76662F33"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(2, 4)</w:t>
            </w:r>
          </w:p>
        </w:tc>
        <w:tc>
          <w:tcPr>
            <w:tcW w:w="1440" w:type="dxa"/>
            <w:tcBorders>
              <w:top w:val="nil"/>
              <w:left w:val="nil"/>
              <w:bottom w:val="single" w:sz="4" w:space="0" w:color="auto"/>
              <w:right w:val="single" w:sz="4" w:space="0" w:color="auto"/>
            </w:tcBorders>
            <w:shd w:val="clear" w:color="auto" w:fill="auto"/>
            <w:noWrap/>
            <w:vAlign w:val="center"/>
          </w:tcPr>
          <w:p w14:paraId="492DB02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(0, 3)</w:t>
            </w:r>
          </w:p>
        </w:tc>
        <w:tc>
          <w:tcPr>
            <w:tcW w:w="1350" w:type="dxa"/>
            <w:tcBorders>
              <w:top w:val="nil"/>
              <w:left w:val="nil"/>
              <w:bottom w:val="single" w:sz="4" w:space="0" w:color="auto"/>
              <w:right w:val="single" w:sz="4" w:space="0" w:color="auto"/>
            </w:tcBorders>
            <w:shd w:val="clear" w:color="auto" w:fill="auto"/>
            <w:noWrap/>
            <w:vAlign w:val="center"/>
          </w:tcPr>
          <w:p w14:paraId="78CBFFD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 (3, 7)</w:t>
            </w:r>
          </w:p>
        </w:tc>
        <w:tc>
          <w:tcPr>
            <w:tcW w:w="1350" w:type="dxa"/>
            <w:tcBorders>
              <w:top w:val="nil"/>
              <w:left w:val="nil"/>
              <w:bottom w:val="single" w:sz="4" w:space="0" w:color="auto"/>
              <w:right w:val="single" w:sz="4" w:space="0" w:color="auto"/>
            </w:tcBorders>
            <w:shd w:val="clear" w:color="auto" w:fill="auto"/>
            <w:noWrap/>
            <w:vAlign w:val="center"/>
          </w:tcPr>
          <w:p w14:paraId="4521D67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85 (80, 88)</w:t>
            </w:r>
          </w:p>
        </w:tc>
      </w:tr>
      <w:tr w:rsidR="006D1AA2" w:rsidRPr="004B3167" w14:paraId="4C076818"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099CF33F"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Cameroon, 2009</w:t>
            </w:r>
          </w:p>
        </w:tc>
        <w:tc>
          <w:tcPr>
            <w:tcW w:w="1350" w:type="dxa"/>
            <w:tcBorders>
              <w:top w:val="nil"/>
              <w:left w:val="nil"/>
              <w:bottom w:val="single" w:sz="4" w:space="0" w:color="auto"/>
              <w:right w:val="single" w:sz="4" w:space="0" w:color="auto"/>
            </w:tcBorders>
            <w:shd w:val="clear" w:color="auto" w:fill="auto"/>
            <w:noWrap/>
            <w:vAlign w:val="center"/>
          </w:tcPr>
          <w:p w14:paraId="652C7E18"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18 (13, 24)</w:t>
            </w:r>
          </w:p>
        </w:tc>
        <w:tc>
          <w:tcPr>
            <w:tcW w:w="1350" w:type="dxa"/>
            <w:tcBorders>
              <w:top w:val="nil"/>
              <w:left w:val="nil"/>
              <w:bottom w:val="single" w:sz="4" w:space="0" w:color="auto"/>
              <w:right w:val="single" w:sz="4" w:space="0" w:color="auto"/>
            </w:tcBorders>
            <w:shd w:val="clear" w:color="auto" w:fill="auto"/>
            <w:noWrap/>
            <w:vAlign w:val="center"/>
          </w:tcPr>
          <w:p w14:paraId="76EE401F"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84 (78, 89)</w:t>
            </w:r>
          </w:p>
        </w:tc>
        <w:tc>
          <w:tcPr>
            <w:tcW w:w="1350" w:type="dxa"/>
            <w:tcBorders>
              <w:top w:val="nil"/>
              <w:left w:val="nil"/>
              <w:bottom w:val="single" w:sz="4" w:space="0" w:color="auto"/>
              <w:right w:val="single" w:sz="4" w:space="0" w:color="auto"/>
            </w:tcBorders>
            <w:shd w:val="clear" w:color="auto" w:fill="auto"/>
            <w:noWrap/>
            <w:vAlign w:val="center"/>
          </w:tcPr>
          <w:p w14:paraId="2D1EEA9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35 (28, 44)</w:t>
            </w:r>
          </w:p>
        </w:tc>
        <w:tc>
          <w:tcPr>
            <w:tcW w:w="1350" w:type="dxa"/>
            <w:tcBorders>
              <w:top w:val="nil"/>
              <w:left w:val="nil"/>
              <w:bottom w:val="single" w:sz="4" w:space="0" w:color="auto"/>
              <w:right w:val="single" w:sz="4" w:space="0" w:color="auto"/>
            </w:tcBorders>
            <w:shd w:val="clear" w:color="auto" w:fill="auto"/>
            <w:noWrap/>
            <w:vAlign w:val="center"/>
          </w:tcPr>
          <w:p w14:paraId="16194F3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92 (88, 94)</w:t>
            </w:r>
          </w:p>
        </w:tc>
        <w:tc>
          <w:tcPr>
            <w:tcW w:w="1440" w:type="dxa"/>
            <w:tcBorders>
              <w:top w:val="nil"/>
              <w:left w:val="nil"/>
              <w:bottom w:val="single" w:sz="4" w:space="0" w:color="auto"/>
              <w:right w:val="single" w:sz="4" w:space="0" w:color="auto"/>
            </w:tcBorders>
            <w:shd w:val="clear" w:color="auto" w:fill="auto"/>
            <w:noWrap/>
            <w:vAlign w:val="center"/>
          </w:tcPr>
          <w:p w14:paraId="63FF92BE"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332</w:t>
            </w:r>
          </w:p>
        </w:tc>
        <w:tc>
          <w:tcPr>
            <w:tcW w:w="1350" w:type="dxa"/>
            <w:tcBorders>
              <w:top w:val="nil"/>
              <w:left w:val="nil"/>
              <w:bottom w:val="single" w:sz="4" w:space="0" w:color="auto"/>
              <w:right w:val="single" w:sz="4" w:space="0" w:color="auto"/>
            </w:tcBorders>
            <w:shd w:val="clear" w:color="auto" w:fill="auto"/>
            <w:noWrap/>
            <w:vAlign w:val="center"/>
          </w:tcPr>
          <w:p w14:paraId="5EAD669A"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(0, 2)</w:t>
            </w:r>
          </w:p>
        </w:tc>
        <w:tc>
          <w:tcPr>
            <w:tcW w:w="1440" w:type="dxa"/>
            <w:tcBorders>
              <w:top w:val="nil"/>
              <w:left w:val="nil"/>
              <w:bottom w:val="single" w:sz="4" w:space="0" w:color="auto"/>
              <w:right w:val="single" w:sz="4" w:space="0" w:color="auto"/>
            </w:tcBorders>
            <w:shd w:val="clear" w:color="auto" w:fill="auto"/>
            <w:noWrap/>
            <w:vAlign w:val="center"/>
          </w:tcPr>
          <w:p w14:paraId="3D460B25"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14 (10, 20)</w:t>
            </w:r>
          </w:p>
        </w:tc>
        <w:tc>
          <w:tcPr>
            <w:tcW w:w="1350" w:type="dxa"/>
            <w:tcBorders>
              <w:top w:val="nil"/>
              <w:left w:val="nil"/>
              <w:bottom w:val="single" w:sz="4" w:space="0" w:color="auto"/>
              <w:right w:val="single" w:sz="4" w:space="0" w:color="auto"/>
            </w:tcBorders>
            <w:shd w:val="clear" w:color="auto" w:fill="auto"/>
            <w:noWrap/>
            <w:vAlign w:val="center"/>
          </w:tcPr>
          <w:p w14:paraId="4326652E" w14:textId="0909BE54"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33046E47" w14:textId="7799001B"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168A6ECD"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53313370"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Côte d’Ivoire, 2007</w:t>
            </w:r>
          </w:p>
        </w:tc>
        <w:tc>
          <w:tcPr>
            <w:tcW w:w="1350" w:type="dxa"/>
            <w:tcBorders>
              <w:top w:val="nil"/>
              <w:left w:val="nil"/>
              <w:bottom w:val="single" w:sz="4" w:space="0" w:color="auto"/>
              <w:right w:val="single" w:sz="4" w:space="0" w:color="auto"/>
            </w:tcBorders>
            <w:shd w:val="clear" w:color="auto" w:fill="auto"/>
            <w:noWrap/>
            <w:vAlign w:val="center"/>
          </w:tcPr>
          <w:p w14:paraId="218F3DE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22 (19, 26)</w:t>
            </w:r>
          </w:p>
        </w:tc>
        <w:tc>
          <w:tcPr>
            <w:tcW w:w="1350" w:type="dxa"/>
            <w:tcBorders>
              <w:top w:val="nil"/>
              <w:left w:val="nil"/>
              <w:bottom w:val="single" w:sz="4" w:space="0" w:color="auto"/>
              <w:right w:val="single" w:sz="4" w:space="0" w:color="auto"/>
            </w:tcBorders>
            <w:shd w:val="clear" w:color="auto" w:fill="auto"/>
            <w:noWrap/>
            <w:vAlign w:val="center"/>
          </w:tcPr>
          <w:p w14:paraId="0F46CE8B" w14:textId="2922E6AB"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2A6E552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91 (88, 94)</w:t>
            </w:r>
          </w:p>
        </w:tc>
        <w:tc>
          <w:tcPr>
            <w:tcW w:w="1350" w:type="dxa"/>
            <w:tcBorders>
              <w:top w:val="nil"/>
              <w:left w:val="nil"/>
              <w:bottom w:val="single" w:sz="4" w:space="0" w:color="auto"/>
              <w:right w:val="single" w:sz="4" w:space="0" w:color="auto"/>
            </w:tcBorders>
            <w:shd w:val="clear" w:color="auto" w:fill="auto"/>
            <w:noWrap/>
            <w:vAlign w:val="center"/>
          </w:tcPr>
          <w:p w14:paraId="65C4BA63" w14:textId="2CE48D52"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472F5B48" w14:textId="7DF9B815"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r w:rsidRPr="00073683">
              <w:rPr>
                <w:rFonts w:ascii="Times New Roman" w:eastAsia="Times New Roman" w:hAnsi="Times New Roman" w:cs="Times New Roman"/>
                <w:color w:val="000000"/>
                <w:sz w:val="24"/>
                <w:szCs w:val="24"/>
              </w:rPr>
              <w:t>792</w:t>
            </w:r>
          </w:p>
        </w:tc>
        <w:tc>
          <w:tcPr>
            <w:tcW w:w="1350" w:type="dxa"/>
            <w:tcBorders>
              <w:top w:val="nil"/>
              <w:left w:val="nil"/>
              <w:bottom w:val="single" w:sz="4" w:space="0" w:color="auto"/>
              <w:right w:val="single" w:sz="4" w:space="0" w:color="auto"/>
            </w:tcBorders>
            <w:shd w:val="clear" w:color="auto" w:fill="auto"/>
            <w:noWrap/>
            <w:vAlign w:val="center"/>
          </w:tcPr>
          <w:p w14:paraId="7ECDA18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(0, 1)</w:t>
            </w:r>
          </w:p>
        </w:tc>
        <w:tc>
          <w:tcPr>
            <w:tcW w:w="1440" w:type="dxa"/>
            <w:tcBorders>
              <w:top w:val="nil"/>
              <w:left w:val="nil"/>
              <w:bottom w:val="single" w:sz="4" w:space="0" w:color="auto"/>
              <w:right w:val="single" w:sz="4" w:space="0" w:color="auto"/>
            </w:tcBorders>
            <w:shd w:val="clear" w:color="auto" w:fill="auto"/>
            <w:noWrap/>
            <w:vAlign w:val="center"/>
          </w:tcPr>
          <w:p w14:paraId="31BAF071"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18 (12, 26)</w:t>
            </w:r>
          </w:p>
        </w:tc>
        <w:tc>
          <w:tcPr>
            <w:tcW w:w="1350" w:type="dxa"/>
            <w:tcBorders>
              <w:top w:val="nil"/>
              <w:left w:val="nil"/>
              <w:bottom w:val="single" w:sz="4" w:space="0" w:color="auto"/>
              <w:right w:val="single" w:sz="4" w:space="0" w:color="auto"/>
            </w:tcBorders>
            <w:shd w:val="clear" w:color="auto" w:fill="auto"/>
            <w:noWrap/>
            <w:vAlign w:val="center"/>
          </w:tcPr>
          <w:p w14:paraId="6BA6F9A3" w14:textId="04E70D84"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7FC3D334" w14:textId="1721D7F3"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76A1F7DD"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57C95A28"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Ecuador, 2012</w:t>
            </w:r>
          </w:p>
        </w:tc>
        <w:tc>
          <w:tcPr>
            <w:tcW w:w="1350" w:type="dxa"/>
            <w:tcBorders>
              <w:top w:val="nil"/>
              <w:left w:val="nil"/>
              <w:bottom w:val="single" w:sz="4" w:space="0" w:color="auto"/>
              <w:right w:val="single" w:sz="4" w:space="0" w:color="auto"/>
            </w:tcBorders>
            <w:shd w:val="clear" w:color="auto" w:fill="auto"/>
            <w:noWrap/>
            <w:vAlign w:val="center"/>
          </w:tcPr>
          <w:p w14:paraId="62948666"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17 (16, 19)</w:t>
            </w:r>
          </w:p>
        </w:tc>
        <w:tc>
          <w:tcPr>
            <w:tcW w:w="1350" w:type="dxa"/>
            <w:tcBorders>
              <w:top w:val="nil"/>
              <w:left w:val="nil"/>
              <w:bottom w:val="single" w:sz="4" w:space="0" w:color="auto"/>
              <w:right w:val="single" w:sz="4" w:space="0" w:color="auto"/>
            </w:tcBorders>
            <w:shd w:val="clear" w:color="auto" w:fill="auto"/>
            <w:noWrap/>
            <w:vAlign w:val="center"/>
          </w:tcPr>
          <w:p w14:paraId="76F4D70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57 (55, 59)</w:t>
            </w:r>
          </w:p>
        </w:tc>
        <w:tc>
          <w:tcPr>
            <w:tcW w:w="1350" w:type="dxa"/>
            <w:tcBorders>
              <w:top w:val="nil"/>
              <w:left w:val="nil"/>
              <w:bottom w:val="single" w:sz="4" w:space="0" w:color="auto"/>
              <w:right w:val="single" w:sz="4" w:space="0" w:color="auto"/>
            </w:tcBorders>
            <w:shd w:val="clear" w:color="auto" w:fill="auto"/>
            <w:noWrap/>
            <w:vAlign w:val="center"/>
          </w:tcPr>
          <w:p w14:paraId="29EA6843"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10 (9, 11)</w:t>
            </w:r>
          </w:p>
        </w:tc>
        <w:tc>
          <w:tcPr>
            <w:tcW w:w="1350" w:type="dxa"/>
            <w:tcBorders>
              <w:top w:val="nil"/>
              <w:left w:val="nil"/>
              <w:bottom w:val="single" w:sz="4" w:space="0" w:color="auto"/>
              <w:right w:val="single" w:sz="4" w:space="0" w:color="auto"/>
            </w:tcBorders>
            <w:shd w:val="clear" w:color="auto" w:fill="auto"/>
            <w:noWrap/>
            <w:vAlign w:val="center"/>
          </w:tcPr>
          <w:p w14:paraId="20AE8CB6"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68 (66, 69)</w:t>
            </w:r>
          </w:p>
        </w:tc>
        <w:tc>
          <w:tcPr>
            <w:tcW w:w="1440" w:type="dxa"/>
            <w:tcBorders>
              <w:top w:val="nil"/>
              <w:left w:val="nil"/>
              <w:bottom w:val="single" w:sz="4" w:space="0" w:color="auto"/>
              <w:right w:val="single" w:sz="4" w:space="0" w:color="auto"/>
            </w:tcBorders>
            <w:shd w:val="clear" w:color="auto" w:fill="auto"/>
            <w:noWrap/>
            <w:vAlign w:val="center"/>
          </w:tcPr>
          <w:p w14:paraId="6358E8B3"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7230</w:t>
            </w:r>
          </w:p>
        </w:tc>
        <w:tc>
          <w:tcPr>
            <w:tcW w:w="1350" w:type="dxa"/>
            <w:tcBorders>
              <w:top w:val="nil"/>
              <w:left w:val="nil"/>
              <w:bottom w:val="single" w:sz="4" w:space="0" w:color="auto"/>
              <w:right w:val="single" w:sz="4" w:space="0" w:color="auto"/>
            </w:tcBorders>
            <w:shd w:val="clear" w:color="auto" w:fill="auto"/>
            <w:noWrap/>
            <w:vAlign w:val="center"/>
          </w:tcPr>
          <w:p w14:paraId="64E3F8E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(2, 4)</w:t>
            </w:r>
          </w:p>
        </w:tc>
        <w:tc>
          <w:tcPr>
            <w:tcW w:w="1440" w:type="dxa"/>
            <w:tcBorders>
              <w:top w:val="nil"/>
              <w:left w:val="nil"/>
              <w:bottom w:val="single" w:sz="4" w:space="0" w:color="auto"/>
              <w:right w:val="single" w:sz="4" w:space="0" w:color="auto"/>
            </w:tcBorders>
            <w:shd w:val="clear" w:color="auto" w:fill="auto"/>
            <w:noWrap/>
            <w:vAlign w:val="center"/>
          </w:tcPr>
          <w:p w14:paraId="18D0F357"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(1, 2)</w:t>
            </w:r>
          </w:p>
        </w:tc>
        <w:tc>
          <w:tcPr>
            <w:tcW w:w="1350" w:type="dxa"/>
            <w:tcBorders>
              <w:top w:val="nil"/>
              <w:left w:val="nil"/>
              <w:bottom w:val="single" w:sz="4" w:space="0" w:color="auto"/>
              <w:right w:val="single" w:sz="4" w:space="0" w:color="auto"/>
            </w:tcBorders>
            <w:shd w:val="clear" w:color="auto" w:fill="auto"/>
            <w:noWrap/>
            <w:vAlign w:val="center"/>
          </w:tcPr>
          <w:p w14:paraId="23140B47" w14:textId="30F45555"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53015EE2" w14:textId="229FE98E"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6F6F4987"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3EAECB7A"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Ethiopia, 2015</w:t>
            </w:r>
          </w:p>
        </w:tc>
        <w:tc>
          <w:tcPr>
            <w:tcW w:w="1350" w:type="dxa"/>
            <w:tcBorders>
              <w:top w:val="nil"/>
              <w:left w:val="nil"/>
              <w:bottom w:val="single" w:sz="4" w:space="0" w:color="auto"/>
              <w:right w:val="single" w:sz="4" w:space="0" w:color="auto"/>
            </w:tcBorders>
            <w:shd w:val="clear" w:color="auto" w:fill="auto"/>
            <w:noWrap/>
            <w:vAlign w:val="center"/>
          </w:tcPr>
          <w:p w14:paraId="52C0DA44"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 (7, 11)</w:t>
            </w:r>
          </w:p>
        </w:tc>
        <w:tc>
          <w:tcPr>
            <w:tcW w:w="1350" w:type="dxa"/>
            <w:tcBorders>
              <w:top w:val="nil"/>
              <w:left w:val="nil"/>
              <w:bottom w:val="single" w:sz="4" w:space="0" w:color="auto"/>
              <w:right w:val="single" w:sz="4" w:space="0" w:color="auto"/>
            </w:tcBorders>
            <w:shd w:val="clear" w:color="auto" w:fill="auto"/>
            <w:noWrap/>
            <w:vAlign w:val="center"/>
          </w:tcPr>
          <w:p w14:paraId="4B823F77"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21 (17, 24)</w:t>
            </w:r>
          </w:p>
        </w:tc>
        <w:tc>
          <w:tcPr>
            <w:tcW w:w="1350" w:type="dxa"/>
            <w:tcBorders>
              <w:top w:val="nil"/>
              <w:left w:val="nil"/>
              <w:bottom w:val="single" w:sz="4" w:space="0" w:color="auto"/>
              <w:right w:val="single" w:sz="4" w:space="0" w:color="auto"/>
            </w:tcBorders>
            <w:shd w:val="clear" w:color="auto" w:fill="auto"/>
            <w:noWrap/>
            <w:vAlign w:val="center"/>
          </w:tcPr>
          <w:p w14:paraId="5EC98D1F"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32 (28, 36)</w:t>
            </w:r>
          </w:p>
        </w:tc>
        <w:tc>
          <w:tcPr>
            <w:tcW w:w="1350" w:type="dxa"/>
            <w:tcBorders>
              <w:top w:val="nil"/>
              <w:left w:val="nil"/>
              <w:bottom w:val="single" w:sz="4" w:space="0" w:color="auto"/>
              <w:right w:val="single" w:sz="4" w:space="0" w:color="auto"/>
            </w:tcBorders>
            <w:shd w:val="clear" w:color="auto" w:fill="auto"/>
            <w:noWrap/>
            <w:vAlign w:val="center"/>
          </w:tcPr>
          <w:p w14:paraId="7537D6BE"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49 (44, 53)</w:t>
            </w:r>
          </w:p>
        </w:tc>
        <w:tc>
          <w:tcPr>
            <w:tcW w:w="1440" w:type="dxa"/>
            <w:tcBorders>
              <w:top w:val="nil"/>
              <w:left w:val="nil"/>
              <w:bottom w:val="single" w:sz="4" w:space="0" w:color="auto"/>
              <w:right w:val="single" w:sz="4" w:space="0" w:color="auto"/>
            </w:tcBorders>
            <w:shd w:val="clear" w:color="auto" w:fill="auto"/>
            <w:noWrap/>
            <w:vAlign w:val="center"/>
          </w:tcPr>
          <w:p w14:paraId="7A363A38"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1607</w:t>
            </w:r>
          </w:p>
        </w:tc>
        <w:tc>
          <w:tcPr>
            <w:tcW w:w="1350" w:type="dxa"/>
            <w:tcBorders>
              <w:top w:val="nil"/>
              <w:left w:val="nil"/>
              <w:bottom w:val="single" w:sz="4" w:space="0" w:color="auto"/>
              <w:right w:val="single" w:sz="4" w:space="0" w:color="auto"/>
            </w:tcBorders>
            <w:shd w:val="clear" w:color="auto" w:fill="auto"/>
            <w:noWrap/>
            <w:vAlign w:val="center"/>
          </w:tcPr>
          <w:p w14:paraId="0D6478A6"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 (3, 7)</w:t>
            </w:r>
          </w:p>
        </w:tc>
        <w:tc>
          <w:tcPr>
            <w:tcW w:w="1440" w:type="dxa"/>
            <w:tcBorders>
              <w:top w:val="nil"/>
              <w:left w:val="nil"/>
              <w:bottom w:val="single" w:sz="4" w:space="0" w:color="auto"/>
              <w:right w:val="single" w:sz="4" w:space="0" w:color="auto"/>
            </w:tcBorders>
            <w:shd w:val="clear" w:color="auto" w:fill="auto"/>
            <w:noWrap/>
            <w:vAlign w:val="center"/>
          </w:tcPr>
          <w:p w14:paraId="627526F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14 (11, 16)</w:t>
            </w:r>
          </w:p>
        </w:tc>
        <w:tc>
          <w:tcPr>
            <w:tcW w:w="1350" w:type="dxa"/>
            <w:tcBorders>
              <w:top w:val="nil"/>
              <w:left w:val="nil"/>
              <w:bottom w:val="single" w:sz="4" w:space="0" w:color="auto"/>
              <w:right w:val="single" w:sz="4" w:space="0" w:color="auto"/>
            </w:tcBorders>
            <w:shd w:val="clear" w:color="auto" w:fill="auto"/>
            <w:noWrap/>
            <w:vAlign w:val="center"/>
          </w:tcPr>
          <w:p w14:paraId="4365719B" w14:textId="3B14C435"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25C41BE8" w14:textId="18252D03"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46BA3E43"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1B64AD5E"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Georgia, 2009</w:t>
            </w:r>
          </w:p>
        </w:tc>
        <w:tc>
          <w:tcPr>
            <w:tcW w:w="1350" w:type="dxa"/>
            <w:tcBorders>
              <w:top w:val="nil"/>
              <w:left w:val="nil"/>
              <w:bottom w:val="single" w:sz="4" w:space="0" w:color="auto"/>
              <w:right w:val="single" w:sz="4" w:space="0" w:color="auto"/>
            </w:tcBorders>
            <w:shd w:val="clear" w:color="auto" w:fill="auto"/>
            <w:noWrap/>
            <w:vAlign w:val="center"/>
          </w:tcPr>
          <w:p w14:paraId="005BA33A"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 (1, 2)</w:t>
            </w:r>
          </w:p>
        </w:tc>
        <w:tc>
          <w:tcPr>
            <w:tcW w:w="1350" w:type="dxa"/>
            <w:tcBorders>
              <w:top w:val="nil"/>
              <w:left w:val="nil"/>
              <w:bottom w:val="single" w:sz="4" w:space="0" w:color="auto"/>
              <w:right w:val="single" w:sz="4" w:space="0" w:color="auto"/>
            </w:tcBorders>
            <w:shd w:val="clear" w:color="auto" w:fill="auto"/>
            <w:noWrap/>
            <w:vAlign w:val="center"/>
          </w:tcPr>
          <w:p w14:paraId="5691A4C3" w14:textId="05040153"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2C6AABA1"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52 (44, 59)</w:t>
            </w:r>
          </w:p>
        </w:tc>
        <w:tc>
          <w:tcPr>
            <w:tcW w:w="1350" w:type="dxa"/>
            <w:tcBorders>
              <w:top w:val="nil"/>
              <w:left w:val="nil"/>
              <w:bottom w:val="single" w:sz="4" w:space="0" w:color="auto"/>
              <w:right w:val="single" w:sz="4" w:space="0" w:color="auto"/>
            </w:tcBorders>
            <w:shd w:val="clear" w:color="auto" w:fill="auto"/>
            <w:noWrap/>
            <w:vAlign w:val="center"/>
          </w:tcPr>
          <w:p w14:paraId="1346F8BD" w14:textId="00C469A3"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24C11572" w14:textId="2D1B9198" w:rsidR="006D1AA2" w:rsidRPr="004B3167" w:rsidRDefault="006D1AA2" w:rsidP="006D1AA2">
            <w:pPr>
              <w:jc w:val="center"/>
              <w:rPr>
                <w:rFonts w:ascii="Times New Roman" w:eastAsia="Times New Roman" w:hAnsi="Times New Roman" w:cs="Times New Roman"/>
                <w:color w:val="000000"/>
                <w:sz w:val="24"/>
                <w:szCs w:val="24"/>
              </w:rPr>
            </w:pPr>
            <w:r w:rsidRPr="00DC3983">
              <w:rPr>
                <w:rFonts w:ascii="Times New Roman" w:eastAsia="Times New Roman" w:hAnsi="Times New Roman" w:cs="Times New Roman"/>
                <w:color w:val="000000"/>
                <w:sz w:val="24"/>
                <w:szCs w:val="24"/>
              </w:rPr>
              <w:t>407</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1E608564"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77EA120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69C2D2C3" w14:textId="7AB6B96A"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721C6777" w14:textId="5EA01C35"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6BA8C800"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71F357E5"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Ghana, 2017</w:t>
            </w:r>
          </w:p>
        </w:tc>
        <w:tc>
          <w:tcPr>
            <w:tcW w:w="1350" w:type="dxa"/>
            <w:tcBorders>
              <w:top w:val="nil"/>
              <w:left w:val="nil"/>
              <w:bottom w:val="single" w:sz="4" w:space="0" w:color="auto"/>
              <w:right w:val="single" w:sz="4" w:space="0" w:color="auto"/>
            </w:tcBorders>
            <w:shd w:val="clear" w:color="auto" w:fill="auto"/>
            <w:noWrap/>
            <w:vAlign w:val="center"/>
          </w:tcPr>
          <w:p w14:paraId="1F7FD7F1"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20 (16, 24)</w:t>
            </w:r>
          </w:p>
        </w:tc>
        <w:tc>
          <w:tcPr>
            <w:tcW w:w="1350" w:type="dxa"/>
            <w:tcBorders>
              <w:top w:val="nil"/>
              <w:left w:val="nil"/>
              <w:bottom w:val="single" w:sz="4" w:space="0" w:color="auto"/>
              <w:right w:val="single" w:sz="4" w:space="0" w:color="auto"/>
            </w:tcBorders>
            <w:shd w:val="clear" w:color="auto" w:fill="auto"/>
            <w:noWrap/>
            <w:vAlign w:val="center"/>
          </w:tcPr>
          <w:p w14:paraId="068BF3D3" w14:textId="05F5373A"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42158CC4"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59 (53, 65)</w:t>
            </w:r>
          </w:p>
        </w:tc>
        <w:tc>
          <w:tcPr>
            <w:tcW w:w="1350" w:type="dxa"/>
            <w:tcBorders>
              <w:top w:val="nil"/>
              <w:left w:val="nil"/>
              <w:bottom w:val="single" w:sz="4" w:space="0" w:color="auto"/>
              <w:right w:val="single" w:sz="4" w:space="0" w:color="auto"/>
            </w:tcBorders>
            <w:shd w:val="clear" w:color="auto" w:fill="auto"/>
            <w:noWrap/>
            <w:vAlign w:val="center"/>
          </w:tcPr>
          <w:p w14:paraId="4FC60E00" w14:textId="73E7A5CA"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7C13E4D2" w14:textId="2A5E27D9" w:rsidR="006D1AA2" w:rsidRPr="004B3167" w:rsidRDefault="006D1AA2" w:rsidP="006D1AA2">
            <w:pPr>
              <w:jc w:val="center"/>
              <w:rPr>
                <w:rFonts w:ascii="Times New Roman" w:eastAsia="Times New Roman" w:hAnsi="Times New Roman" w:cs="Times New Roman"/>
                <w:color w:val="000000"/>
                <w:sz w:val="24"/>
                <w:szCs w:val="24"/>
              </w:rPr>
            </w:pPr>
            <w:r w:rsidRPr="00E44F30">
              <w:rPr>
                <w:rFonts w:ascii="Times New Roman" w:eastAsia="Times New Roman" w:hAnsi="Times New Roman" w:cs="Times New Roman"/>
                <w:color w:val="000000"/>
                <w:sz w:val="24"/>
                <w:szCs w:val="24"/>
              </w:rPr>
              <w:t>466</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223E4FCA"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 (1, 3)</w:t>
            </w:r>
          </w:p>
        </w:tc>
        <w:tc>
          <w:tcPr>
            <w:tcW w:w="1440" w:type="dxa"/>
            <w:tcBorders>
              <w:top w:val="nil"/>
              <w:left w:val="nil"/>
              <w:bottom w:val="single" w:sz="4" w:space="0" w:color="auto"/>
              <w:right w:val="single" w:sz="4" w:space="0" w:color="auto"/>
            </w:tcBorders>
            <w:shd w:val="clear" w:color="auto" w:fill="auto"/>
            <w:noWrap/>
            <w:vAlign w:val="center"/>
          </w:tcPr>
          <w:p w14:paraId="4B87C9D4"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 (5, 10)</w:t>
            </w:r>
          </w:p>
        </w:tc>
        <w:tc>
          <w:tcPr>
            <w:tcW w:w="1350" w:type="dxa"/>
            <w:tcBorders>
              <w:top w:val="nil"/>
              <w:left w:val="nil"/>
              <w:bottom w:val="single" w:sz="4" w:space="0" w:color="auto"/>
              <w:right w:val="single" w:sz="4" w:space="0" w:color="auto"/>
            </w:tcBorders>
            <w:shd w:val="clear" w:color="auto" w:fill="auto"/>
            <w:noWrap/>
            <w:vAlign w:val="center"/>
          </w:tcPr>
          <w:p w14:paraId="3356B4DD" w14:textId="051ED437"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20655CE0" w14:textId="6CA65F70"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0CAE2EAB"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450DA4E8" w14:textId="1B060AE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Guatemala, 2013</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16</w:t>
            </w:r>
          </w:p>
        </w:tc>
        <w:tc>
          <w:tcPr>
            <w:tcW w:w="1350" w:type="dxa"/>
            <w:tcBorders>
              <w:top w:val="nil"/>
              <w:left w:val="nil"/>
              <w:bottom w:val="single" w:sz="4" w:space="0" w:color="auto"/>
              <w:right w:val="single" w:sz="4" w:space="0" w:color="auto"/>
            </w:tcBorders>
            <w:shd w:val="clear" w:color="auto" w:fill="auto"/>
            <w:noWrap/>
            <w:vAlign w:val="center"/>
          </w:tcPr>
          <w:p w14:paraId="377C2A54"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16 (15, 17)</w:t>
            </w:r>
          </w:p>
        </w:tc>
        <w:tc>
          <w:tcPr>
            <w:tcW w:w="1350" w:type="dxa"/>
            <w:tcBorders>
              <w:top w:val="nil"/>
              <w:left w:val="nil"/>
              <w:bottom w:val="single" w:sz="4" w:space="0" w:color="auto"/>
              <w:right w:val="single" w:sz="4" w:space="0" w:color="auto"/>
            </w:tcBorders>
            <w:shd w:val="clear" w:color="auto" w:fill="auto"/>
            <w:noWrap/>
            <w:vAlign w:val="center"/>
          </w:tcPr>
          <w:p w14:paraId="3170AE6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25 (18, 34)</w:t>
            </w:r>
          </w:p>
        </w:tc>
        <w:tc>
          <w:tcPr>
            <w:tcW w:w="1350" w:type="dxa"/>
            <w:tcBorders>
              <w:top w:val="nil"/>
              <w:left w:val="nil"/>
              <w:bottom w:val="single" w:sz="4" w:space="0" w:color="auto"/>
              <w:right w:val="single" w:sz="4" w:space="0" w:color="auto"/>
            </w:tcBorders>
            <w:shd w:val="clear" w:color="auto" w:fill="auto"/>
            <w:noWrap/>
            <w:vAlign w:val="center"/>
          </w:tcPr>
          <w:p w14:paraId="4ADEC596" w14:textId="68BFE2B0"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5F4ED91E" w14:textId="56AA9583"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6EEC34A1" w14:textId="0F419CC7" w:rsidR="006D1AA2" w:rsidRPr="004B3167" w:rsidRDefault="006D1AA2" w:rsidP="006D1AA2">
            <w:pPr>
              <w:jc w:val="center"/>
              <w:rPr>
                <w:rFonts w:ascii="Times New Roman" w:eastAsia="Times New Roman" w:hAnsi="Times New Roman" w:cs="Times New Roman"/>
                <w:color w:val="000000"/>
                <w:sz w:val="24"/>
                <w:szCs w:val="24"/>
              </w:rPr>
            </w:pPr>
            <w:r w:rsidRPr="001E4ABF">
              <w:rPr>
                <w:rFonts w:ascii="Times New Roman" w:eastAsia="Times New Roman" w:hAnsi="Times New Roman" w:cs="Times New Roman"/>
                <w:color w:val="000000"/>
                <w:sz w:val="24"/>
                <w:szCs w:val="24"/>
              </w:rPr>
              <w:t>209</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76ABF16E"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0 (0, 0)</w:t>
            </w:r>
          </w:p>
        </w:tc>
        <w:tc>
          <w:tcPr>
            <w:tcW w:w="1440" w:type="dxa"/>
            <w:tcBorders>
              <w:top w:val="nil"/>
              <w:left w:val="nil"/>
              <w:bottom w:val="single" w:sz="4" w:space="0" w:color="auto"/>
              <w:right w:val="single" w:sz="4" w:space="0" w:color="auto"/>
            </w:tcBorders>
            <w:shd w:val="clear" w:color="auto" w:fill="auto"/>
            <w:noWrap/>
            <w:vAlign w:val="center"/>
          </w:tcPr>
          <w:p w14:paraId="3D5A0D5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15 (12, 17)</w:t>
            </w:r>
          </w:p>
        </w:tc>
        <w:tc>
          <w:tcPr>
            <w:tcW w:w="1350" w:type="dxa"/>
            <w:tcBorders>
              <w:top w:val="nil"/>
              <w:left w:val="nil"/>
              <w:bottom w:val="single" w:sz="4" w:space="0" w:color="auto"/>
              <w:right w:val="single" w:sz="4" w:space="0" w:color="auto"/>
            </w:tcBorders>
            <w:shd w:val="clear" w:color="auto" w:fill="auto"/>
            <w:noWrap/>
            <w:vAlign w:val="center"/>
          </w:tcPr>
          <w:p w14:paraId="42BF5AC3" w14:textId="02326FEE"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4209CA99" w14:textId="550CC774"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18D0D03F"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11411CDB"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India, 2016</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18</w:t>
            </w:r>
          </w:p>
        </w:tc>
        <w:tc>
          <w:tcPr>
            <w:tcW w:w="1350" w:type="dxa"/>
            <w:tcBorders>
              <w:top w:val="nil"/>
              <w:left w:val="nil"/>
              <w:bottom w:val="single" w:sz="4" w:space="0" w:color="auto"/>
              <w:right w:val="single" w:sz="4" w:space="0" w:color="auto"/>
            </w:tcBorders>
            <w:shd w:val="clear" w:color="auto" w:fill="auto"/>
            <w:noWrap/>
            <w:vAlign w:val="center"/>
          </w:tcPr>
          <w:p w14:paraId="09FCC305"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37 (34, 41)</w:t>
            </w:r>
          </w:p>
        </w:tc>
        <w:tc>
          <w:tcPr>
            <w:tcW w:w="1350" w:type="dxa"/>
            <w:tcBorders>
              <w:top w:val="nil"/>
              <w:left w:val="nil"/>
              <w:bottom w:val="single" w:sz="4" w:space="0" w:color="auto"/>
              <w:right w:val="single" w:sz="4" w:space="0" w:color="auto"/>
            </w:tcBorders>
            <w:shd w:val="clear" w:color="auto" w:fill="auto"/>
            <w:noWrap/>
            <w:vAlign w:val="center"/>
          </w:tcPr>
          <w:p w14:paraId="40D258E7"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31 (28, 35)</w:t>
            </w:r>
          </w:p>
        </w:tc>
        <w:tc>
          <w:tcPr>
            <w:tcW w:w="1350" w:type="dxa"/>
            <w:tcBorders>
              <w:top w:val="nil"/>
              <w:left w:val="nil"/>
              <w:bottom w:val="single" w:sz="4" w:space="0" w:color="auto"/>
              <w:right w:val="single" w:sz="4" w:space="0" w:color="auto"/>
            </w:tcBorders>
            <w:shd w:val="clear" w:color="auto" w:fill="auto"/>
            <w:noWrap/>
            <w:vAlign w:val="center"/>
          </w:tcPr>
          <w:p w14:paraId="60A977B3"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58 (54, 61)</w:t>
            </w:r>
          </w:p>
        </w:tc>
        <w:tc>
          <w:tcPr>
            <w:tcW w:w="1350" w:type="dxa"/>
            <w:tcBorders>
              <w:top w:val="nil"/>
              <w:left w:val="nil"/>
              <w:bottom w:val="single" w:sz="4" w:space="0" w:color="auto"/>
              <w:right w:val="single" w:sz="4" w:space="0" w:color="auto"/>
            </w:tcBorders>
            <w:shd w:val="clear" w:color="auto" w:fill="auto"/>
            <w:noWrap/>
            <w:vAlign w:val="center"/>
          </w:tcPr>
          <w:p w14:paraId="6061E97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81 (77, 84)</w:t>
            </w:r>
          </w:p>
        </w:tc>
        <w:tc>
          <w:tcPr>
            <w:tcW w:w="1440" w:type="dxa"/>
            <w:tcBorders>
              <w:top w:val="nil"/>
              <w:left w:val="nil"/>
              <w:bottom w:val="single" w:sz="4" w:space="0" w:color="auto"/>
              <w:right w:val="single" w:sz="4" w:space="0" w:color="auto"/>
            </w:tcBorders>
            <w:shd w:val="clear" w:color="auto" w:fill="auto"/>
            <w:noWrap/>
            <w:vAlign w:val="center"/>
          </w:tcPr>
          <w:p w14:paraId="27455E9B"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2348</w:t>
            </w:r>
          </w:p>
        </w:tc>
        <w:tc>
          <w:tcPr>
            <w:tcW w:w="1350" w:type="dxa"/>
            <w:tcBorders>
              <w:top w:val="nil"/>
              <w:left w:val="nil"/>
              <w:bottom w:val="single" w:sz="4" w:space="0" w:color="auto"/>
              <w:right w:val="single" w:sz="4" w:space="0" w:color="auto"/>
            </w:tcBorders>
            <w:shd w:val="clear" w:color="auto" w:fill="auto"/>
            <w:noWrap/>
            <w:vAlign w:val="center"/>
          </w:tcPr>
          <w:p w14:paraId="2B4B2FE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12 (9, 15)</w:t>
            </w:r>
          </w:p>
        </w:tc>
        <w:tc>
          <w:tcPr>
            <w:tcW w:w="1440" w:type="dxa"/>
            <w:tcBorders>
              <w:top w:val="nil"/>
              <w:left w:val="nil"/>
              <w:bottom w:val="single" w:sz="4" w:space="0" w:color="auto"/>
              <w:right w:val="single" w:sz="4" w:space="0" w:color="auto"/>
            </w:tcBorders>
            <w:shd w:val="clear" w:color="auto" w:fill="auto"/>
            <w:noWrap/>
            <w:vAlign w:val="center"/>
          </w:tcPr>
          <w:p w14:paraId="7E78C731"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29 (26, 33)</w:t>
            </w:r>
          </w:p>
        </w:tc>
        <w:tc>
          <w:tcPr>
            <w:tcW w:w="1350" w:type="dxa"/>
            <w:tcBorders>
              <w:top w:val="nil"/>
              <w:left w:val="nil"/>
              <w:bottom w:val="single" w:sz="4" w:space="0" w:color="auto"/>
              <w:right w:val="single" w:sz="4" w:space="0" w:color="auto"/>
            </w:tcBorders>
            <w:shd w:val="clear" w:color="auto" w:fill="auto"/>
            <w:noWrap/>
            <w:vAlign w:val="center"/>
          </w:tcPr>
          <w:p w14:paraId="7A7E97B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24 (21, 28)</w:t>
            </w:r>
          </w:p>
        </w:tc>
        <w:tc>
          <w:tcPr>
            <w:tcW w:w="1350" w:type="dxa"/>
            <w:tcBorders>
              <w:top w:val="nil"/>
              <w:left w:val="nil"/>
              <w:bottom w:val="single" w:sz="4" w:space="0" w:color="auto"/>
              <w:right w:val="single" w:sz="4" w:space="0" w:color="auto"/>
            </w:tcBorders>
            <w:shd w:val="clear" w:color="auto" w:fill="auto"/>
            <w:noWrap/>
            <w:vAlign w:val="center"/>
          </w:tcPr>
          <w:p w14:paraId="658E229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89 (86, 92)</w:t>
            </w:r>
          </w:p>
        </w:tc>
      </w:tr>
      <w:tr w:rsidR="006D1AA2" w:rsidRPr="004B3167" w14:paraId="7B640A10"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1DD1C3E0"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Malawi, 2015</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16</w:t>
            </w:r>
          </w:p>
        </w:tc>
        <w:tc>
          <w:tcPr>
            <w:tcW w:w="1350" w:type="dxa"/>
            <w:tcBorders>
              <w:top w:val="nil"/>
              <w:left w:val="nil"/>
              <w:bottom w:val="single" w:sz="4" w:space="0" w:color="auto"/>
              <w:right w:val="single" w:sz="4" w:space="0" w:color="auto"/>
            </w:tcBorders>
            <w:shd w:val="clear" w:color="auto" w:fill="auto"/>
            <w:noWrap/>
            <w:vAlign w:val="center"/>
          </w:tcPr>
          <w:p w14:paraId="13542AB1"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15 (12, 19)</w:t>
            </w:r>
          </w:p>
        </w:tc>
        <w:tc>
          <w:tcPr>
            <w:tcW w:w="1350" w:type="dxa"/>
            <w:tcBorders>
              <w:top w:val="nil"/>
              <w:left w:val="nil"/>
              <w:bottom w:val="single" w:sz="4" w:space="0" w:color="auto"/>
              <w:right w:val="single" w:sz="4" w:space="0" w:color="auto"/>
            </w:tcBorders>
            <w:shd w:val="clear" w:color="auto" w:fill="auto"/>
            <w:noWrap/>
            <w:vAlign w:val="center"/>
          </w:tcPr>
          <w:p w14:paraId="1EF67243"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58 (52, 64)</w:t>
            </w:r>
          </w:p>
        </w:tc>
        <w:tc>
          <w:tcPr>
            <w:tcW w:w="1350" w:type="dxa"/>
            <w:tcBorders>
              <w:top w:val="nil"/>
              <w:left w:val="nil"/>
              <w:bottom w:val="single" w:sz="4" w:space="0" w:color="auto"/>
              <w:right w:val="single" w:sz="4" w:space="0" w:color="auto"/>
            </w:tcBorders>
            <w:shd w:val="clear" w:color="auto" w:fill="auto"/>
            <w:noWrap/>
            <w:vAlign w:val="center"/>
          </w:tcPr>
          <w:p w14:paraId="6F8A4363"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23 (18, 29)</w:t>
            </w:r>
          </w:p>
        </w:tc>
        <w:tc>
          <w:tcPr>
            <w:tcW w:w="1350" w:type="dxa"/>
            <w:tcBorders>
              <w:top w:val="nil"/>
              <w:left w:val="nil"/>
              <w:bottom w:val="single" w:sz="4" w:space="0" w:color="auto"/>
              <w:right w:val="single" w:sz="4" w:space="0" w:color="auto"/>
            </w:tcBorders>
            <w:shd w:val="clear" w:color="auto" w:fill="auto"/>
            <w:noWrap/>
            <w:vAlign w:val="center"/>
          </w:tcPr>
          <w:p w14:paraId="26481F0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72 (67, 77)</w:t>
            </w:r>
          </w:p>
        </w:tc>
        <w:tc>
          <w:tcPr>
            <w:tcW w:w="1440" w:type="dxa"/>
            <w:tcBorders>
              <w:top w:val="nil"/>
              <w:left w:val="nil"/>
              <w:bottom w:val="single" w:sz="4" w:space="0" w:color="auto"/>
              <w:right w:val="single" w:sz="4" w:space="0" w:color="auto"/>
            </w:tcBorders>
            <w:shd w:val="clear" w:color="auto" w:fill="auto"/>
            <w:noWrap/>
            <w:vAlign w:val="center"/>
          </w:tcPr>
          <w:p w14:paraId="37DA54E3"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746</w:t>
            </w:r>
          </w:p>
        </w:tc>
        <w:tc>
          <w:tcPr>
            <w:tcW w:w="1350" w:type="dxa"/>
            <w:tcBorders>
              <w:top w:val="nil"/>
              <w:left w:val="nil"/>
              <w:bottom w:val="single" w:sz="4" w:space="0" w:color="auto"/>
              <w:right w:val="single" w:sz="4" w:space="0" w:color="auto"/>
            </w:tcBorders>
            <w:shd w:val="clear" w:color="auto" w:fill="auto"/>
            <w:noWrap/>
            <w:vAlign w:val="center"/>
          </w:tcPr>
          <w:p w14:paraId="4DF7550B"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(2, 5)</w:t>
            </w:r>
          </w:p>
        </w:tc>
        <w:tc>
          <w:tcPr>
            <w:tcW w:w="1440" w:type="dxa"/>
            <w:tcBorders>
              <w:top w:val="nil"/>
              <w:left w:val="nil"/>
              <w:bottom w:val="single" w:sz="4" w:space="0" w:color="auto"/>
              <w:right w:val="single" w:sz="4" w:space="0" w:color="auto"/>
            </w:tcBorders>
            <w:shd w:val="clear" w:color="auto" w:fill="auto"/>
            <w:noWrap/>
            <w:vAlign w:val="center"/>
          </w:tcPr>
          <w:p w14:paraId="248652E7"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13 (9, 17)</w:t>
            </w:r>
          </w:p>
        </w:tc>
        <w:tc>
          <w:tcPr>
            <w:tcW w:w="1350" w:type="dxa"/>
            <w:tcBorders>
              <w:top w:val="nil"/>
              <w:left w:val="nil"/>
              <w:bottom w:val="single" w:sz="4" w:space="0" w:color="auto"/>
              <w:right w:val="single" w:sz="4" w:space="0" w:color="auto"/>
            </w:tcBorders>
            <w:shd w:val="clear" w:color="auto" w:fill="auto"/>
            <w:noWrap/>
            <w:vAlign w:val="center"/>
          </w:tcPr>
          <w:p w14:paraId="50271B78" w14:textId="468370BA"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0755A33D" w14:textId="75B82D94"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2388C5DA"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47E2FCC7"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Mexico, 2006</w:t>
            </w:r>
          </w:p>
        </w:tc>
        <w:tc>
          <w:tcPr>
            <w:tcW w:w="1350" w:type="dxa"/>
            <w:tcBorders>
              <w:top w:val="nil"/>
              <w:left w:val="nil"/>
              <w:bottom w:val="single" w:sz="4" w:space="0" w:color="auto"/>
              <w:right w:val="single" w:sz="4" w:space="0" w:color="auto"/>
            </w:tcBorders>
            <w:shd w:val="clear" w:color="auto" w:fill="auto"/>
            <w:noWrap/>
            <w:vAlign w:val="center"/>
          </w:tcPr>
          <w:p w14:paraId="6A08269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35 (32, 39)</w:t>
            </w:r>
          </w:p>
        </w:tc>
        <w:tc>
          <w:tcPr>
            <w:tcW w:w="1350" w:type="dxa"/>
            <w:tcBorders>
              <w:top w:val="nil"/>
              <w:left w:val="nil"/>
              <w:bottom w:val="single" w:sz="4" w:space="0" w:color="auto"/>
              <w:right w:val="single" w:sz="4" w:space="0" w:color="auto"/>
            </w:tcBorders>
            <w:shd w:val="clear" w:color="auto" w:fill="auto"/>
            <w:noWrap/>
            <w:vAlign w:val="center"/>
          </w:tcPr>
          <w:p w14:paraId="55BDA04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29 (25, 34)</w:t>
            </w:r>
          </w:p>
        </w:tc>
        <w:tc>
          <w:tcPr>
            <w:tcW w:w="1350" w:type="dxa"/>
            <w:tcBorders>
              <w:top w:val="nil"/>
              <w:left w:val="nil"/>
              <w:bottom w:val="single" w:sz="4" w:space="0" w:color="auto"/>
              <w:right w:val="single" w:sz="4" w:space="0" w:color="auto"/>
            </w:tcBorders>
            <w:shd w:val="clear" w:color="auto" w:fill="auto"/>
            <w:noWrap/>
            <w:vAlign w:val="center"/>
          </w:tcPr>
          <w:p w14:paraId="66BAEF27" w14:textId="59E403A8"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2C7594D2" w14:textId="4101C013"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35DAF41D" w14:textId="7C6F4EA8"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r w:rsidRPr="00594D90">
              <w:rPr>
                <w:rFonts w:ascii="Times New Roman" w:eastAsia="Times New Roman" w:hAnsi="Times New Roman" w:cs="Times New Roman"/>
                <w:color w:val="000000"/>
                <w:sz w:val="24"/>
                <w:szCs w:val="24"/>
              </w:rPr>
              <w:t>1813</w:t>
            </w:r>
          </w:p>
        </w:tc>
        <w:tc>
          <w:tcPr>
            <w:tcW w:w="1350" w:type="dxa"/>
            <w:tcBorders>
              <w:top w:val="nil"/>
              <w:left w:val="nil"/>
              <w:bottom w:val="single" w:sz="4" w:space="0" w:color="auto"/>
              <w:right w:val="single" w:sz="4" w:space="0" w:color="auto"/>
            </w:tcBorders>
            <w:shd w:val="clear" w:color="auto" w:fill="auto"/>
            <w:noWrap/>
            <w:vAlign w:val="center"/>
          </w:tcPr>
          <w:p w14:paraId="2BD3BC60" w14:textId="70345C03"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74EE7F6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7C9B362F" w14:textId="7BC20CFE"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697AB543" w14:textId="25DB338A"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244E4138"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511AEEFF"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Mexico, 2012</w:t>
            </w:r>
          </w:p>
        </w:tc>
        <w:tc>
          <w:tcPr>
            <w:tcW w:w="1350" w:type="dxa"/>
            <w:tcBorders>
              <w:top w:val="nil"/>
              <w:left w:val="nil"/>
              <w:bottom w:val="single" w:sz="4" w:space="0" w:color="auto"/>
              <w:right w:val="single" w:sz="4" w:space="0" w:color="auto"/>
            </w:tcBorders>
            <w:shd w:val="clear" w:color="auto" w:fill="auto"/>
            <w:noWrap/>
            <w:vAlign w:val="center"/>
          </w:tcPr>
          <w:p w14:paraId="114F8C53"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43 (39, 46)</w:t>
            </w:r>
          </w:p>
        </w:tc>
        <w:tc>
          <w:tcPr>
            <w:tcW w:w="1350" w:type="dxa"/>
            <w:tcBorders>
              <w:top w:val="nil"/>
              <w:left w:val="nil"/>
              <w:bottom w:val="single" w:sz="4" w:space="0" w:color="auto"/>
              <w:right w:val="single" w:sz="4" w:space="0" w:color="auto"/>
            </w:tcBorders>
            <w:shd w:val="clear" w:color="auto" w:fill="auto"/>
            <w:noWrap/>
            <w:vAlign w:val="center"/>
          </w:tcPr>
          <w:p w14:paraId="33C6FDE8" w14:textId="5AA6AF41"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7407782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(2, 4)</w:t>
            </w:r>
          </w:p>
        </w:tc>
        <w:tc>
          <w:tcPr>
            <w:tcW w:w="1350" w:type="dxa"/>
            <w:tcBorders>
              <w:top w:val="nil"/>
              <w:left w:val="nil"/>
              <w:bottom w:val="single" w:sz="4" w:space="0" w:color="auto"/>
              <w:right w:val="single" w:sz="4" w:space="0" w:color="auto"/>
            </w:tcBorders>
            <w:shd w:val="clear" w:color="auto" w:fill="auto"/>
            <w:noWrap/>
            <w:vAlign w:val="center"/>
          </w:tcPr>
          <w:p w14:paraId="5D989BCC" w14:textId="3FB83E27"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429DCD3B" w14:textId="74EF5188" w:rsidR="006D1AA2" w:rsidRPr="004B3167" w:rsidRDefault="006D1AA2" w:rsidP="006D1AA2">
            <w:pPr>
              <w:jc w:val="center"/>
              <w:rPr>
                <w:rFonts w:ascii="Times New Roman" w:eastAsia="Times New Roman" w:hAnsi="Times New Roman" w:cs="Times New Roman"/>
                <w:color w:val="000000"/>
                <w:sz w:val="24"/>
                <w:szCs w:val="24"/>
              </w:rPr>
            </w:pPr>
            <w:r w:rsidRPr="00594D90">
              <w:rPr>
                <w:rFonts w:ascii="Times New Roman" w:eastAsia="Times New Roman" w:hAnsi="Times New Roman" w:cs="Times New Roman"/>
                <w:color w:val="000000"/>
                <w:sz w:val="24"/>
                <w:szCs w:val="24"/>
              </w:rPr>
              <w:t>3603</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3AD72E65" w14:textId="3F48BC62"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6C1BA9F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 (1, 2)</w:t>
            </w:r>
          </w:p>
        </w:tc>
        <w:tc>
          <w:tcPr>
            <w:tcW w:w="1350" w:type="dxa"/>
            <w:tcBorders>
              <w:top w:val="nil"/>
              <w:left w:val="nil"/>
              <w:bottom w:val="single" w:sz="4" w:space="0" w:color="auto"/>
              <w:right w:val="single" w:sz="4" w:space="0" w:color="auto"/>
            </w:tcBorders>
            <w:shd w:val="clear" w:color="auto" w:fill="auto"/>
            <w:noWrap/>
            <w:vAlign w:val="center"/>
          </w:tcPr>
          <w:p w14:paraId="7C552BD1" w14:textId="74266BEC"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6A7EFA1E" w14:textId="095D6CF4"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025799DB"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6928BF88"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Nepal, 2016</w:t>
            </w:r>
          </w:p>
        </w:tc>
        <w:tc>
          <w:tcPr>
            <w:tcW w:w="1350" w:type="dxa"/>
            <w:tcBorders>
              <w:top w:val="nil"/>
              <w:left w:val="nil"/>
              <w:bottom w:val="single" w:sz="4" w:space="0" w:color="auto"/>
              <w:right w:val="single" w:sz="4" w:space="0" w:color="auto"/>
            </w:tcBorders>
            <w:shd w:val="clear" w:color="auto" w:fill="auto"/>
            <w:noWrap/>
            <w:vAlign w:val="center"/>
          </w:tcPr>
          <w:p w14:paraId="5B48BB77"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19 (16, 21)</w:t>
            </w:r>
          </w:p>
        </w:tc>
        <w:tc>
          <w:tcPr>
            <w:tcW w:w="1350" w:type="dxa"/>
            <w:tcBorders>
              <w:top w:val="nil"/>
              <w:left w:val="nil"/>
              <w:bottom w:val="single" w:sz="4" w:space="0" w:color="auto"/>
              <w:right w:val="single" w:sz="4" w:space="0" w:color="auto"/>
            </w:tcBorders>
            <w:shd w:val="clear" w:color="auto" w:fill="auto"/>
            <w:noWrap/>
            <w:vAlign w:val="center"/>
          </w:tcPr>
          <w:p w14:paraId="104CB62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25 (22, 28)</w:t>
            </w:r>
          </w:p>
        </w:tc>
        <w:tc>
          <w:tcPr>
            <w:tcW w:w="1350" w:type="dxa"/>
            <w:tcBorders>
              <w:top w:val="nil"/>
              <w:left w:val="nil"/>
              <w:bottom w:val="single" w:sz="4" w:space="0" w:color="auto"/>
              <w:right w:val="single" w:sz="4" w:space="0" w:color="auto"/>
            </w:tcBorders>
            <w:shd w:val="clear" w:color="auto" w:fill="auto"/>
            <w:noWrap/>
            <w:vAlign w:val="center"/>
          </w:tcPr>
          <w:p w14:paraId="69F3A0B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16 (13, 19)</w:t>
            </w:r>
          </w:p>
        </w:tc>
        <w:tc>
          <w:tcPr>
            <w:tcW w:w="1350" w:type="dxa"/>
            <w:tcBorders>
              <w:top w:val="nil"/>
              <w:left w:val="nil"/>
              <w:bottom w:val="single" w:sz="4" w:space="0" w:color="auto"/>
              <w:right w:val="single" w:sz="4" w:space="0" w:color="auto"/>
            </w:tcBorders>
            <w:shd w:val="clear" w:color="auto" w:fill="auto"/>
            <w:noWrap/>
            <w:vAlign w:val="center"/>
          </w:tcPr>
          <w:p w14:paraId="4268B9E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49 (46, 52)</w:t>
            </w:r>
          </w:p>
        </w:tc>
        <w:tc>
          <w:tcPr>
            <w:tcW w:w="1440" w:type="dxa"/>
            <w:tcBorders>
              <w:top w:val="nil"/>
              <w:left w:val="nil"/>
              <w:bottom w:val="single" w:sz="4" w:space="0" w:color="auto"/>
              <w:right w:val="single" w:sz="4" w:space="0" w:color="auto"/>
            </w:tcBorders>
            <w:shd w:val="clear" w:color="auto" w:fill="auto"/>
            <w:noWrap/>
            <w:vAlign w:val="center"/>
          </w:tcPr>
          <w:p w14:paraId="46B0F30A"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2125</w:t>
            </w:r>
          </w:p>
        </w:tc>
        <w:tc>
          <w:tcPr>
            <w:tcW w:w="1350" w:type="dxa"/>
            <w:tcBorders>
              <w:top w:val="nil"/>
              <w:left w:val="nil"/>
              <w:bottom w:val="single" w:sz="4" w:space="0" w:color="auto"/>
              <w:right w:val="single" w:sz="4" w:space="0" w:color="auto"/>
            </w:tcBorders>
            <w:shd w:val="clear" w:color="auto" w:fill="auto"/>
            <w:noWrap/>
            <w:vAlign w:val="center"/>
          </w:tcPr>
          <w:p w14:paraId="0D68A6D8"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(1, 2)</w:t>
            </w:r>
          </w:p>
        </w:tc>
        <w:tc>
          <w:tcPr>
            <w:tcW w:w="1440" w:type="dxa"/>
            <w:tcBorders>
              <w:top w:val="nil"/>
              <w:left w:val="nil"/>
              <w:bottom w:val="single" w:sz="4" w:space="0" w:color="auto"/>
              <w:right w:val="single" w:sz="4" w:space="0" w:color="auto"/>
            </w:tcBorders>
            <w:shd w:val="clear" w:color="auto" w:fill="auto"/>
            <w:noWrap/>
            <w:vAlign w:val="center"/>
          </w:tcPr>
          <w:p w14:paraId="02D568A4"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501C0995" w14:textId="0CF33DF0"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5EA88733" w14:textId="34C59DD2"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59EA3DAB"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75B6105E"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Pakistan, 2011</w:t>
            </w:r>
          </w:p>
        </w:tc>
        <w:tc>
          <w:tcPr>
            <w:tcW w:w="1350" w:type="dxa"/>
            <w:tcBorders>
              <w:top w:val="nil"/>
              <w:left w:val="nil"/>
              <w:bottom w:val="single" w:sz="4" w:space="0" w:color="auto"/>
              <w:right w:val="single" w:sz="4" w:space="0" w:color="auto"/>
            </w:tcBorders>
            <w:shd w:val="clear" w:color="auto" w:fill="auto"/>
            <w:noWrap/>
            <w:vAlign w:val="center"/>
          </w:tcPr>
          <w:p w14:paraId="649ECDA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42 (41, 44)</w:t>
            </w:r>
          </w:p>
        </w:tc>
        <w:tc>
          <w:tcPr>
            <w:tcW w:w="1350" w:type="dxa"/>
            <w:tcBorders>
              <w:top w:val="nil"/>
              <w:left w:val="nil"/>
              <w:bottom w:val="single" w:sz="4" w:space="0" w:color="auto"/>
              <w:right w:val="single" w:sz="4" w:space="0" w:color="auto"/>
            </w:tcBorders>
            <w:shd w:val="clear" w:color="auto" w:fill="auto"/>
            <w:noWrap/>
            <w:vAlign w:val="center"/>
          </w:tcPr>
          <w:p w14:paraId="3B435E0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46 (44, 48)</w:t>
            </w:r>
          </w:p>
        </w:tc>
        <w:tc>
          <w:tcPr>
            <w:tcW w:w="1350" w:type="dxa"/>
            <w:tcBorders>
              <w:top w:val="nil"/>
              <w:left w:val="nil"/>
              <w:bottom w:val="single" w:sz="4" w:space="0" w:color="auto"/>
              <w:right w:val="single" w:sz="4" w:space="0" w:color="auto"/>
            </w:tcBorders>
            <w:shd w:val="clear" w:color="auto" w:fill="auto"/>
            <w:noWrap/>
            <w:vAlign w:val="center"/>
          </w:tcPr>
          <w:p w14:paraId="227BD3EB" w14:textId="218A54FC"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037DA4E2" w14:textId="321592D3"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062B22A9" w14:textId="5EE6A3A3" w:rsidR="006D1AA2" w:rsidRPr="004B3167" w:rsidRDefault="006D1AA2" w:rsidP="006D1AA2">
            <w:pPr>
              <w:jc w:val="center"/>
              <w:rPr>
                <w:rFonts w:ascii="Times New Roman" w:eastAsia="Times New Roman" w:hAnsi="Times New Roman" w:cs="Times New Roman"/>
                <w:color w:val="000000"/>
                <w:sz w:val="24"/>
                <w:szCs w:val="24"/>
              </w:rPr>
            </w:pPr>
            <w:r w:rsidRPr="008E0960">
              <w:rPr>
                <w:rFonts w:ascii="Times New Roman" w:eastAsia="Times New Roman" w:hAnsi="Times New Roman" w:cs="Times New Roman"/>
                <w:color w:val="000000"/>
                <w:sz w:val="24"/>
                <w:szCs w:val="24"/>
              </w:rPr>
              <w:t>7390</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3FDD557B"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42 (40, 44)</w:t>
            </w:r>
          </w:p>
        </w:tc>
        <w:tc>
          <w:tcPr>
            <w:tcW w:w="1440" w:type="dxa"/>
            <w:tcBorders>
              <w:top w:val="nil"/>
              <w:left w:val="nil"/>
              <w:bottom w:val="single" w:sz="4" w:space="0" w:color="auto"/>
              <w:right w:val="single" w:sz="4" w:space="0" w:color="auto"/>
            </w:tcBorders>
            <w:shd w:val="clear" w:color="auto" w:fill="auto"/>
            <w:noWrap/>
            <w:vAlign w:val="center"/>
          </w:tcPr>
          <w:p w14:paraId="29253058"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52 (50, 55)</w:t>
            </w:r>
          </w:p>
        </w:tc>
        <w:tc>
          <w:tcPr>
            <w:tcW w:w="1350" w:type="dxa"/>
            <w:tcBorders>
              <w:top w:val="nil"/>
              <w:left w:val="nil"/>
              <w:bottom w:val="single" w:sz="4" w:space="0" w:color="auto"/>
              <w:right w:val="single" w:sz="4" w:space="0" w:color="auto"/>
            </w:tcBorders>
            <w:shd w:val="clear" w:color="auto" w:fill="auto"/>
            <w:noWrap/>
            <w:vAlign w:val="center"/>
          </w:tcPr>
          <w:p w14:paraId="12BC5F96"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31 (29, 33)</w:t>
            </w:r>
          </w:p>
        </w:tc>
        <w:tc>
          <w:tcPr>
            <w:tcW w:w="1350" w:type="dxa"/>
            <w:tcBorders>
              <w:top w:val="nil"/>
              <w:left w:val="nil"/>
              <w:bottom w:val="single" w:sz="4" w:space="0" w:color="auto"/>
              <w:right w:val="single" w:sz="4" w:space="0" w:color="auto"/>
            </w:tcBorders>
            <w:shd w:val="clear" w:color="auto" w:fill="auto"/>
            <w:noWrap/>
            <w:vAlign w:val="center"/>
          </w:tcPr>
          <w:p w14:paraId="5FABB922" w14:textId="3B59473F"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5ED6CA82"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0A4CADAE"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United Kingdom, 2008</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19</w:t>
            </w:r>
          </w:p>
        </w:tc>
        <w:tc>
          <w:tcPr>
            <w:tcW w:w="1350" w:type="dxa"/>
            <w:tcBorders>
              <w:top w:val="nil"/>
              <w:left w:val="nil"/>
              <w:bottom w:val="single" w:sz="4" w:space="0" w:color="auto"/>
              <w:right w:val="single" w:sz="4" w:space="0" w:color="auto"/>
            </w:tcBorders>
            <w:shd w:val="clear" w:color="auto" w:fill="auto"/>
            <w:noWrap/>
            <w:vAlign w:val="center"/>
          </w:tcPr>
          <w:p w14:paraId="3AAF968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21 (18, 24)</w:t>
            </w:r>
          </w:p>
        </w:tc>
        <w:tc>
          <w:tcPr>
            <w:tcW w:w="1350" w:type="dxa"/>
            <w:tcBorders>
              <w:top w:val="nil"/>
              <w:left w:val="nil"/>
              <w:bottom w:val="single" w:sz="4" w:space="0" w:color="auto"/>
              <w:right w:val="single" w:sz="4" w:space="0" w:color="auto"/>
            </w:tcBorders>
            <w:shd w:val="clear" w:color="auto" w:fill="auto"/>
            <w:noWrap/>
            <w:vAlign w:val="center"/>
          </w:tcPr>
          <w:p w14:paraId="7D2F446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10 (8, 12)</w:t>
            </w:r>
          </w:p>
        </w:tc>
        <w:tc>
          <w:tcPr>
            <w:tcW w:w="1350" w:type="dxa"/>
            <w:tcBorders>
              <w:top w:val="nil"/>
              <w:left w:val="nil"/>
              <w:bottom w:val="single" w:sz="4" w:space="0" w:color="auto"/>
              <w:right w:val="single" w:sz="4" w:space="0" w:color="auto"/>
            </w:tcBorders>
            <w:shd w:val="clear" w:color="auto" w:fill="auto"/>
            <w:noWrap/>
            <w:vAlign w:val="center"/>
          </w:tcPr>
          <w:p w14:paraId="195F6767"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19 (16, 22)</w:t>
            </w:r>
          </w:p>
        </w:tc>
        <w:tc>
          <w:tcPr>
            <w:tcW w:w="1350" w:type="dxa"/>
            <w:tcBorders>
              <w:top w:val="nil"/>
              <w:left w:val="nil"/>
              <w:bottom w:val="single" w:sz="4" w:space="0" w:color="auto"/>
              <w:right w:val="single" w:sz="4" w:space="0" w:color="auto"/>
            </w:tcBorders>
            <w:shd w:val="clear" w:color="auto" w:fill="auto"/>
            <w:noWrap/>
            <w:vAlign w:val="center"/>
          </w:tcPr>
          <w:p w14:paraId="7C0EA15F"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43 (39, 46)</w:t>
            </w:r>
          </w:p>
        </w:tc>
        <w:tc>
          <w:tcPr>
            <w:tcW w:w="1440" w:type="dxa"/>
            <w:tcBorders>
              <w:top w:val="nil"/>
              <w:left w:val="nil"/>
              <w:bottom w:val="single" w:sz="4" w:space="0" w:color="auto"/>
              <w:right w:val="single" w:sz="4" w:space="0" w:color="auto"/>
            </w:tcBorders>
            <w:shd w:val="clear" w:color="auto" w:fill="auto"/>
            <w:noWrap/>
            <w:vAlign w:val="center"/>
          </w:tcPr>
          <w:p w14:paraId="5851BA3D"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1310</w:t>
            </w:r>
          </w:p>
        </w:tc>
        <w:tc>
          <w:tcPr>
            <w:tcW w:w="1350" w:type="dxa"/>
            <w:tcBorders>
              <w:top w:val="nil"/>
              <w:left w:val="nil"/>
              <w:bottom w:val="single" w:sz="4" w:space="0" w:color="auto"/>
              <w:right w:val="single" w:sz="4" w:space="0" w:color="auto"/>
            </w:tcBorders>
            <w:shd w:val="clear" w:color="auto" w:fill="auto"/>
            <w:noWrap/>
            <w:vAlign w:val="center"/>
          </w:tcPr>
          <w:p w14:paraId="52629265"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(0, 2)</w:t>
            </w:r>
          </w:p>
        </w:tc>
        <w:tc>
          <w:tcPr>
            <w:tcW w:w="1440" w:type="dxa"/>
            <w:tcBorders>
              <w:top w:val="nil"/>
              <w:left w:val="nil"/>
              <w:bottom w:val="single" w:sz="4" w:space="0" w:color="auto"/>
              <w:right w:val="single" w:sz="4" w:space="0" w:color="auto"/>
            </w:tcBorders>
            <w:shd w:val="clear" w:color="auto" w:fill="auto"/>
            <w:noWrap/>
            <w:vAlign w:val="center"/>
          </w:tcPr>
          <w:p w14:paraId="2A971D8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 (5, 9)</w:t>
            </w:r>
          </w:p>
        </w:tc>
        <w:tc>
          <w:tcPr>
            <w:tcW w:w="1350" w:type="dxa"/>
            <w:tcBorders>
              <w:top w:val="nil"/>
              <w:left w:val="nil"/>
              <w:bottom w:val="single" w:sz="4" w:space="0" w:color="auto"/>
              <w:right w:val="single" w:sz="4" w:space="0" w:color="auto"/>
            </w:tcBorders>
            <w:shd w:val="clear" w:color="auto" w:fill="auto"/>
            <w:noWrap/>
            <w:vAlign w:val="center"/>
          </w:tcPr>
          <w:p w14:paraId="0254D961"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22 (19, 25)</w:t>
            </w:r>
          </w:p>
        </w:tc>
        <w:tc>
          <w:tcPr>
            <w:tcW w:w="1350" w:type="dxa"/>
            <w:tcBorders>
              <w:top w:val="nil"/>
              <w:left w:val="nil"/>
              <w:bottom w:val="single" w:sz="4" w:space="0" w:color="auto"/>
              <w:right w:val="single" w:sz="4" w:space="0" w:color="auto"/>
            </w:tcBorders>
            <w:shd w:val="clear" w:color="auto" w:fill="auto"/>
            <w:noWrap/>
            <w:vAlign w:val="center"/>
          </w:tcPr>
          <w:p w14:paraId="0C241218"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55 (51, 59)</w:t>
            </w:r>
          </w:p>
        </w:tc>
      </w:tr>
      <w:tr w:rsidR="006D1AA2" w:rsidRPr="004B3167" w14:paraId="16E72596"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7123B900"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United States, 2015</w:t>
            </w:r>
            <w:r>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16</w:t>
            </w:r>
          </w:p>
        </w:tc>
        <w:tc>
          <w:tcPr>
            <w:tcW w:w="1350" w:type="dxa"/>
            <w:tcBorders>
              <w:top w:val="nil"/>
              <w:left w:val="nil"/>
              <w:bottom w:val="single" w:sz="4" w:space="0" w:color="auto"/>
              <w:right w:val="single" w:sz="4" w:space="0" w:color="auto"/>
            </w:tcBorders>
            <w:shd w:val="clear" w:color="auto" w:fill="auto"/>
            <w:noWrap/>
            <w:vAlign w:val="center"/>
          </w:tcPr>
          <w:p w14:paraId="027D397A"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22 (17, 27)</w:t>
            </w:r>
          </w:p>
        </w:tc>
        <w:tc>
          <w:tcPr>
            <w:tcW w:w="1350" w:type="dxa"/>
            <w:tcBorders>
              <w:top w:val="nil"/>
              <w:left w:val="nil"/>
              <w:bottom w:val="single" w:sz="4" w:space="0" w:color="auto"/>
              <w:right w:val="single" w:sz="4" w:space="0" w:color="auto"/>
            </w:tcBorders>
            <w:shd w:val="clear" w:color="auto" w:fill="auto"/>
            <w:noWrap/>
            <w:vAlign w:val="center"/>
          </w:tcPr>
          <w:p w14:paraId="1912B63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14 (10, 19)</w:t>
            </w:r>
          </w:p>
        </w:tc>
        <w:tc>
          <w:tcPr>
            <w:tcW w:w="1350" w:type="dxa"/>
            <w:tcBorders>
              <w:top w:val="nil"/>
              <w:left w:val="nil"/>
              <w:bottom w:val="single" w:sz="4" w:space="0" w:color="auto"/>
              <w:right w:val="single" w:sz="4" w:space="0" w:color="auto"/>
            </w:tcBorders>
            <w:shd w:val="clear" w:color="auto" w:fill="auto"/>
            <w:noWrap/>
            <w:vAlign w:val="center"/>
          </w:tcPr>
          <w:p w14:paraId="7DE44A78"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0 (0, 1)</w:t>
            </w:r>
          </w:p>
        </w:tc>
        <w:tc>
          <w:tcPr>
            <w:tcW w:w="1350" w:type="dxa"/>
            <w:tcBorders>
              <w:top w:val="nil"/>
              <w:left w:val="nil"/>
              <w:bottom w:val="single" w:sz="4" w:space="0" w:color="auto"/>
              <w:right w:val="single" w:sz="4" w:space="0" w:color="auto"/>
            </w:tcBorders>
            <w:shd w:val="clear" w:color="auto" w:fill="auto"/>
            <w:noWrap/>
            <w:vAlign w:val="center"/>
          </w:tcPr>
          <w:p w14:paraId="3A09D82D"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32 (26, 39)</w:t>
            </w:r>
          </w:p>
        </w:tc>
        <w:tc>
          <w:tcPr>
            <w:tcW w:w="1440" w:type="dxa"/>
            <w:tcBorders>
              <w:top w:val="nil"/>
              <w:left w:val="nil"/>
              <w:bottom w:val="single" w:sz="4" w:space="0" w:color="auto"/>
              <w:right w:val="single" w:sz="4" w:space="0" w:color="auto"/>
            </w:tcBorders>
            <w:shd w:val="clear" w:color="auto" w:fill="auto"/>
            <w:noWrap/>
            <w:vAlign w:val="center"/>
          </w:tcPr>
          <w:p w14:paraId="26B7167C"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551</w:t>
            </w:r>
          </w:p>
        </w:tc>
        <w:tc>
          <w:tcPr>
            <w:tcW w:w="1350" w:type="dxa"/>
            <w:tcBorders>
              <w:top w:val="nil"/>
              <w:left w:val="nil"/>
              <w:bottom w:val="single" w:sz="4" w:space="0" w:color="auto"/>
              <w:right w:val="single" w:sz="4" w:space="0" w:color="auto"/>
            </w:tcBorders>
            <w:shd w:val="clear" w:color="auto" w:fill="auto"/>
            <w:noWrap/>
            <w:vAlign w:val="center"/>
          </w:tcPr>
          <w:p w14:paraId="58E6483F" w14:textId="407F6626"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center"/>
          </w:tcPr>
          <w:p w14:paraId="156E7161" w14:textId="3096F4B7"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center"/>
          </w:tcPr>
          <w:p w14:paraId="49005D9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 (2, 6)</w:t>
            </w:r>
          </w:p>
        </w:tc>
        <w:tc>
          <w:tcPr>
            <w:tcW w:w="1350" w:type="dxa"/>
            <w:tcBorders>
              <w:top w:val="nil"/>
              <w:left w:val="nil"/>
              <w:bottom w:val="single" w:sz="4" w:space="0" w:color="auto"/>
              <w:right w:val="single" w:sz="4" w:space="0" w:color="auto"/>
            </w:tcBorders>
            <w:shd w:val="clear" w:color="auto" w:fill="auto"/>
            <w:noWrap/>
            <w:vAlign w:val="center"/>
          </w:tcPr>
          <w:p w14:paraId="2E1280E2" w14:textId="5A1A155B" w:rsidR="006D1AA2" w:rsidRPr="004B3167" w:rsidRDefault="006D1AA2" w:rsidP="006D1AA2">
            <w:pPr>
              <w:jc w:val="center"/>
              <w:rPr>
                <w:rFonts w:ascii="Times New Roman" w:eastAsia="Times New Roman" w:hAnsi="Times New Roman" w:cs="Times New Roman"/>
                <w:color w:val="000000"/>
                <w:sz w:val="24"/>
                <w:szCs w:val="24"/>
              </w:rPr>
            </w:pPr>
            <w:r w:rsidRPr="009B6B0E">
              <w:rPr>
                <w:rFonts w:ascii="Times New Roman" w:eastAsia="Times New Roman" w:hAnsi="Times New Roman" w:cs="Times New Roman"/>
                <w:color w:val="000000"/>
                <w:sz w:val="24"/>
                <w:szCs w:val="24"/>
              </w:rPr>
              <w:t>··</w:t>
            </w:r>
            <w:r w:rsidRPr="004B3167">
              <w:rPr>
                <w:rFonts w:ascii="Times New Roman" w:eastAsia="Times New Roman" w:hAnsi="Times New Roman" w:cs="Times New Roman"/>
                <w:color w:val="000000"/>
                <w:sz w:val="24"/>
                <w:szCs w:val="24"/>
              </w:rPr>
              <w:t> </w:t>
            </w:r>
          </w:p>
        </w:tc>
      </w:tr>
      <w:tr w:rsidR="006D1AA2" w:rsidRPr="004B3167" w14:paraId="5B235660" w14:textId="77777777" w:rsidTr="007214C8">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3C99A9E8" w14:textId="77777777" w:rsidR="006D1AA2" w:rsidRPr="004B3167" w:rsidRDefault="006D1AA2" w:rsidP="006D1AA2">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Viet Nam, 2010</w:t>
            </w:r>
          </w:p>
        </w:tc>
        <w:tc>
          <w:tcPr>
            <w:tcW w:w="1350" w:type="dxa"/>
            <w:tcBorders>
              <w:top w:val="nil"/>
              <w:left w:val="nil"/>
              <w:bottom w:val="single" w:sz="4" w:space="0" w:color="auto"/>
              <w:right w:val="single" w:sz="4" w:space="0" w:color="auto"/>
            </w:tcBorders>
            <w:shd w:val="clear" w:color="auto" w:fill="auto"/>
            <w:noWrap/>
            <w:vAlign w:val="center"/>
          </w:tcPr>
          <w:p w14:paraId="6E180EE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18 (16, 20)</w:t>
            </w:r>
          </w:p>
        </w:tc>
        <w:tc>
          <w:tcPr>
            <w:tcW w:w="1350" w:type="dxa"/>
            <w:tcBorders>
              <w:top w:val="nil"/>
              <w:left w:val="nil"/>
              <w:bottom w:val="single" w:sz="4" w:space="0" w:color="auto"/>
              <w:right w:val="single" w:sz="4" w:space="0" w:color="auto"/>
            </w:tcBorders>
            <w:shd w:val="clear" w:color="auto" w:fill="auto"/>
            <w:noWrap/>
            <w:vAlign w:val="center"/>
          </w:tcPr>
          <w:p w14:paraId="2BFFD9A2"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67 (63, 71)</w:t>
            </w:r>
          </w:p>
        </w:tc>
        <w:tc>
          <w:tcPr>
            <w:tcW w:w="1350" w:type="dxa"/>
            <w:tcBorders>
              <w:top w:val="nil"/>
              <w:left w:val="nil"/>
              <w:bottom w:val="single" w:sz="4" w:space="0" w:color="auto"/>
              <w:right w:val="single" w:sz="4" w:space="0" w:color="auto"/>
            </w:tcBorders>
            <w:shd w:val="clear" w:color="auto" w:fill="auto"/>
            <w:noWrap/>
            <w:vAlign w:val="center"/>
          </w:tcPr>
          <w:p w14:paraId="114CD420"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22 (19, 25)</w:t>
            </w:r>
          </w:p>
        </w:tc>
        <w:tc>
          <w:tcPr>
            <w:tcW w:w="1350" w:type="dxa"/>
            <w:tcBorders>
              <w:top w:val="nil"/>
              <w:left w:val="nil"/>
              <w:bottom w:val="single" w:sz="4" w:space="0" w:color="auto"/>
              <w:right w:val="single" w:sz="4" w:space="0" w:color="auto"/>
            </w:tcBorders>
            <w:shd w:val="clear" w:color="auto" w:fill="auto"/>
            <w:noWrap/>
            <w:vAlign w:val="center"/>
          </w:tcPr>
          <w:p w14:paraId="4B7292E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78 (74, 81)</w:t>
            </w:r>
          </w:p>
        </w:tc>
        <w:tc>
          <w:tcPr>
            <w:tcW w:w="1440" w:type="dxa"/>
            <w:tcBorders>
              <w:top w:val="nil"/>
              <w:left w:val="nil"/>
              <w:bottom w:val="single" w:sz="4" w:space="0" w:color="auto"/>
              <w:right w:val="single" w:sz="4" w:space="0" w:color="auto"/>
            </w:tcBorders>
            <w:shd w:val="clear" w:color="auto" w:fill="auto"/>
            <w:noWrap/>
            <w:vAlign w:val="center"/>
          </w:tcPr>
          <w:p w14:paraId="057AD2D5"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1348</w:t>
            </w:r>
          </w:p>
        </w:tc>
        <w:tc>
          <w:tcPr>
            <w:tcW w:w="1350" w:type="dxa"/>
            <w:tcBorders>
              <w:top w:val="nil"/>
              <w:left w:val="nil"/>
              <w:bottom w:val="single" w:sz="4" w:space="0" w:color="auto"/>
              <w:right w:val="single" w:sz="4" w:space="0" w:color="auto"/>
            </w:tcBorders>
            <w:shd w:val="clear" w:color="auto" w:fill="auto"/>
            <w:noWrap/>
            <w:vAlign w:val="center"/>
          </w:tcPr>
          <w:p w14:paraId="53F6F538"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 (1, 2)</w:t>
            </w:r>
          </w:p>
        </w:tc>
        <w:tc>
          <w:tcPr>
            <w:tcW w:w="1440" w:type="dxa"/>
            <w:tcBorders>
              <w:top w:val="nil"/>
              <w:left w:val="nil"/>
              <w:bottom w:val="single" w:sz="4" w:space="0" w:color="auto"/>
              <w:right w:val="single" w:sz="4" w:space="0" w:color="auto"/>
            </w:tcBorders>
            <w:shd w:val="clear" w:color="auto" w:fill="auto"/>
            <w:noWrap/>
            <w:vAlign w:val="center"/>
          </w:tcPr>
          <w:p w14:paraId="442A35E4"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12 (9, 15)</w:t>
            </w:r>
          </w:p>
        </w:tc>
        <w:tc>
          <w:tcPr>
            <w:tcW w:w="1350" w:type="dxa"/>
            <w:tcBorders>
              <w:top w:val="nil"/>
              <w:left w:val="nil"/>
              <w:bottom w:val="single" w:sz="4" w:space="0" w:color="auto"/>
              <w:right w:val="single" w:sz="4" w:space="0" w:color="auto"/>
            </w:tcBorders>
            <w:shd w:val="clear" w:color="auto" w:fill="auto"/>
            <w:noWrap/>
            <w:vAlign w:val="center"/>
          </w:tcPr>
          <w:p w14:paraId="22624FC9"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 (7, 13)</w:t>
            </w:r>
          </w:p>
        </w:tc>
        <w:tc>
          <w:tcPr>
            <w:tcW w:w="1350" w:type="dxa"/>
            <w:tcBorders>
              <w:top w:val="nil"/>
              <w:left w:val="nil"/>
              <w:bottom w:val="single" w:sz="4" w:space="0" w:color="auto"/>
              <w:right w:val="single" w:sz="4" w:space="0" w:color="auto"/>
            </w:tcBorders>
            <w:shd w:val="clear" w:color="auto" w:fill="auto"/>
            <w:noWrap/>
            <w:vAlign w:val="center"/>
          </w:tcPr>
          <w:p w14:paraId="309B9156" w14:textId="77777777" w:rsidR="006D1AA2" w:rsidRPr="004B3167" w:rsidRDefault="006D1AA2" w:rsidP="006D1AA2">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78 (73, 83)</w:t>
            </w:r>
          </w:p>
        </w:tc>
      </w:tr>
    </w:tbl>
    <w:p w14:paraId="75B57B4F" w14:textId="3CF91A69" w:rsidR="00F91460" w:rsidRDefault="00F91460" w:rsidP="00F91460">
      <w:pPr>
        <w:rPr>
          <w:rFonts w:ascii="Times New Roman" w:hAnsi="Times New Roman" w:cs="Times New Roman"/>
          <w:sz w:val="24"/>
          <w:szCs w:val="24"/>
          <w:lang w:val="en-GB"/>
        </w:rPr>
      </w:pPr>
      <w:r w:rsidRPr="00D56334">
        <w:rPr>
          <w:rFonts w:ascii="Times New Roman" w:hAnsi="Times New Roman" w:cs="Times New Roman"/>
          <w:sz w:val="24"/>
          <w:szCs w:val="24"/>
          <w:vertAlign w:val="superscript"/>
          <w:lang w:val="en-GB"/>
        </w:rPr>
        <w:lastRenderedPageBreak/>
        <w:t>1</w:t>
      </w:r>
      <w:r>
        <w:rPr>
          <w:rFonts w:ascii="Times New Roman" w:hAnsi="Times New Roman" w:cs="Times New Roman"/>
          <w:sz w:val="24"/>
          <w:szCs w:val="24"/>
          <w:lang w:val="en-GB"/>
        </w:rPr>
        <w:t xml:space="preserve"> </w:t>
      </w:r>
      <w:r>
        <w:rPr>
          <w:rFonts w:ascii="Times New Roman" w:hAnsi="Times New Roman" w:cs="Times New Roman"/>
          <w:sz w:val="24"/>
          <w:szCs w:val="24"/>
        </w:rPr>
        <w:t>Age ranges were 20–49 for Ecuador and 15–19 for India. Other age ranges varied slightly by survey and are specified in appendix Table 7.</w:t>
      </w:r>
      <w:r>
        <w:rPr>
          <w:rFonts w:ascii="Times New Roman" w:hAnsi="Times New Roman" w:cs="Times New Roman"/>
          <w:sz w:val="24"/>
          <w:szCs w:val="24"/>
          <w:lang w:val="en-GB"/>
        </w:rPr>
        <w:t xml:space="preserve"> </w:t>
      </w:r>
      <w:r w:rsidRPr="004B3167">
        <w:rPr>
          <w:rFonts w:ascii="Times New Roman" w:hAnsi="Times New Roman" w:cs="Times New Roman"/>
          <w:sz w:val="24"/>
          <w:szCs w:val="24"/>
          <w:lang w:val="en-GB"/>
        </w:rPr>
        <w:t xml:space="preserve">Definitions of deficiency are </w:t>
      </w:r>
      <w:r>
        <w:rPr>
          <w:rFonts w:ascii="Times New Roman" w:hAnsi="Times New Roman" w:cs="Times New Roman"/>
          <w:sz w:val="24"/>
          <w:szCs w:val="24"/>
          <w:lang w:val="en-GB"/>
        </w:rPr>
        <w:t>specified</w:t>
      </w:r>
      <w:r w:rsidRPr="004B3167">
        <w:rPr>
          <w:rFonts w:ascii="Times New Roman" w:hAnsi="Times New Roman" w:cs="Times New Roman"/>
          <w:sz w:val="24"/>
          <w:szCs w:val="24"/>
          <w:lang w:val="en-GB"/>
        </w:rPr>
        <w:t xml:space="preserve"> in </w:t>
      </w:r>
      <w:r>
        <w:rPr>
          <w:rFonts w:ascii="Times New Roman" w:hAnsi="Times New Roman" w:cs="Times New Roman"/>
          <w:sz w:val="24"/>
          <w:szCs w:val="24"/>
          <w:lang w:val="en-GB"/>
        </w:rPr>
        <w:t xml:space="preserve">Table 1. </w:t>
      </w:r>
      <w:r w:rsidR="001B5F5D">
        <w:rPr>
          <w:rFonts w:ascii="Times New Roman" w:hAnsi="Times New Roman" w:cs="Times New Roman"/>
          <w:sz w:val="24"/>
          <w:szCs w:val="24"/>
          <w:lang w:val="en-GB"/>
        </w:rPr>
        <w:t xml:space="preserve">Empty cells indicate missing data or exclusion of the survey micronutrient. </w:t>
      </w:r>
      <w:r>
        <w:rPr>
          <w:rFonts w:ascii="Times New Roman" w:hAnsi="Times New Roman" w:cs="Times New Roman"/>
          <w:sz w:val="24"/>
          <w:szCs w:val="24"/>
          <w:lang w:val="en-GB"/>
        </w:rPr>
        <w:t>UI, uncertainty interval.</w:t>
      </w:r>
    </w:p>
    <w:p w14:paraId="4E488F1E" w14:textId="3D3B05A0" w:rsidR="00F91460" w:rsidRDefault="00F91460" w:rsidP="00F91460">
      <w:pPr>
        <w:rPr>
          <w:rFonts w:ascii="Times New Roman" w:hAnsi="Times New Roman" w:cs="Times New Roman"/>
          <w:sz w:val="24"/>
          <w:szCs w:val="24"/>
          <w:lang w:val="en-GB"/>
        </w:rPr>
      </w:pPr>
      <w:r w:rsidRPr="00A70A2B">
        <w:rPr>
          <w:rFonts w:ascii="Times New Roman" w:hAnsi="Times New Roman" w:cs="Times New Roman"/>
          <w:sz w:val="24"/>
          <w:szCs w:val="24"/>
          <w:vertAlign w:val="superscript"/>
          <w:lang w:val="en-GB"/>
        </w:rPr>
        <w:t xml:space="preserve">2 </w:t>
      </w:r>
      <w:r>
        <w:rPr>
          <w:rFonts w:ascii="Times New Roman" w:hAnsi="Times New Roman" w:cs="Times New Roman"/>
          <w:sz w:val="24"/>
          <w:szCs w:val="24"/>
          <w:lang w:val="en-GB"/>
        </w:rPr>
        <w:t>Core micronutrients are iron, zinc, and folate.</w:t>
      </w:r>
      <w:r w:rsidR="00FC3E2F" w:rsidRPr="00FC3E2F">
        <w:rPr>
          <w:rFonts w:ascii="Times New Roman" w:hAnsi="Times New Roman" w:cs="Times New Roman"/>
          <w:sz w:val="24"/>
          <w:szCs w:val="24"/>
          <w:lang w:val="en-GB"/>
        </w:rPr>
        <w:t xml:space="preserve"> </w:t>
      </w:r>
      <w:r w:rsidR="00FC3E2F">
        <w:rPr>
          <w:rFonts w:ascii="Times New Roman" w:hAnsi="Times New Roman" w:cs="Times New Roman"/>
          <w:sz w:val="24"/>
          <w:szCs w:val="24"/>
          <w:lang w:val="en-GB"/>
        </w:rPr>
        <w:t>Prevalence is only shown for surveys containing all three core micronutrients.</w:t>
      </w:r>
    </w:p>
    <w:p w14:paraId="50A750D5" w14:textId="2FB05494" w:rsidR="00F91460" w:rsidRPr="00EC57EF" w:rsidRDefault="00F91460" w:rsidP="00F91460">
      <w:pPr>
        <w:rPr>
          <w:rFonts w:ascii="Times New Roman" w:hAnsi="Times New Roman" w:cs="Times New Roman"/>
          <w:sz w:val="24"/>
          <w:szCs w:val="24"/>
          <w:lang w:val="en-GB"/>
        </w:rPr>
      </w:pPr>
      <w:r w:rsidRPr="00AD7B4B">
        <w:rPr>
          <w:rFonts w:ascii="Times New Roman" w:hAnsi="Times New Roman" w:cs="Times New Roman"/>
          <w:sz w:val="24"/>
          <w:szCs w:val="24"/>
          <w:vertAlign w:val="superscript"/>
          <w:lang w:val="en-GB"/>
        </w:rPr>
        <w:t xml:space="preserve">3 </w:t>
      </w:r>
      <w:r w:rsidRPr="004B3167">
        <w:rPr>
          <w:rFonts w:ascii="Times New Roman" w:hAnsi="Times New Roman" w:cs="Times New Roman"/>
          <w:sz w:val="24"/>
          <w:szCs w:val="24"/>
          <w:lang w:val="en-GB"/>
        </w:rPr>
        <w:t>Sample size varies by deficiency; sample size for any measured core deficiency is shown</w:t>
      </w:r>
      <w:r>
        <w:rPr>
          <w:rFonts w:ascii="Times New Roman" w:hAnsi="Times New Roman" w:cs="Times New Roman"/>
          <w:sz w:val="24"/>
          <w:szCs w:val="24"/>
          <w:lang w:val="en-GB"/>
        </w:rPr>
        <w:t xml:space="preserve"> </w:t>
      </w:r>
      <w:r w:rsidR="005D1364">
        <w:rPr>
          <w:rFonts w:ascii="Times New Roman" w:hAnsi="Times New Roman" w:cs="Times New Roman"/>
          <w:sz w:val="24"/>
          <w:szCs w:val="24"/>
          <w:lang w:val="en-GB"/>
        </w:rPr>
        <w:t>in this column</w:t>
      </w:r>
      <w:r>
        <w:rPr>
          <w:rFonts w:ascii="Times New Roman" w:hAnsi="Times New Roman" w:cs="Times New Roman"/>
          <w:sz w:val="24"/>
          <w:szCs w:val="24"/>
          <w:lang w:val="en-GB"/>
        </w:rPr>
        <w:t>.</w:t>
      </w:r>
    </w:p>
    <w:p w14:paraId="29D0ADD6" w14:textId="19A3DCF6" w:rsidR="00F91460" w:rsidRDefault="00F91460" w:rsidP="00F91460">
      <w:pPr>
        <w:rPr>
          <w:rFonts w:ascii="Times New Roman" w:hAnsi="Times New Roman" w:cs="Times New Roman"/>
          <w:sz w:val="24"/>
          <w:szCs w:val="24"/>
          <w:lang w:val="en-GB"/>
        </w:rPr>
        <w:sectPr w:rsidR="00F91460" w:rsidSect="008E0FEA">
          <w:pgSz w:w="16820" w:h="11900" w:orient="landscape"/>
          <w:pgMar w:top="1440" w:right="1440" w:bottom="1440" w:left="1440" w:header="720" w:footer="720" w:gutter="0"/>
          <w:cols w:space="720"/>
          <w:docGrid w:linePitch="360"/>
        </w:sectPr>
      </w:pPr>
      <w:r w:rsidRPr="006E4E4F">
        <w:rPr>
          <w:rFonts w:ascii="Times New Roman" w:hAnsi="Times New Roman" w:cs="Times New Roman"/>
          <w:sz w:val="24"/>
          <w:szCs w:val="24"/>
          <w:vertAlign w:val="superscript"/>
          <w:lang w:val="en-GB"/>
        </w:rPr>
        <w:t xml:space="preserve">4 </w:t>
      </w:r>
      <w:r>
        <w:rPr>
          <w:rFonts w:ascii="Times New Roman" w:hAnsi="Times New Roman" w:cs="Times New Roman"/>
          <w:sz w:val="24"/>
          <w:szCs w:val="24"/>
          <w:lang w:val="en-GB"/>
        </w:rPr>
        <w:t>Sentinel micronutrients are iron, zinc, vitamin A, folate, vitamin B</w:t>
      </w:r>
      <w:r w:rsidRPr="00C913DA">
        <w:rPr>
          <w:rFonts w:ascii="Times New Roman" w:hAnsi="Times New Roman" w:cs="Times New Roman"/>
          <w:sz w:val="24"/>
          <w:szCs w:val="24"/>
          <w:vertAlign w:val="subscript"/>
          <w:lang w:val="en-GB"/>
        </w:rPr>
        <w:t>12</w:t>
      </w:r>
      <w:r>
        <w:rPr>
          <w:rFonts w:ascii="Times New Roman" w:hAnsi="Times New Roman" w:cs="Times New Roman"/>
          <w:sz w:val="24"/>
          <w:szCs w:val="24"/>
          <w:lang w:val="en-GB"/>
        </w:rPr>
        <w:t>, and vitamin D.</w:t>
      </w:r>
      <w:r w:rsidR="00FC3E2F" w:rsidRPr="00FC3E2F">
        <w:rPr>
          <w:rFonts w:ascii="Times New Roman" w:hAnsi="Times New Roman" w:cs="Times New Roman"/>
          <w:sz w:val="24"/>
          <w:szCs w:val="24"/>
          <w:lang w:val="en-GB"/>
        </w:rPr>
        <w:t xml:space="preserve"> </w:t>
      </w:r>
      <w:r w:rsidR="00FC3E2F">
        <w:rPr>
          <w:rFonts w:ascii="Times New Roman" w:hAnsi="Times New Roman" w:cs="Times New Roman"/>
          <w:sz w:val="24"/>
          <w:szCs w:val="24"/>
          <w:lang w:val="en-GB"/>
        </w:rPr>
        <w:t>Prevalence is only shown for surveys containing all six sentinel micronutrients.</w:t>
      </w:r>
    </w:p>
    <w:p w14:paraId="45A9AC14" w14:textId="283CA59B" w:rsidR="00F91460" w:rsidRPr="00170BF5" w:rsidRDefault="00F91460" w:rsidP="00F91460">
      <w:pPr>
        <w:rPr>
          <w:rFonts w:ascii="Times New Roman" w:hAnsi="Times New Roman" w:cs="Times New Roman"/>
          <w:b/>
          <w:bCs/>
          <w:sz w:val="24"/>
          <w:szCs w:val="24"/>
          <w:lang w:val="en-GB"/>
        </w:rPr>
      </w:pPr>
      <w:r w:rsidRPr="00170BF5">
        <w:rPr>
          <w:rFonts w:ascii="Times New Roman" w:hAnsi="Times New Roman" w:cs="Times New Roman"/>
          <w:b/>
          <w:bCs/>
          <w:sz w:val="24"/>
          <w:szCs w:val="24"/>
          <w:lang w:val="en-GB"/>
        </w:rPr>
        <w:lastRenderedPageBreak/>
        <w:t xml:space="preserve">Table 4. Prevalence </w:t>
      </w:r>
      <w:r>
        <w:rPr>
          <w:rFonts w:ascii="Times New Roman" w:hAnsi="Times New Roman" w:cs="Times New Roman"/>
          <w:b/>
          <w:bCs/>
          <w:sz w:val="24"/>
          <w:szCs w:val="24"/>
          <w:lang w:val="en-GB"/>
        </w:rPr>
        <w:t xml:space="preserve">of </w:t>
      </w:r>
      <w:r w:rsidRPr="00170BF5">
        <w:rPr>
          <w:rFonts w:ascii="Times New Roman" w:hAnsi="Times New Roman" w:cs="Times New Roman"/>
          <w:b/>
          <w:bCs/>
          <w:sz w:val="24"/>
          <w:szCs w:val="24"/>
          <w:lang w:val="en-GB"/>
        </w:rPr>
        <w:t xml:space="preserve">and number of people with deficiencies in one or more of three core micronutrients, </w:t>
      </w:r>
      <w:r w:rsidR="00697756">
        <w:rPr>
          <w:rFonts w:ascii="Times New Roman" w:hAnsi="Times New Roman" w:cs="Times New Roman"/>
          <w:b/>
          <w:bCs/>
          <w:sz w:val="24"/>
          <w:szCs w:val="24"/>
          <w:lang w:val="en-GB"/>
        </w:rPr>
        <w:t>world</w:t>
      </w:r>
      <w:r w:rsidR="00697756" w:rsidRPr="00170BF5">
        <w:rPr>
          <w:rFonts w:ascii="Times New Roman" w:hAnsi="Times New Roman" w:cs="Times New Roman"/>
          <w:b/>
          <w:bCs/>
          <w:sz w:val="24"/>
          <w:szCs w:val="24"/>
          <w:lang w:val="en-GB"/>
        </w:rPr>
        <w:t xml:space="preserve"> </w:t>
      </w:r>
      <w:r w:rsidRPr="00170BF5">
        <w:rPr>
          <w:rFonts w:ascii="Times New Roman" w:hAnsi="Times New Roman" w:cs="Times New Roman"/>
          <w:b/>
          <w:bCs/>
          <w:sz w:val="24"/>
          <w:szCs w:val="24"/>
          <w:lang w:val="en-GB"/>
        </w:rPr>
        <w:t xml:space="preserve">and </w:t>
      </w:r>
      <w:r w:rsidR="00697756">
        <w:rPr>
          <w:rFonts w:ascii="Times New Roman" w:hAnsi="Times New Roman" w:cs="Times New Roman"/>
          <w:b/>
          <w:bCs/>
          <w:sz w:val="24"/>
          <w:szCs w:val="24"/>
          <w:lang w:val="en-GB"/>
        </w:rPr>
        <w:t>different</w:t>
      </w:r>
      <w:r w:rsidR="00697756" w:rsidRPr="00170BF5">
        <w:rPr>
          <w:rFonts w:ascii="Times New Roman" w:hAnsi="Times New Roman" w:cs="Times New Roman"/>
          <w:b/>
          <w:bCs/>
          <w:sz w:val="24"/>
          <w:szCs w:val="24"/>
          <w:lang w:val="en-GB"/>
        </w:rPr>
        <w:t xml:space="preserve"> </w:t>
      </w:r>
      <w:r w:rsidRPr="00170BF5">
        <w:rPr>
          <w:rFonts w:ascii="Times New Roman" w:hAnsi="Times New Roman" w:cs="Times New Roman"/>
          <w:b/>
          <w:bCs/>
          <w:sz w:val="24"/>
          <w:szCs w:val="24"/>
          <w:lang w:val="en-GB"/>
        </w:rPr>
        <w:t>region</w:t>
      </w:r>
      <w:r w:rsidR="00697756">
        <w:rPr>
          <w:rFonts w:ascii="Times New Roman" w:hAnsi="Times New Roman" w:cs="Times New Roman"/>
          <w:b/>
          <w:bCs/>
          <w:sz w:val="24"/>
          <w:szCs w:val="24"/>
          <w:lang w:val="en-GB"/>
        </w:rPr>
        <w:t>s</w:t>
      </w:r>
      <w:r w:rsidRPr="00170BF5">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w:t>
      </w:r>
      <w:r w:rsidRPr="00170BF5">
        <w:rPr>
          <w:rFonts w:ascii="Times New Roman" w:hAnsi="Times New Roman" w:cs="Times New Roman"/>
          <w:b/>
          <w:bCs/>
          <w:sz w:val="24"/>
          <w:szCs w:val="24"/>
          <w:lang w:val="en-GB"/>
        </w:rPr>
        <w:t>2005–2019</w:t>
      </w:r>
      <w:r>
        <w:rPr>
          <w:rFonts w:ascii="Times New Roman" w:hAnsi="Times New Roman" w:cs="Times New Roman"/>
          <w:b/>
          <w:bCs/>
          <w:sz w:val="24"/>
          <w:szCs w:val="24"/>
          <w:lang w:val="en-GB"/>
        </w:rPr>
        <w:t>)</w:t>
      </w:r>
      <w:r w:rsidRPr="00170BF5">
        <w:rPr>
          <w:rFonts w:ascii="Times New Roman" w:hAnsi="Times New Roman" w:cs="Times New Roman"/>
          <w:b/>
          <w:bCs/>
          <w:sz w:val="24"/>
          <w:szCs w:val="24"/>
          <w:lang w:val="en-GB"/>
        </w:rPr>
        <w:t>.</w:t>
      </w:r>
      <w:r w:rsidRPr="00170BF5">
        <w:rPr>
          <w:rFonts w:ascii="Times New Roman" w:hAnsi="Times New Roman" w:cs="Times New Roman"/>
          <w:b/>
          <w:bCs/>
          <w:sz w:val="24"/>
          <w:szCs w:val="24"/>
          <w:vertAlign w:val="superscript"/>
          <w:lang w:val="en-GB"/>
        </w:rPr>
        <w:t>1</w:t>
      </w:r>
    </w:p>
    <w:tbl>
      <w:tblPr>
        <w:tblW w:w="8995" w:type="dxa"/>
        <w:tblLook w:val="04A0" w:firstRow="1" w:lastRow="0" w:firstColumn="1" w:lastColumn="0" w:noHBand="0" w:noVBand="1"/>
      </w:tblPr>
      <w:tblGrid>
        <w:gridCol w:w="3055"/>
        <w:gridCol w:w="2700"/>
        <w:gridCol w:w="3240"/>
      </w:tblGrid>
      <w:tr w:rsidR="00F91460" w:rsidRPr="004B3167" w14:paraId="2BB2A5AF" w14:textId="77777777" w:rsidTr="007214C8">
        <w:trPr>
          <w:trHeight w:val="615"/>
        </w:trPr>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B6418"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Region</w:t>
            </w:r>
          </w:p>
        </w:tc>
        <w:tc>
          <w:tcPr>
            <w:tcW w:w="2700" w:type="dxa"/>
            <w:tcBorders>
              <w:top w:val="single" w:sz="4" w:space="0" w:color="auto"/>
              <w:left w:val="nil"/>
              <w:bottom w:val="single" w:sz="4" w:space="0" w:color="auto"/>
              <w:right w:val="single" w:sz="4" w:space="0" w:color="auto"/>
            </w:tcBorders>
            <w:shd w:val="clear" w:color="auto" w:fill="auto"/>
            <w:vAlign w:val="bottom"/>
            <w:hideMark/>
          </w:tcPr>
          <w:p w14:paraId="167BA49E"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Prevalence of any deficiency</w:t>
            </w:r>
            <w:r>
              <w:rPr>
                <w:rFonts w:ascii="Times New Roman" w:eastAsia="Times New Roman" w:hAnsi="Times New Roman" w:cs="Times New Roman"/>
                <w:b/>
                <w:bCs/>
                <w:color w:val="000000"/>
                <w:sz w:val="24"/>
                <w:szCs w:val="24"/>
              </w:rPr>
              <w:t xml:space="preserve">, </w:t>
            </w:r>
            <w:r w:rsidRPr="004B3167">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(95% UI)</w:t>
            </w:r>
          </w:p>
        </w:tc>
        <w:tc>
          <w:tcPr>
            <w:tcW w:w="3240" w:type="dxa"/>
            <w:tcBorders>
              <w:top w:val="single" w:sz="4" w:space="0" w:color="auto"/>
              <w:left w:val="nil"/>
              <w:bottom w:val="single" w:sz="4" w:space="0" w:color="auto"/>
              <w:right w:val="single" w:sz="4" w:space="0" w:color="auto"/>
            </w:tcBorders>
            <w:shd w:val="clear" w:color="auto" w:fill="auto"/>
            <w:vAlign w:val="bottom"/>
            <w:hideMark/>
          </w:tcPr>
          <w:p w14:paraId="20670835" w14:textId="77777777" w:rsidR="00F91460" w:rsidRPr="004B3167" w:rsidRDefault="00F91460" w:rsidP="007214C8">
            <w:pPr>
              <w:rPr>
                <w:rFonts w:ascii="Times New Roman" w:eastAsia="Times New Roman" w:hAnsi="Times New Roman" w:cs="Times New Roman"/>
                <w:b/>
                <w:bCs/>
                <w:color w:val="000000"/>
                <w:sz w:val="24"/>
                <w:szCs w:val="24"/>
              </w:rPr>
            </w:pPr>
            <w:r w:rsidRPr="004B3167">
              <w:rPr>
                <w:rFonts w:ascii="Times New Roman" w:eastAsia="Times New Roman" w:hAnsi="Times New Roman" w:cs="Times New Roman"/>
                <w:b/>
                <w:bCs/>
                <w:color w:val="000000"/>
                <w:sz w:val="24"/>
                <w:szCs w:val="24"/>
              </w:rPr>
              <w:t>Number of people with any deficiency</w:t>
            </w:r>
            <w:r>
              <w:rPr>
                <w:rFonts w:ascii="Times New Roman" w:eastAsia="Times New Roman" w:hAnsi="Times New Roman" w:cs="Times New Roman"/>
                <w:b/>
                <w:bCs/>
                <w:color w:val="000000"/>
                <w:sz w:val="24"/>
                <w:szCs w:val="24"/>
              </w:rPr>
              <w:t xml:space="preserve">, </w:t>
            </w:r>
            <w:r w:rsidRPr="004B3167">
              <w:rPr>
                <w:rFonts w:ascii="Times New Roman" w:eastAsia="Times New Roman" w:hAnsi="Times New Roman" w:cs="Times New Roman"/>
                <w:b/>
                <w:bCs/>
                <w:color w:val="000000"/>
                <w:sz w:val="24"/>
                <w:szCs w:val="24"/>
              </w:rPr>
              <w:t>millions</w:t>
            </w:r>
            <w:r>
              <w:rPr>
                <w:rFonts w:ascii="Times New Roman" w:eastAsia="Times New Roman" w:hAnsi="Times New Roman" w:cs="Times New Roman"/>
                <w:b/>
                <w:bCs/>
                <w:color w:val="000000"/>
                <w:sz w:val="24"/>
                <w:szCs w:val="24"/>
              </w:rPr>
              <w:t xml:space="preserve"> (95% UI)</w:t>
            </w:r>
          </w:p>
        </w:tc>
      </w:tr>
      <w:tr w:rsidR="00F91460" w:rsidRPr="004B3167" w14:paraId="0F07D84B" w14:textId="77777777" w:rsidTr="007214C8">
        <w:trPr>
          <w:trHeight w:val="300"/>
        </w:trPr>
        <w:tc>
          <w:tcPr>
            <w:tcW w:w="8995"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F8AE889" w14:textId="77777777" w:rsidR="00F91460" w:rsidRPr="004B3167" w:rsidRDefault="00F91460" w:rsidP="007214C8">
            <w:pPr>
              <w:rPr>
                <w:rFonts w:ascii="Times New Roman" w:eastAsia="Times New Roman" w:hAnsi="Times New Roman" w:cs="Times New Roman"/>
                <w:i/>
                <w:iCs/>
                <w:color w:val="000000"/>
                <w:sz w:val="24"/>
                <w:szCs w:val="24"/>
              </w:rPr>
            </w:pPr>
            <w:r w:rsidRPr="004B3167">
              <w:rPr>
                <w:rFonts w:ascii="Times New Roman" w:eastAsia="Times New Roman" w:hAnsi="Times New Roman" w:cs="Times New Roman"/>
                <w:i/>
                <w:iCs/>
                <w:color w:val="000000"/>
                <w:sz w:val="24"/>
                <w:szCs w:val="24"/>
              </w:rPr>
              <w:t xml:space="preserve">Children </w:t>
            </w:r>
            <w:r>
              <w:rPr>
                <w:rFonts w:ascii="Times New Roman" w:eastAsia="Times New Roman" w:hAnsi="Times New Roman" w:cs="Times New Roman"/>
                <w:i/>
                <w:iCs/>
                <w:color w:val="000000"/>
                <w:sz w:val="24"/>
                <w:szCs w:val="24"/>
              </w:rPr>
              <w:t xml:space="preserve">primarily </w:t>
            </w:r>
            <w:r w:rsidRPr="004B3167">
              <w:rPr>
                <w:rFonts w:ascii="Times New Roman" w:eastAsia="Times New Roman" w:hAnsi="Times New Roman" w:cs="Times New Roman"/>
                <w:i/>
                <w:iCs/>
                <w:color w:val="000000"/>
                <w:sz w:val="24"/>
                <w:szCs w:val="24"/>
              </w:rPr>
              <w:t>6</w:t>
            </w:r>
            <w:r>
              <w:rPr>
                <w:rFonts w:ascii="Times New Roman" w:eastAsia="Times New Roman" w:hAnsi="Times New Roman" w:cs="Times New Roman"/>
                <w:i/>
                <w:iCs/>
                <w:color w:val="000000"/>
                <w:sz w:val="24"/>
                <w:szCs w:val="24"/>
              </w:rPr>
              <w:t>–</w:t>
            </w:r>
            <w:r w:rsidRPr="004B3167">
              <w:rPr>
                <w:rFonts w:ascii="Times New Roman" w:eastAsia="Times New Roman" w:hAnsi="Times New Roman" w:cs="Times New Roman"/>
                <w:i/>
                <w:iCs/>
                <w:color w:val="000000"/>
                <w:sz w:val="24"/>
                <w:szCs w:val="24"/>
              </w:rPr>
              <w:t>59 months</w:t>
            </w:r>
          </w:p>
        </w:tc>
      </w:tr>
      <w:tr w:rsidR="00F91460" w:rsidRPr="004B3167" w14:paraId="44584A59"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B0166ED"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World</w:t>
            </w:r>
          </w:p>
        </w:tc>
        <w:tc>
          <w:tcPr>
            <w:tcW w:w="2700" w:type="dxa"/>
            <w:tcBorders>
              <w:top w:val="nil"/>
              <w:left w:val="nil"/>
              <w:bottom w:val="single" w:sz="4" w:space="0" w:color="auto"/>
              <w:right w:val="single" w:sz="4" w:space="0" w:color="auto"/>
            </w:tcBorders>
            <w:shd w:val="clear" w:color="auto" w:fill="auto"/>
            <w:noWrap/>
            <w:vAlign w:val="bottom"/>
            <w:hideMark/>
          </w:tcPr>
          <w:p w14:paraId="3FD655FC"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56 (48, 64)</w:t>
            </w:r>
          </w:p>
        </w:tc>
        <w:tc>
          <w:tcPr>
            <w:tcW w:w="3240" w:type="dxa"/>
            <w:tcBorders>
              <w:top w:val="nil"/>
              <w:left w:val="nil"/>
              <w:bottom w:val="single" w:sz="4" w:space="0" w:color="auto"/>
              <w:right w:val="single" w:sz="4" w:space="0" w:color="auto"/>
            </w:tcBorders>
            <w:shd w:val="clear" w:color="auto" w:fill="auto"/>
            <w:noWrap/>
            <w:vAlign w:val="bottom"/>
            <w:hideMark/>
          </w:tcPr>
          <w:p w14:paraId="1CAD6DC1"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372 (319, 425)</w:t>
            </w:r>
          </w:p>
        </w:tc>
      </w:tr>
      <w:tr w:rsidR="00F91460" w:rsidRPr="004B3167" w14:paraId="1466A56E"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A290BE1"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East Asia &amp; Pacific</w:t>
            </w:r>
          </w:p>
        </w:tc>
        <w:tc>
          <w:tcPr>
            <w:tcW w:w="2700" w:type="dxa"/>
            <w:tcBorders>
              <w:top w:val="nil"/>
              <w:left w:val="nil"/>
              <w:bottom w:val="single" w:sz="4" w:space="0" w:color="auto"/>
              <w:right w:val="single" w:sz="4" w:space="0" w:color="auto"/>
            </w:tcBorders>
            <w:shd w:val="clear" w:color="auto" w:fill="auto"/>
            <w:noWrap/>
            <w:vAlign w:val="bottom"/>
            <w:hideMark/>
          </w:tcPr>
          <w:p w14:paraId="63B97E85"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58 (42, 75)</w:t>
            </w:r>
          </w:p>
        </w:tc>
        <w:tc>
          <w:tcPr>
            <w:tcW w:w="3240" w:type="dxa"/>
            <w:tcBorders>
              <w:top w:val="nil"/>
              <w:left w:val="nil"/>
              <w:bottom w:val="single" w:sz="4" w:space="0" w:color="auto"/>
              <w:right w:val="single" w:sz="4" w:space="0" w:color="auto"/>
            </w:tcBorders>
            <w:shd w:val="clear" w:color="auto" w:fill="auto"/>
            <w:noWrap/>
            <w:vAlign w:val="bottom"/>
            <w:hideMark/>
          </w:tcPr>
          <w:p w14:paraId="5E378E9A"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85 (61, 110)</w:t>
            </w:r>
          </w:p>
        </w:tc>
      </w:tr>
      <w:tr w:rsidR="00F91460" w:rsidRPr="004B3167" w14:paraId="5CC58179"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40E52DA0"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Europe &amp; Central Asia</w:t>
            </w:r>
          </w:p>
        </w:tc>
        <w:tc>
          <w:tcPr>
            <w:tcW w:w="2700" w:type="dxa"/>
            <w:tcBorders>
              <w:top w:val="nil"/>
              <w:left w:val="nil"/>
              <w:bottom w:val="single" w:sz="4" w:space="0" w:color="auto"/>
              <w:right w:val="single" w:sz="4" w:space="0" w:color="auto"/>
            </w:tcBorders>
            <w:shd w:val="clear" w:color="auto" w:fill="auto"/>
            <w:noWrap/>
            <w:vAlign w:val="bottom"/>
            <w:hideMark/>
          </w:tcPr>
          <w:p w14:paraId="33142399"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45 (27, 64)</w:t>
            </w:r>
          </w:p>
        </w:tc>
        <w:tc>
          <w:tcPr>
            <w:tcW w:w="3240" w:type="dxa"/>
            <w:tcBorders>
              <w:top w:val="nil"/>
              <w:left w:val="nil"/>
              <w:bottom w:val="single" w:sz="4" w:space="0" w:color="auto"/>
              <w:right w:val="single" w:sz="4" w:space="0" w:color="auto"/>
            </w:tcBorders>
            <w:shd w:val="clear" w:color="auto" w:fill="auto"/>
            <w:noWrap/>
            <w:vAlign w:val="bottom"/>
            <w:hideMark/>
          </w:tcPr>
          <w:p w14:paraId="26A68192"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14 (8, 19)</w:t>
            </w:r>
          </w:p>
        </w:tc>
      </w:tr>
      <w:tr w:rsidR="00F91460" w:rsidRPr="004B3167" w14:paraId="24854923"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004EB15"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High Income</w:t>
            </w:r>
          </w:p>
        </w:tc>
        <w:tc>
          <w:tcPr>
            <w:tcW w:w="2700" w:type="dxa"/>
            <w:tcBorders>
              <w:top w:val="nil"/>
              <w:left w:val="nil"/>
              <w:bottom w:val="single" w:sz="4" w:space="0" w:color="auto"/>
              <w:right w:val="single" w:sz="4" w:space="0" w:color="auto"/>
            </w:tcBorders>
            <w:shd w:val="clear" w:color="auto" w:fill="auto"/>
            <w:noWrap/>
            <w:vAlign w:val="bottom"/>
            <w:hideMark/>
          </w:tcPr>
          <w:p w14:paraId="77BB3C39"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45 (25, 68)</w:t>
            </w:r>
          </w:p>
        </w:tc>
        <w:tc>
          <w:tcPr>
            <w:tcW w:w="3240" w:type="dxa"/>
            <w:tcBorders>
              <w:top w:val="nil"/>
              <w:left w:val="nil"/>
              <w:bottom w:val="single" w:sz="4" w:space="0" w:color="auto"/>
              <w:right w:val="single" w:sz="4" w:space="0" w:color="auto"/>
            </w:tcBorders>
            <w:shd w:val="clear" w:color="auto" w:fill="auto"/>
            <w:noWrap/>
            <w:vAlign w:val="bottom"/>
            <w:hideMark/>
          </w:tcPr>
          <w:p w14:paraId="65024E5E"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30 (16, 45)</w:t>
            </w:r>
          </w:p>
        </w:tc>
      </w:tr>
      <w:tr w:rsidR="00F91460" w:rsidRPr="004B3167" w14:paraId="1CCE92C0"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8538727"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Latin America &amp; Caribbean</w:t>
            </w:r>
          </w:p>
        </w:tc>
        <w:tc>
          <w:tcPr>
            <w:tcW w:w="2700" w:type="dxa"/>
            <w:tcBorders>
              <w:top w:val="nil"/>
              <w:left w:val="nil"/>
              <w:bottom w:val="single" w:sz="4" w:space="0" w:color="auto"/>
              <w:right w:val="single" w:sz="4" w:space="0" w:color="auto"/>
            </w:tcBorders>
            <w:shd w:val="clear" w:color="auto" w:fill="auto"/>
            <w:noWrap/>
            <w:vAlign w:val="bottom"/>
            <w:hideMark/>
          </w:tcPr>
          <w:p w14:paraId="2774A8EE"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48 (38, 58)</w:t>
            </w:r>
          </w:p>
        </w:tc>
        <w:tc>
          <w:tcPr>
            <w:tcW w:w="3240" w:type="dxa"/>
            <w:tcBorders>
              <w:top w:val="nil"/>
              <w:left w:val="nil"/>
              <w:bottom w:val="single" w:sz="4" w:space="0" w:color="auto"/>
              <w:right w:val="single" w:sz="4" w:space="0" w:color="auto"/>
            </w:tcBorders>
            <w:shd w:val="clear" w:color="auto" w:fill="auto"/>
            <w:noWrap/>
            <w:vAlign w:val="bottom"/>
            <w:hideMark/>
          </w:tcPr>
          <w:p w14:paraId="41816A0F"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24 (19, 29)</w:t>
            </w:r>
          </w:p>
        </w:tc>
      </w:tr>
      <w:tr w:rsidR="00F91460" w:rsidRPr="004B3167" w14:paraId="501BF40C"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BE0864C"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Middle East &amp; North Africa</w:t>
            </w:r>
          </w:p>
        </w:tc>
        <w:tc>
          <w:tcPr>
            <w:tcW w:w="2700" w:type="dxa"/>
            <w:tcBorders>
              <w:top w:val="nil"/>
              <w:left w:val="nil"/>
              <w:bottom w:val="single" w:sz="4" w:space="0" w:color="auto"/>
              <w:right w:val="single" w:sz="4" w:space="0" w:color="auto"/>
            </w:tcBorders>
            <w:shd w:val="clear" w:color="auto" w:fill="auto"/>
            <w:noWrap/>
            <w:vAlign w:val="bottom"/>
            <w:hideMark/>
          </w:tcPr>
          <w:p w14:paraId="2F8CF471"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53 (26, 78)</w:t>
            </w:r>
          </w:p>
        </w:tc>
        <w:tc>
          <w:tcPr>
            <w:tcW w:w="3240" w:type="dxa"/>
            <w:tcBorders>
              <w:top w:val="nil"/>
              <w:left w:val="nil"/>
              <w:bottom w:val="single" w:sz="4" w:space="0" w:color="auto"/>
              <w:right w:val="single" w:sz="4" w:space="0" w:color="auto"/>
            </w:tcBorders>
            <w:shd w:val="clear" w:color="auto" w:fill="auto"/>
            <w:noWrap/>
            <w:vAlign w:val="bottom"/>
            <w:hideMark/>
          </w:tcPr>
          <w:p w14:paraId="4D8A5CEE"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22 (11, 32)</w:t>
            </w:r>
          </w:p>
        </w:tc>
      </w:tr>
      <w:tr w:rsidR="00F91460" w:rsidRPr="004B3167" w14:paraId="785C8902"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B6E452D"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South Asia</w:t>
            </w:r>
          </w:p>
        </w:tc>
        <w:tc>
          <w:tcPr>
            <w:tcW w:w="2700" w:type="dxa"/>
            <w:tcBorders>
              <w:top w:val="nil"/>
              <w:left w:val="nil"/>
              <w:bottom w:val="single" w:sz="4" w:space="0" w:color="auto"/>
              <w:right w:val="single" w:sz="4" w:space="0" w:color="auto"/>
            </w:tcBorders>
            <w:shd w:val="clear" w:color="auto" w:fill="auto"/>
            <w:noWrap/>
            <w:vAlign w:val="bottom"/>
            <w:hideMark/>
          </w:tcPr>
          <w:p w14:paraId="3060C0DE"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57 (46, 68)</w:t>
            </w:r>
          </w:p>
        </w:tc>
        <w:tc>
          <w:tcPr>
            <w:tcW w:w="3240" w:type="dxa"/>
            <w:tcBorders>
              <w:top w:val="nil"/>
              <w:left w:val="nil"/>
              <w:bottom w:val="single" w:sz="4" w:space="0" w:color="auto"/>
              <w:right w:val="single" w:sz="4" w:space="0" w:color="auto"/>
            </w:tcBorders>
            <w:shd w:val="clear" w:color="auto" w:fill="auto"/>
            <w:noWrap/>
            <w:vAlign w:val="bottom"/>
            <w:hideMark/>
          </w:tcPr>
          <w:p w14:paraId="0AD3BF3F"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99 (80, 118)</w:t>
            </w:r>
          </w:p>
        </w:tc>
      </w:tr>
      <w:tr w:rsidR="00F91460" w:rsidRPr="004B3167" w14:paraId="0247BEE5"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101099D"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Sub-Saharan Africa</w:t>
            </w:r>
          </w:p>
        </w:tc>
        <w:tc>
          <w:tcPr>
            <w:tcW w:w="2700" w:type="dxa"/>
            <w:tcBorders>
              <w:top w:val="nil"/>
              <w:left w:val="nil"/>
              <w:bottom w:val="single" w:sz="4" w:space="0" w:color="auto"/>
              <w:right w:val="single" w:sz="4" w:space="0" w:color="auto"/>
            </w:tcBorders>
            <w:shd w:val="clear" w:color="auto" w:fill="auto"/>
            <w:noWrap/>
            <w:vAlign w:val="bottom"/>
            <w:hideMark/>
          </w:tcPr>
          <w:p w14:paraId="6FDA977C"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62 (53, 72)</w:t>
            </w:r>
          </w:p>
        </w:tc>
        <w:tc>
          <w:tcPr>
            <w:tcW w:w="3240" w:type="dxa"/>
            <w:tcBorders>
              <w:top w:val="nil"/>
              <w:left w:val="nil"/>
              <w:bottom w:val="single" w:sz="4" w:space="0" w:color="auto"/>
              <w:right w:val="single" w:sz="4" w:space="0" w:color="auto"/>
            </w:tcBorders>
            <w:shd w:val="clear" w:color="auto" w:fill="auto"/>
            <w:noWrap/>
            <w:vAlign w:val="bottom"/>
            <w:hideMark/>
          </w:tcPr>
          <w:p w14:paraId="2FF26CE1"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98 (83, 113)</w:t>
            </w:r>
          </w:p>
        </w:tc>
      </w:tr>
      <w:tr w:rsidR="00F91460" w:rsidRPr="004B3167" w14:paraId="7A7E2782" w14:textId="77777777" w:rsidTr="007214C8">
        <w:trPr>
          <w:trHeight w:val="300"/>
        </w:trPr>
        <w:tc>
          <w:tcPr>
            <w:tcW w:w="8995"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57311CA" w14:textId="09CFD8D5" w:rsidR="00F91460" w:rsidRPr="004B3167" w:rsidRDefault="00F91460" w:rsidP="007214C8">
            <w:pPr>
              <w:rPr>
                <w:rFonts w:ascii="Times New Roman" w:eastAsia="Times New Roman" w:hAnsi="Times New Roman" w:cs="Times New Roman"/>
                <w:i/>
                <w:iCs/>
                <w:color w:val="000000"/>
                <w:sz w:val="24"/>
                <w:szCs w:val="24"/>
              </w:rPr>
            </w:pPr>
            <w:r w:rsidRPr="004B3167">
              <w:rPr>
                <w:rFonts w:ascii="Times New Roman" w:eastAsia="Times New Roman" w:hAnsi="Times New Roman" w:cs="Times New Roman"/>
                <w:i/>
                <w:iCs/>
                <w:color w:val="000000"/>
                <w:sz w:val="24"/>
                <w:szCs w:val="24"/>
              </w:rPr>
              <w:t xml:space="preserve">Non-pregnant women </w:t>
            </w:r>
            <w:r>
              <w:rPr>
                <w:rFonts w:ascii="Times New Roman" w:eastAsia="Times New Roman" w:hAnsi="Times New Roman" w:cs="Times New Roman"/>
                <w:i/>
                <w:iCs/>
                <w:color w:val="000000"/>
                <w:sz w:val="24"/>
                <w:szCs w:val="24"/>
              </w:rPr>
              <w:t xml:space="preserve">primarily </w:t>
            </w:r>
            <w:r w:rsidRPr="004B3167">
              <w:rPr>
                <w:rFonts w:ascii="Times New Roman" w:eastAsia="Times New Roman" w:hAnsi="Times New Roman" w:cs="Times New Roman"/>
                <w:i/>
                <w:iCs/>
                <w:color w:val="000000"/>
                <w:sz w:val="24"/>
                <w:szCs w:val="24"/>
              </w:rPr>
              <w:t>15</w:t>
            </w:r>
            <w:r>
              <w:rPr>
                <w:rFonts w:ascii="Times New Roman" w:eastAsia="Times New Roman" w:hAnsi="Times New Roman" w:cs="Times New Roman"/>
                <w:i/>
                <w:iCs/>
                <w:color w:val="000000"/>
                <w:sz w:val="24"/>
                <w:szCs w:val="24"/>
              </w:rPr>
              <w:t>–</w:t>
            </w:r>
            <w:r w:rsidRPr="004B3167">
              <w:rPr>
                <w:rFonts w:ascii="Times New Roman" w:eastAsia="Times New Roman" w:hAnsi="Times New Roman" w:cs="Times New Roman"/>
                <w:i/>
                <w:iCs/>
                <w:color w:val="000000"/>
                <w:sz w:val="24"/>
                <w:szCs w:val="24"/>
              </w:rPr>
              <w:t>49</w:t>
            </w:r>
            <w:r w:rsidR="00AB249B">
              <w:rPr>
                <w:rFonts w:ascii="Times New Roman" w:eastAsia="Times New Roman" w:hAnsi="Times New Roman" w:cs="Times New Roman"/>
                <w:i/>
                <w:iCs/>
                <w:color w:val="000000"/>
                <w:sz w:val="24"/>
                <w:szCs w:val="24"/>
              </w:rPr>
              <w:t xml:space="preserve"> years</w:t>
            </w:r>
          </w:p>
        </w:tc>
      </w:tr>
      <w:tr w:rsidR="00F91460" w:rsidRPr="004B3167" w14:paraId="20A9D591"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4BE8EC0"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World</w:t>
            </w:r>
          </w:p>
        </w:tc>
        <w:tc>
          <w:tcPr>
            <w:tcW w:w="2700" w:type="dxa"/>
            <w:tcBorders>
              <w:top w:val="nil"/>
              <w:left w:val="nil"/>
              <w:bottom w:val="single" w:sz="4" w:space="0" w:color="auto"/>
              <w:right w:val="single" w:sz="4" w:space="0" w:color="auto"/>
            </w:tcBorders>
            <w:shd w:val="clear" w:color="auto" w:fill="auto"/>
            <w:noWrap/>
            <w:vAlign w:val="bottom"/>
            <w:hideMark/>
          </w:tcPr>
          <w:p w14:paraId="2D774493"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69 (59, 78)</w:t>
            </w:r>
          </w:p>
        </w:tc>
        <w:tc>
          <w:tcPr>
            <w:tcW w:w="3240" w:type="dxa"/>
            <w:tcBorders>
              <w:top w:val="nil"/>
              <w:left w:val="nil"/>
              <w:bottom w:val="single" w:sz="4" w:space="0" w:color="auto"/>
              <w:right w:val="single" w:sz="4" w:space="0" w:color="auto"/>
            </w:tcBorders>
            <w:shd w:val="clear" w:color="auto" w:fill="auto"/>
            <w:noWrap/>
            <w:vAlign w:val="bottom"/>
            <w:hideMark/>
          </w:tcPr>
          <w:p w14:paraId="538E99A9"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1203 (1031, 1358)</w:t>
            </w:r>
          </w:p>
        </w:tc>
      </w:tr>
      <w:tr w:rsidR="00F91460" w:rsidRPr="004B3167" w14:paraId="4BAB12E2"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E72E81B"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East Asia &amp; Pacific</w:t>
            </w:r>
          </w:p>
        </w:tc>
        <w:tc>
          <w:tcPr>
            <w:tcW w:w="2700" w:type="dxa"/>
            <w:tcBorders>
              <w:top w:val="nil"/>
              <w:left w:val="nil"/>
              <w:bottom w:val="single" w:sz="4" w:space="0" w:color="auto"/>
              <w:right w:val="single" w:sz="4" w:space="0" w:color="auto"/>
            </w:tcBorders>
            <w:shd w:val="clear" w:color="auto" w:fill="auto"/>
            <w:noWrap/>
            <w:vAlign w:val="bottom"/>
            <w:hideMark/>
          </w:tcPr>
          <w:p w14:paraId="093F11C7"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72 (52, 88)</w:t>
            </w:r>
          </w:p>
        </w:tc>
        <w:tc>
          <w:tcPr>
            <w:tcW w:w="3240" w:type="dxa"/>
            <w:tcBorders>
              <w:top w:val="nil"/>
              <w:left w:val="nil"/>
              <w:bottom w:val="single" w:sz="4" w:space="0" w:color="auto"/>
              <w:right w:val="single" w:sz="4" w:space="0" w:color="auto"/>
            </w:tcBorders>
            <w:shd w:val="clear" w:color="auto" w:fill="auto"/>
            <w:noWrap/>
            <w:vAlign w:val="bottom"/>
            <w:hideMark/>
          </w:tcPr>
          <w:p w14:paraId="5399BB16"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384 (279, 470)</w:t>
            </w:r>
          </w:p>
        </w:tc>
      </w:tr>
      <w:tr w:rsidR="00F91460" w:rsidRPr="004B3167" w14:paraId="0D2F03DF"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D004469"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Europe &amp; Central Asia</w:t>
            </w:r>
          </w:p>
        </w:tc>
        <w:tc>
          <w:tcPr>
            <w:tcW w:w="2700" w:type="dxa"/>
            <w:tcBorders>
              <w:top w:val="nil"/>
              <w:left w:val="nil"/>
              <w:bottom w:val="single" w:sz="4" w:space="0" w:color="auto"/>
              <w:right w:val="single" w:sz="4" w:space="0" w:color="auto"/>
            </w:tcBorders>
            <w:shd w:val="clear" w:color="auto" w:fill="auto"/>
            <w:noWrap/>
            <w:vAlign w:val="bottom"/>
            <w:hideMark/>
          </w:tcPr>
          <w:p w14:paraId="0E4D67F5"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68 (46, 86)</w:t>
            </w:r>
          </w:p>
        </w:tc>
        <w:tc>
          <w:tcPr>
            <w:tcW w:w="3240" w:type="dxa"/>
            <w:tcBorders>
              <w:top w:val="nil"/>
              <w:left w:val="nil"/>
              <w:bottom w:val="single" w:sz="4" w:space="0" w:color="auto"/>
              <w:right w:val="single" w:sz="4" w:space="0" w:color="auto"/>
            </w:tcBorders>
            <w:shd w:val="clear" w:color="auto" w:fill="auto"/>
            <w:noWrap/>
            <w:vAlign w:val="bottom"/>
            <w:hideMark/>
          </w:tcPr>
          <w:p w14:paraId="4A99E690"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68 (46, 86)</w:t>
            </w:r>
          </w:p>
        </w:tc>
      </w:tr>
      <w:tr w:rsidR="00F91460" w:rsidRPr="004B3167" w14:paraId="363A828C"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FB44885"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High Income</w:t>
            </w:r>
          </w:p>
        </w:tc>
        <w:tc>
          <w:tcPr>
            <w:tcW w:w="2700" w:type="dxa"/>
            <w:tcBorders>
              <w:top w:val="nil"/>
              <w:left w:val="nil"/>
              <w:bottom w:val="single" w:sz="4" w:space="0" w:color="auto"/>
              <w:right w:val="single" w:sz="4" w:space="0" w:color="auto"/>
            </w:tcBorders>
            <w:shd w:val="clear" w:color="auto" w:fill="auto"/>
            <w:noWrap/>
            <w:vAlign w:val="bottom"/>
            <w:hideMark/>
          </w:tcPr>
          <w:p w14:paraId="224EED3C"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48 (26, 73)</w:t>
            </w:r>
          </w:p>
        </w:tc>
        <w:tc>
          <w:tcPr>
            <w:tcW w:w="3240" w:type="dxa"/>
            <w:tcBorders>
              <w:top w:val="nil"/>
              <w:left w:val="nil"/>
              <w:bottom w:val="single" w:sz="4" w:space="0" w:color="auto"/>
              <w:right w:val="single" w:sz="4" w:space="0" w:color="auto"/>
            </w:tcBorders>
            <w:shd w:val="clear" w:color="auto" w:fill="auto"/>
            <w:noWrap/>
            <w:vAlign w:val="bottom"/>
            <w:hideMark/>
          </w:tcPr>
          <w:p w14:paraId="48EFE53F"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126 (68, 190)</w:t>
            </w:r>
          </w:p>
        </w:tc>
      </w:tr>
      <w:tr w:rsidR="00F91460" w:rsidRPr="004B3167" w14:paraId="0D47B622"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DAEF478"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Latin America &amp; Caribbean</w:t>
            </w:r>
          </w:p>
        </w:tc>
        <w:tc>
          <w:tcPr>
            <w:tcW w:w="2700" w:type="dxa"/>
            <w:tcBorders>
              <w:top w:val="nil"/>
              <w:left w:val="nil"/>
              <w:bottom w:val="single" w:sz="4" w:space="0" w:color="auto"/>
              <w:right w:val="single" w:sz="4" w:space="0" w:color="auto"/>
            </w:tcBorders>
            <w:shd w:val="clear" w:color="auto" w:fill="auto"/>
            <w:noWrap/>
            <w:vAlign w:val="bottom"/>
            <w:hideMark/>
          </w:tcPr>
          <w:p w14:paraId="3BE5A7F7"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63 (47, 79)</w:t>
            </w:r>
          </w:p>
        </w:tc>
        <w:tc>
          <w:tcPr>
            <w:tcW w:w="3240" w:type="dxa"/>
            <w:tcBorders>
              <w:top w:val="nil"/>
              <w:left w:val="nil"/>
              <w:bottom w:val="single" w:sz="4" w:space="0" w:color="auto"/>
              <w:right w:val="single" w:sz="4" w:space="0" w:color="auto"/>
            </w:tcBorders>
            <w:shd w:val="clear" w:color="auto" w:fill="auto"/>
            <w:noWrap/>
            <w:vAlign w:val="bottom"/>
            <w:hideMark/>
          </w:tcPr>
          <w:p w14:paraId="746978AF"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96 (71, 119)</w:t>
            </w:r>
          </w:p>
        </w:tc>
      </w:tr>
      <w:tr w:rsidR="00F91460" w:rsidRPr="004B3167" w14:paraId="1A7FD469"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322E0D7"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Middle East &amp; North Africa</w:t>
            </w:r>
          </w:p>
        </w:tc>
        <w:tc>
          <w:tcPr>
            <w:tcW w:w="2700" w:type="dxa"/>
            <w:tcBorders>
              <w:top w:val="nil"/>
              <w:left w:val="nil"/>
              <w:bottom w:val="single" w:sz="4" w:space="0" w:color="auto"/>
              <w:right w:val="single" w:sz="4" w:space="0" w:color="auto"/>
            </w:tcBorders>
            <w:shd w:val="clear" w:color="auto" w:fill="auto"/>
            <w:noWrap/>
            <w:vAlign w:val="bottom"/>
            <w:hideMark/>
          </w:tcPr>
          <w:p w14:paraId="3C184B35"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68 (34, 93)</w:t>
            </w:r>
          </w:p>
        </w:tc>
        <w:tc>
          <w:tcPr>
            <w:tcW w:w="3240" w:type="dxa"/>
            <w:tcBorders>
              <w:top w:val="nil"/>
              <w:left w:val="nil"/>
              <w:bottom w:val="single" w:sz="4" w:space="0" w:color="auto"/>
              <w:right w:val="single" w:sz="4" w:space="0" w:color="auto"/>
            </w:tcBorders>
            <w:shd w:val="clear" w:color="auto" w:fill="auto"/>
            <w:noWrap/>
            <w:vAlign w:val="bottom"/>
            <w:hideMark/>
          </w:tcPr>
          <w:p w14:paraId="0B0A0573"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60 (31, 83)</w:t>
            </w:r>
          </w:p>
        </w:tc>
      </w:tr>
      <w:tr w:rsidR="00F91460" w:rsidRPr="004B3167" w14:paraId="609CB906"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5048C7F"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South Asia</w:t>
            </w:r>
          </w:p>
        </w:tc>
        <w:tc>
          <w:tcPr>
            <w:tcW w:w="2700" w:type="dxa"/>
            <w:tcBorders>
              <w:top w:val="nil"/>
              <w:left w:val="nil"/>
              <w:bottom w:val="single" w:sz="4" w:space="0" w:color="auto"/>
              <w:right w:val="single" w:sz="4" w:space="0" w:color="auto"/>
            </w:tcBorders>
            <w:shd w:val="clear" w:color="auto" w:fill="auto"/>
            <w:noWrap/>
            <w:vAlign w:val="bottom"/>
            <w:hideMark/>
          </w:tcPr>
          <w:p w14:paraId="0A8EC180"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74 (61, 85)</w:t>
            </w:r>
          </w:p>
        </w:tc>
        <w:tc>
          <w:tcPr>
            <w:tcW w:w="3240" w:type="dxa"/>
            <w:tcBorders>
              <w:top w:val="nil"/>
              <w:left w:val="nil"/>
              <w:bottom w:val="single" w:sz="4" w:space="0" w:color="auto"/>
              <w:right w:val="single" w:sz="4" w:space="0" w:color="auto"/>
            </w:tcBorders>
            <w:shd w:val="clear" w:color="auto" w:fill="auto"/>
            <w:noWrap/>
            <w:vAlign w:val="bottom"/>
            <w:hideMark/>
          </w:tcPr>
          <w:p w14:paraId="21A20B6A"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307 (255, 351)</w:t>
            </w:r>
          </w:p>
        </w:tc>
      </w:tr>
      <w:tr w:rsidR="00F91460" w:rsidRPr="004B3167" w14:paraId="31D5BCA9" w14:textId="77777777" w:rsidTr="007214C8">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772FB03" w14:textId="77777777" w:rsidR="00F91460" w:rsidRPr="004B3167" w:rsidRDefault="00F91460" w:rsidP="007214C8">
            <w:pP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Sub-Saharan Africa</w:t>
            </w:r>
          </w:p>
        </w:tc>
        <w:tc>
          <w:tcPr>
            <w:tcW w:w="2700" w:type="dxa"/>
            <w:tcBorders>
              <w:top w:val="nil"/>
              <w:left w:val="nil"/>
              <w:bottom w:val="single" w:sz="4" w:space="0" w:color="auto"/>
              <w:right w:val="single" w:sz="4" w:space="0" w:color="auto"/>
            </w:tcBorders>
            <w:shd w:val="clear" w:color="auto" w:fill="auto"/>
            <w:noWrap/>
            <w:vAlign w:val="bottom"/>
            <w:hideMark/>
          </w:tcPr>
          <w:p w14:paraId="11148825" w14:textId="77777777" w:rsidR="00F91460" w:rsidRPr="004B3167" w:rsidRDefault="00F91460" w:rsidP="007214C8">
            <w:pPr>
              <w:jc w:val="center"/>
              <w:rPr>
                <w:rFonts w:ascii="Times New Roman" w:eastAsia="Times New Roman" w:hAnsi="Times New Roman" w:cs="Times New Roman"/>
                <w:color w:val="000000"/>
                <w:sz w:val="24"/>
                <w:szCs w:val="24"/>
              </w:rPr>
            </w:pPr>
            <w:r w:rsidRPr="004B3167">
              <w:rPr>
                <w:rFonts w:ascii="Times New Roman" w:eastAsia="Times New Roman" w:hAnsi="Times New Roman" w:cs="Times New Roman"/>
                <w:color w:val="000000"/>
                <w:sz w:val="24"/>
                <w:szCs w:val="24"/>
              </w:rPr>
              <w:t>80 (70, 89)</w:t>
            </w:r>
          </w:p>
        </w:tc>
        <w:tc>
          <w:tcPr>
            <w:tcW w:w="3240" w:type="dxa"/>
            <w:tcBorders>
              <w:top w:val="nil"/>
              <w:left w:val="nil"/>
              <w:bottom w:val="single" w:sz="4" w:space="0" w:color="auto"/>
              <w:right w:val="single" w:sz="4" w:space="0" w:color="auto"/>
            </w:tcBorders>
            <w:shd w:val="clear" w:color="auto" w:fill="auto"/>
            <w:noWrap/>
            <w:vAlign w:val="bottom"/>
            <w:hideMark/>
          </w:tcPr>
          <w:p w14:paraId="5BB7B633" w14:textId="77777777" w:rsidR="00F91460" w:rsidRPr="00642597" w:rsidRDefault="00F91460" w:rsidP="007214C8">
            <w:pPr>
              <w:pStyle w:val="ListParagraph"/>
              <w:numPr>
                <w:ilvl w:val="0"/>
                <w:numId w:val="23"/>
              </w:num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r w:rsidRPr="00642597">
              <w:rPr>
                <w:rFonts w:ascii="Times New Roman" w:eastAsia="Times New Roman" w:hAnsi="Times New Roman" w:cs="Times New Roman"/>
                <w:color w:val="000000"/>
                <w:sz w:val="24"/>
                <w:szCs w:val="24"/>
              </w:rPr>
              <w:t>39, 178)</w:t>
            </w:r>
          </w:p>
        </w:tc>
      </w:tr>
    </w:tbl>
    <w:p w14:paraId="15CB019B" w14:textId="62898BA9" w:rsidR="007C4842" w:rsidRPr="00F91460" w:rsidRDefault="00F91460">
      <w:pPr>
        <w:rPr>
          <w:rFonts w:ascii="Times New Roman" w:hAnsi="Times New Roman" w:cs="Times New Roman"/>
          <w:sz w:val="24"/>
          <w:szCs w:val="24"/>
          <w:lang w:val="en-GB"/>
        </w:rPr>
      </w:pPr>
      <w:r w:rsidRPr="00642597">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 </w:t>
      </w:r>
      <w:r w:rsidRPr="00642597">
        <w:rPr>
          <w:rFonts w:ascii="Times New Roman" w:hAnsi="Times New Roman" w:cs="Times New Roman"/>
          <w:sz w:val="24"/>
          <w:szCs w:val="24"/>
          <w:lang w:val="en-GB"/>
        </w:rPr>
        <w:t xml:space="preserve">Core micronutrients for children </w:t>
      </w:r>
      <w:r>
        <w:rPr>
          <w:rFonts w:ascii="Times New Roman" w:hAnsi="Times New Roman" w:cs="Times New Roman"/>
          <w:sz w:val="24"/>
          <w:szCs w:val="24"/>
          <w:lang w:val="en-GB"/>
        </w:rPr>
        <w:t>are</w:t>
      </w:r>
      <w:r w:rsidRPr="00642597">
        <w:rPr>
          <w:rFonts w:ascii="Times New Roman" w:hAnsi="Times New Roman" w:cs="Times New Roman"/>
          <w:sz w:val="24"/>
          <w:szCs w:val="24"/>
          <w:lang w:val="en-GB"/>
        </w:rPr>
        <w:t xml:space="preserve"> </w:t>
      </w:r>
      <w:r>
        <w:rPr>
          <w:rFonts w:ascii="Times New Roman" w:hAnsi="Times New Roman" w:cs="Times New Roman"/>
          <w:sz w:val="24"/>
          <w:szCs w:val="24"/>
          <w:lang w:val="en-GB"/>
        </w:rPr>
        <w:t>iron, zinc,</w:t>
      </w:r>
      <w:r w:rsidRPr="00642597">
        <w:rPr>
          <w:rFonts w:ascii="Times New Roman" w:hAnsi="Times New Roman" w:cs="Times New Roman"/>
          <w:sz w:val="24"/>
          <w:szCs w:val="24"/>
          <w:lang w:val="en-GB"/>
        </w:rPr>
        <w:t xml:space="preserve"> and vitamin A, and for women are iron</w:t>
      </w:r>
      <w:r>
        <w:rPr>
          <w:rFonts w:ascii="Times New Roman" w:hAnsi="Times New Roman" w:cs="Times New Roman"/>
          <w:sz w:val="24"/>
          <w:szCs w:val="24"/>
          <w:lang w:val="en-GB"/>
        </w:rPr>
        <w:t>, zinc,</w:t>
      </w:r>
      <w:r w:rsidRPr="00642597">
        <w:rPr>
          <w:rFonts w:ascii="Times New Roman" w:hAnsi="Times New Roman" w:cs="Times New Roman"/>
          <w:sz w:val="24"/>
          <w:szCs w:val="24"/>
          <w:lang w:val="en-GB"/>
        </w:rPr>
        <w:t xml:space="preserve"> and folate.</w:t>
      </w:r>
      <w:r>
        <w:rPr>
          <w:rFonts w:ascii="Times New Roman" w:hAnsi="Times New Roman" w:cs="Times New Roman"/>
          <w:sz w:val="24"/>
          <w:szCs w:val="24"/>
          <w:lang w:val="en-GB"/>
        </w:rPr>
        <w:t xml:space="preserve"> </w:t>
      </w:r>
      <w:r w:rsidRPr="004B3167">
        <w:rPr>
          <w:rFonts w:ascii="Times New Roman" w:hAnsi="Times New Roman" w:cs="Times New Roman"/>
          <w:sz w:val="24"/>
          <w:szCs w:val="24"/>
          <w:lang w:val="en-GB"/>
        </w:rPr>
        <w:t xml:space="preserve">Definitions of deficiency are </w:t>
      </w:r>
      <w:r>
        <w:rPr>
          <w:rFonts w:ascii="Times New Roman" w:hAnsi="Times New Roman" w:cs="Times New Roman"/>
          <w:sz w:val="24"/>
          <w:szCs w:val="24"/>
          <w:lang w:val="en-GB"/>
        </w:rPr>
        <w:t>specified</w:t>
      </w:r>
      <w:r w:rsidRPr="004B3167">
        <w:rPr>
          <w:rFonts w:ascii="Times New Roman" w:hAnsi="Times New Roman" w:cs="Times New Roman"/>
          <w:sz w:val="24"/>
          <w:szCs w:val="24"/>
          <w:lang w:val="en-GB"/>
        </w:rPr>
        <w:t xml:space="preserve"> in </w:t>
      </w:r>
      <w:r>
        <w:rPr>
          <w:rFonts w:ascii="Times New Roman" w:hAnsi="Times New Roman" w:cs="Times New Roman"/>
          <w:sz w:val="24"/>
          <w:szCs w:val="24"/>
          <w:lang w:val="en-GB"/>
        </w:rPr>
        <w:t>Table 1. UI, uncertainty interval.</w:t>
      </w:r>
    </w:p>
    <w:sectPr w:rsidR="007C4842" w:rsidRPr="00F91460" w:rsidSect="00FE7072">
      <w:pgSz w:w="11900" w:h="168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1AC84" w14:textId="77777777" w:rsidR="00C40C98" w:rsidRDefault="00C40C98" w:rsidP="009347D0">
      <w:r>
        <w:separator/>
      </w:r>
    </w:p>
  </w:endnote>
  <w:endnote w:type="continuationSeparator" w:id="0">
    <w:p w14:paraId="791A8FA8" w14:textId="77777777" w:rsidR="00C40C98" w:rsidRDefault="00C40C98" w:rsidP="009347D0">
      <w:r>
        <w:continuationSeparator/>
      </w:r>
    </w:p>
  </w:endnote>
  <w:endnote w:type="continuationNotice" w:id="1">
    <w:p w14:paraId="02E4A895" w14:textId="77777777" w:rsidR="00C40C98" w:rsidRDefault="00C40C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none)">
    <w:altName w:val="Times New Roman"/>
    <w:panose1 w:val="020B0604020202020204"/>
    <w:charset w:val="00"/>
    <w:family w:val="roman"/>
    <w:notTrueType/>
    <w:pitch w:val="default"/>
  </w:font>
  <w:font w:name="Avenir">
    <w:altName w:val="﷽﷽﷽﷽﷽﷽﷽﷽"/>
    <w:panose1 w:val="02000503020000020003"/>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E2775" w14:textId="77777777" w:rsidR="00112C40" w:rsidRDefault="00112C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5431355"/>
      <w:docPartObj>
        <w:docPartGallery w:val="Page Numbers (Bottom of Page)"/>
        <w:docPartUnique/>
      </w:docPartObj>
    </w:sdtPr>
    <w:sdtEndPr>
      <w:rPr>
        <w:noProof/>
      </w:rPr>
    </w:sdtEndPr>
    <w:sdtContent>
      <w:p w14:paraId="08FE268B" w14:textId="77777777" w:rsidR="00F91460" w:rsidRDefault="00F914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6795" w14:textId="77777777" w:rsidR="00F91460" w:rsidRDefault="00F91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6A132" w14:textId="77777777" w:rsidR="00112C40" w:rsidRDefault="00112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BC08E" w14:textId="77777777" w:rsidR="00C40C98" w:rsidRDefault="00C40C98" w:rsidP="009347D0">
      <w:r>
        <w:separator/>
      </w:r>
    </w:p>
  </w:footnote>
  <w:footnote w:type="continuationSeparator" w:id="0">
    <w:p w14:paraId="15258814" w14:textId="77777777" w:rsidR="00C40C98" w:rsidRDefault="00C40C98" w:rsidP="009347D0">
      <w:r>
        <w:continuationSeparator/>
      </w:r>
    </w:p>
  </w:footnote>
  <w:footnote w:type="continuationNotice" w:id="1">
    <w:p w14:paraId="0F7016EF" w14:textId="77777777" w:rsidR="00C40C98" w:rsidRDefault="00C40C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479AB" w14:textId="77777777" w:rsidR="00112C40" w:rsidRDefault="00112C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FDB79" w14:textId="77777777" w:rsidR="00F91460" w:rsidRDefault="00F91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5A466" w14:textId="77777777" w:rsidR="00112C40" w:rsidRDefault="00112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326A"/>
    <w:multiLevelType w:val="hybridMultilevel"/>
    <w:tmpl w:val="D6262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F6759"/>
    <w:multiLevelType w:val="hybridMultilevel"/>
    <w:tmpl w:val="599E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0369B"/>
    <w:multiLevelType w:val="hybridMultilevel"/>
    <w:tmpl w:val="14E4CE24"/>
    <w:lvl w:ilvl="0" w:tplc="824626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6665C2"/>
    <w:multiLevelType w:val="hybridMultilevel"/>
    <w:tmpl w:val="0A222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E1902"/>
    <w:multiLevelType w:val="hybridMultilevel"/>
    <w:tmpl w:val="D2C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744BE"/>
    <w:multiLevelType w:val="multilevel"/>
    <w:tmpl w:val="EB106122"/>
    <w:lvl w:ilvl="0">
      <w:numFmt w:val="bullet"/>
      <w:pStyle w:val="Bullet1"/>
      <w:lvlText w:val=""/>
      <w:lvlJc w:val="left"/>
      <w:pPr>
        <w:tabs>
          <w:tab w:val="num" w:pos="340"/>
        </w:tabs>
        <w:ind w:left="340" w:hanging="340"/>
      </w:pPr>
      <w:rPr>
        <w:rFonts w:ascii="Symbol" w:hAnsi="Symbol" w:hint="default"/>
        <w:color w:val="4472C4" w:themeColor="accent1"/>
      </w:rPr>
    </w:lvl>
    <w:lvl w:ilvl="1">
      <w:numFmt w:val="bullet"/>
      <w:pStyle w:val="Bullet2"/>
      <w:lvlText w:val="–"/>
      <w:lvlJc w:val="left"/>
      <w:pPr>
        <w:tabs>
          <w:tab w:val="num" w:pos="680"/>
        </w:tabs>
        <w:ind w:left="680" w:hanging="340"/>
      </w:pPr>
      <w:rPr>
        <w:rFonts w:hint="default"/>
        <w:color w:val="4472C4" w:themeColor="accent1"/>
      </w:rPr>
    </w:lvl>
    <w:lvl w:ilvl="2">
      <w:numFmt w:val="bullet"/>
      <w:pStyle w:val="Bullet3"/>
      <w:lvlText w:val="–"/>
      <w:lvlJc w:val="left"/>
      <w:pPr>
        <w:tabs>
          <w:tab w:val="num" w:pos="1021"/>
        </w:tabs>
        <w:ind w:left="1021" w:hanging="341"/>
      </w:pPr>
      <w:rPr>
        <w:rFonts w:hint="default"/>
        <w:color w:val="4472C4"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31770C9"/>
    <w:multiLevelType w:val="multilevel"/>
    <w:tmpl w:val="971EBDAC"/>
    <w:lvl w:ilvl="0">
      <w:start w:val="1"/>
      <w:numFmt w:val="upperLetter"/>
      <w:pStyle w:val="AppHead"/>
      <w:lvlText w:val="%1"/>
      <w:lvlJc w:val="right"/>
      <w:pPr>
        <w:ind w:left="0" w:hanging="284"/>
      </w:pPr>
      <w:rPr>
        <w:rFonts w:hint="default"/>
      </w:rPr>
    </w:lvl>
    <w:lvl w:ilvl="1">
      <w:start w:val="1"/>
      <w:numFmt w:val="decimal"/>
      <w:pStyle w:val="AppSubHead"/>
      <w:lvlText w:val="%1.%2"/>
      <w:lvlJc w:val="right"/>
      <w:pPr>
        <w:ind w:left="0" w:hanging="284"/>
      </w:pPr>
      <w:rPr>
        <w:rFonts w:hint="default"/>
      </w:rPr>
    </w:lvl>
    <w:lvl w:ilvl="2">
      <w:start w:val="1"/>
      <w:numFmt w:val="decimal"/>
      <w:pStyle w:val="AppMinorSubHead"/>
      <w:lvlText w:val="%1.%2.%3"/>
      <w:lvlJc w:val="right"/>
      <w:pPr>
        <w:ind w:left="0"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54CF620D"/>
    <w:multiLevelType w:val="multilevel"/>
    <w:tmpl w:val="D2BE3C94"/>
    <w:lvl w:ilvl="0">
      <w:start w:val="1"/>
      <w:numFmt w:val="decimal"/>
      <w:lvlRestart w:val="0"/>
      <w:pStyle w:val="Heading1"/>
      <w:isLgl/>
      <w:suff w:val="space"/>
      <w:lvlText w:val="%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none"/>
      <w:isLgl/>
      <w:lvlText w:val=""/>
      <w:lvlJc w:val="left"/>
      <w:pPr>
        <w:ind w:left="0" w:firstLine="0"/>
      </w:pPr>
      <w:rPr>
        <w:rFonts w:hint="default"/>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8" w15:restartNumberingAfterBreak="0">
    <w:nsid w:val="66092399"/>
    <w:multiLevelType w:val="hybridMultilevel"/>
    <w:tmpl w:val="563806D4"/>
    <w:lvl w:ilvl="0" w:tplc="4224AD66">
      <w:start w:val="1"/>
      <w:numFmt w:val="bullet"/>
      <w:pStyle w:val="Bulle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4346E4"/>
    <w:multiLevelType w:val="hybridMultilevel"/>
    <w:tmpl w:val="585E63B2"/>
    <w:lvl w:ilvl="0" w:tplc="12640140">
      <w:start w:val="16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3444F"/>
    <w:multiLevelType w:val="multilevel"/>
    <w:tmpl w:val="6CC43206"/>
    <w:lvl w:ilvl="0">
      <w:numFmt w:val="bullet"/>
      <w:pStyle w:val="TableBullet1"/>
      <w:lvlText w:val=""/>
      <w:lvlJc w:val="left"/>
      <w:pPr>
        <w:tabs>
          <w:tab w:val="num" w:pos="170"/>
        </w:tabs>
        <w:ind w:left="170" w:hanging="170"/>
      </w:pPr>
      <w:rPr>
        <w:rFonts w:ascii="Symbol" w:hAnsi="Symbol" w:hint="default"/>
        <w:color w:val="4472C4" w:themeColor="accent1"/>
      </w:rPr>
    </w:lvl>
    <w:lvl w:ilvl="1">
      <w:numFmt w:val="bullet"/>
      <w:pStyle w:val="TableBullet2"/>
      <w:lvlText w:val="–"/>
      <w:lvlJc w:val="left"/>
      <w:pPr>
        <w:tabs>
          <w:tab w:val="num" w:pos="340"/>
        </w:tabs>
        <w:ind w:left="340" w:hanging="170"/>
      </w:pPr>
      <w:rPr>
        <w:rFonts w:hint="default"/>
        <w:color w:val="4472C4" w:themeColor="accent1"/>
      </w:rPr>
    </w:lvl>
    <w:lvl w:ilvl="2">
      <w:numFmt w:val="bullet"/>
      <w:pStyle w:val="TableBullet3"/>
      <w:lvlText w:val="–"/>
      <w:lvlJc w:val="left"/>
      <w:pPr>
        <w:tabs>
          <w:tab w:val="num" w:pos="510"/>
        </w:tabs>
        <w:ind w:left="510" w:hanging="170"/>
      </w:pPr>
      <w:rPr>
        <w:rFonts w:hint="default"/>
        <w:color w:val="4472C4"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numFmt w:val="bullet"/>
      <w:lvlText w:val="–"/>
      <w:lvlJc w:val="left"/>
      <w:pPr>
        <w:ind w:left="0" w:firstLine="0"/>
      </w:pPr>
      <w:rPr>
        <w:rFonts w:ascii="(none)" w:hAnsi="(none)" w:hint="default"/>
        <w:color w:val="auto"/>
      </w:rPr>
    </w:lvl>
    <w:lvl w:ilvl="8">
      <w:start w:val="1"/>
      <w:numFmt w:val="none"/>
      <w:lvlText w:val=""/>
      <w:lvlJc w:val="left"/>
      <w:pPr>
        <w:ind w:left="0" w:firstLine="0"/>
      </w:pPr>
      <w:rPr>
        <w:rFonts w:hint="default"/>
      </w:rPr>
    </w:lvl>
  </w:abstractNum>
  <w:abstractNum w:abstractNumId="11" w15:restartNumberingAfterBreak="0">
    <w:nsid w:val="72CA7778"/>
    <w:multiLevelType w:val="hybridMultilevel"/>
    <w:tmpl w:val="99248CB2"/>
    <w:lvl w:ilvl="0" w:tplc="EC9E2A54">
      <w:start w:val="1"/>
      <w:numFmt w:val="decimal"/>
      <w:pStyle w:val="NumBullets"/>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96A3518"/>
    <w:multiLevelType w:val="multilevel"/>
    <w:tmpl w:val="52F4B894"/>
    <w:lvl w:ilvl="0">
      <w:start w:val="1"/>
      <w:numFmt w:val="decimal"/>
      <w:pStyle w:val="NumBullet1"/>
      <w:lvlText w:val="%1."/>
      <w:lvlJc w:val="left"/>
      <w:pPr>
        <w:tabs>
          <w:tab w:val="num" w:pos="340"/>
        </w:tabs>
        <w:ind w:left="340" w:hanging="340"/>
      </w:pPr>
      <w:rPr>
        <w:rFonts w:hint="default"/>
        <w:color w:val="4472C4" w:themeColor="accent1"/>
      </w:rPr>
    </w:lvl>
    <w:lvl w:ilvl="1">
      <w:start w:val="1"/>
      <w:numFmt w:val="lowerLetter"/>
      <w:pStyle w:val="NumBullet2"/>
      <w:lvlText w:val="%2."/>
      <w:lvlJc w:val="left"/>
      <w:pPr>
        <w:tabs>
          <w:tab w:val="num" w:pos="680"/>
        </w:tabs>
        <w:ind w:left="680" w:hanging="340"/>
      </w:pPr>
      <w:rPr>
        <w:rFonts w:hint="default"/>
        <w:color w:val="4472C4" w:themeColor="accent1"/>
      </w:rPr>
    </w:lvl>
    <w:lvl w:ilvl="2">
      <w:start w:val="1"/>
      <w:numFmt w:val="lowerRoman"/>
      <w:pStyle w:val="NumBullet3"/>
      <w:lvlText w:val="%3."/>
      <w:lvlJc w:val="left"/>
      <w:pPr>
        <w:tabs>
          <w:tab w:val="num" w:pos="1021"/>
        </w:tabs>
        <w:ind w:left="1021" w:hanging="341"/>
      </w:pPr>
      <w:rPr>
        <w:rFonts w:hint="default"/>
        <w:color w:val="4472C4"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6"/>
  </w:num>
  <w:num w:numId="2">
    <w:abstractNumId w:val="6"/>
  </w:num>
  <w:num w:numId="3">
    <w:abstractNumId w:val="6"/>
  </w:num>
  <w:num w:numId="4">
    <w:abstractNumId w:val="5"/>
  </w:num>
  <w:num w:numId="5">
    <w:abstractNumId w:val="5"/>
  </w:num>
  <w:num w:numId="6">
    <w:abstractNumId w:val="5"/>
  </w:num>
  <w:num w:numId="7">
    <w:abstractNumId w:val="12"/>
  </w:num>
  <w:num w:numId="8">
    <w:abstractNumId w:val="12"/>
  </w:num>
  <w:num w:numId="9">
    <w:abstractNumId w:val="12"/>
  </w:num>
  <w:num w:numId="10">
    <w:abstractNumId w:val="10"/>
  </w:num>
  <w:num w:numId="11">
    <w:abstractNumId w:val="10"/>
  </w:num>
  <w:num w:numId="12">
    <w:abstractNumId w:val="10"/>
  </w:num>
  <w:num w:numId="13">
    <w:abstractNumId w:val="8"/>
  </w:num>
  <w:num w:numId="14">
    <w:abstractNumId w:val="7"/>
  </w:num>
  <w:num w:numId="15">
    <w:abstractNumId w:val="7"/>
  </w:num>
  <w:num w:numId="16">
    <w:abstractNumId w:val="7"/>
  </w:num>
  <w:num w:numId="17">
    <w:abstractNumId w:val="11"/>
  </w:num>
  <w:num w:numId="18">
    <w:abstractNumId w:val="0"/>
  </w:num>
  <w:num w:numId="19">
    <w:abstractNumId w:val="3"/>
  </w:num>
  <w:num w:numId="20">
    <w:abstractNumId w:val="2"/>
  </w:num>
  <w:num w:numId="21">
    <w:abstractNumId w:val="1"/>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mirrorMargins/>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s-MX" w:vendorID="64" w:dllVersion="0" w:nlCheck="1" w:checkStyle="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88"/>
    <w:rsid w:val="0000053E"/>
    <w:rsid w:val="00001337"/>
    <w:rsid w:val="00001D95"/>
    <w:rsid w:val="0000214D"/>
    <w:rsid w:val="000023FC"/>
    <w:rsid w:val="00003BF4"/>
    <w:rsid w:val="00004FC5"/>
    <w:rsid w:val="00005507"/>
    <w:rsid w:val="00005C97"/>
    <w:rsid w:val="00006719"/>
    <w:rsid w:val="00007723"/>
    <w:rsid w:val="00007FEB"/>
    <w:rsid w:val="00010F55"/>
    <w:rsid w:val="0001123E"/>
    <w:rsid w:val="00011364"/>
    <w:rsid w:val="000124BB"/>
    <w:rsid w:val="000126B2"/>
    <w:rsid w:val="0001348F"/>
    <w:rsid w:val="0001350D"/>
    <w:rsid w:val="00014286"/>
    <w:rsid w:val="0001435C"/>
    <w:rsid w:val="00015468"/>
    <w:rsid w:val="000157EA"/>
    <w:rsid w:val="00015EBF"/>
    <w:rsid w:val="00016B18"/>
    <w:rsid w:val="00016B54"/>
    <w:rsid w:val="00017862"/>
    <w:rsid w:val="00017A13"/>
    <w:rsid w:val="000205EA"/>
    <w:rsid w:val="00020880"/>
    <w:rsid w:val="0002206A"/>
    <w:rsid w:val="00023679"/>
    <w:rsid w:val="00023ACF"/>
    <w:rsid w:val="00024A8A"/>
    <w:rsid w:val="00024CDA"/>
    <w:rsid w:val="00025614"/>
    <w:rsid w:val="00025D92"/>
    <w:rsid w:val="00025E40"/>
    <w:rsid w:val="00025E8F"/>
    <w:rsid w:val="00026C96"/>
    <w:rsid w:val="00026D5F"/>
    <w:rsid w:val="00027FAE"/>
    <w:rsid w:val="000308EF"/>
    <w:rsid w:val="00030ADA"/>
    <w:rsid w:val="00031AA3"/>
    <w:rsid w:val="00031C26"/>
    <w:rsid w:val="00031FE2"/>
    <w:rsid w:val="000328F9"/>
    <w:rsid w:val="00032D79"/>
    <w:rsid w:val="000348CE"/>
    <w:rsid w:val="000365F2"/>
    <w:rsid w:val="00037376"/>
    <w:rsid w:val="000373DB"/>
    <w:rsid w:val="00040454"/>
    <w:rsid w:val="00040CDD"/>
    <w:rsid w:val="00041EA8"/>
    <w:rsid w:val="000423F2"/>
    <w:rsid w:val="00042AB6"/>
    <w:rsid w:val="00044068"/>
    <w:rsid w:val="00045FD5"/>
    <w:rsid w:val="000473AC"/>
    <w:rsid w:val="00050B89"/>
    <w:rsid w:val="00050F1F"/>
    <w:rsid w:val="00053B75"/>
    <w:rsid w:val="00053C9A"/>
    <w:rsid w:val="000544E3"/>
    <w:rsid w:val="00054924"/>
    <w:rsid w:val="00054995"/>
    <w:rsid w:val="00054E7A"/>
    <w:rsid w:val="00056149"/>
    <w:rsid w:val="00056F74"/>
    <w:rsid w:val="00057B5B"/>
    <w:rsid w:val="00057C73"/>
    <w:rsid w:val="00060CB1"/>
    <w:rsid w:val="00062527"/>
    <w:rsid w:val="0006269B"/>
    <w:rsid w:val="000627CB"/>
    <w:rsid w:val="0006331C"/>
    <w:rsid w:val="000643A9"/>
    <w:rsid w:val="000645C3"/>
    <w:rsid w:val="00065777"/>
    <w:rsid w:val="000663E0"/>
    <w:rsid w:val="00066E6D"/>
    <w:rsid w:val="00067405"/>
    <w:rsid w:val="000678F1"/>
    <w:rsid w:val="000708F6"/>
    <w:rsid w:val="00070986"/>
    <w:rsid w:val="000711CE"/>
    <w:rsid w:val="000716F5"/>
    <w:rsid w:val="000731E9"/>
    <w:rsid w:val="00073683"/>
    <w:rsid w:val="00073C9D"/>
    <w:rsid w:val="00073DED"/>
    <w:rsid w:val="0007466F"/>
    <w:rsid w:val="00074BA6"/>
    <w:rsid w:val="000765B1"/>
    <w:rsid w:val="00076DAC"/>
    <w:rsid w:val="00076F76"/>
    <w:rsid w:val="00077ACF"/>
    <w:rsid w:val="00081528"/>
    <w:rsid w:val="000817ED"/>
    <w:rsid w:val="00081F3D"/>
    <w:rsid w:val="0008201C"/>
    <w:rsid w:val="0008276F"/>
    <w:rsid w:val="00082868"/>
    <w:rsid w:val="00082D97"/>
    <w:rsid w:val="000838F0"/>
    <w:rsid w:val="00084CA1"/>
    <w:rsid w:val="00085BBE"/>
    <w:rsid w:val="00086374"/>
    <w:rsid w:val="000863F8"/>
    <w:rsid w:val="00086804"/>
    <w:rsid w:val="00086880"/>
    <w:rsid w:val="000874B5"/>
    <w:rsid w:val="000877F1"/>
    <w:rsid w:val="00087E3A"/>
    <w:rsid w:val="00087E41"/>
    <w:rsid w:val="000913E7"/>
    <w:rsid w:val="00091773"/>
    <w:rsid w:val="00091858"/>
    <w:rsid w:val="00091986"/>
    <w:rsid w:val="000919F9"/>
    <w:rsid w:val="00091C47"/>
    <w:rsid w:val="00092122"/>
    <w:rsid w:val="000927B8"/>
    <w:rsid w:val="00092818"/>
    <w:rsid w:val="00092C1C"/>
    <w:rsid w:val="00093A5A"/>
    <w:rsid w:val="00093F0D"/>
    <w:rsid w:val="00094DC1"/>
    <w:rsid w:val="00095D32"/>
    <w:rsid w:val="00096256"/>
    <w:rsid w:val="00097D02"/>
    <w:rsid w:val="000A090D"/>
    <w:rsid w:val="000A146D"/>
    <w:rsid w:val="000A1AA5"/>
    <w:rsid w:val="000A1AC8"/>
    <w:rsid w:val="000A265B"/>
    <w:rsid w:val="000A2A2C"/>
    <w:rsid w:val="000A2E82"/>
    <w:rsid w:val="000A2E91"/>
    <w:rsid w:val="000A46E0"/>
    <w:rsid w:val="000A4BF8"/>
    <w:rsid w:val="000A5F30"/>
    <w:rsid w:val="000A6697"/>
    <w:rsid w:val="000A66D4"/>
    <w:rsid w:val="000A6ED5"/>
    <w:rsid w:val="000B0E1B"/>
    <w:rsid w:val="000B120C"/>
    <w:rsid w:val="000B1D1B"/>
    <w:rsid w:val="000B4309"/>
    <w:rsid w:val="000B78B7"/>
    <w:rsid w:val="000C02A4"/>
    <w:rsid w:val="000C05F5"/>
    <w:rsid w:val="000C1500"/>
    <w:rsid w:val="000C1BD8"/>
    <w:rsid w:val="000C1C2D"/>
    <w:rsid w:val="000C27AC"/>
    <w:rsid w:val="000C3E93"/>
    <w:rsid w:val="000C4846"/>
    <w:rsid w:val="000C48BB"/>
    <w:rsid w:val="000C5347"/>
    <w:rsid w:val="000C6860"/>
    <w:rsid w:val="000C6DAF"/>
    <w:rsid w:val="000D0B2D"/>
    <w:rsid w:val="000D1017"/>
    <w:rsid w:val="000D193C"/>
    <w:rsid w:val="000D2638"/>
    <w:rsid w:val="000D48EC"/>
    <w:rsid w:val="000D50D3"/>
    <w:rsid w:val="000D555F"/>
    <w:rsid w:val="000D57B5"/>
    <w:rsid w:val="000D5F38"/>
    <w:rsid w:val="000D76A0"/>
    <w:rsid w:val="000E01FB"/>
    <w:rsid w:val="000E141C"/>
    <w:rsid w:val="000E22C4"/>
    <w:rsid w:val="000E2BA0"/>
    <w:rsid w:val="000E3157"/>
    <w:rsid w:val="000E380A"/>
    <w:rsid w:val="000E388B"/>
    <w:rsid w:val="000E3D24"/>
    <w:rsid w:val="000E3F94"/>
    <w:rsid w:val="000E4165"/>
    <w:rsid w:val="000E61B2"/>
    <w:rsid w:val="000E63F7"/>
    <w:rsid w:val="000E6944"/>
    <w:rsid w:val="000E709C"/>
    <w:rsid w:val="000E7251"/>
    <w:rsid w:val="000E7C31"/>
    <w:rsid w:val="000E7EBC"/>
    <w:rsid w:val="000F0C8E"/>
    <w:rsid w:val="000F2474"/>
    <w:rsid w:val="000F2E4B"/>
    <w:rsid w:val="000F43C8"/>
    <w:rsid w:val="000F4915"/>
    <w:rsid w:val="000F504D"/>
    <w:rsid w:val="000F579C"/>
    <w:rsid w:val="000F685E"/>
    <w:rsid w:val="000F6FD0"/>
    <w:rsid w:val="000F783C"/>
    <w:rsid w:val="00100121"/>
    <w:rsid w:val="00101C60"/>
    <w:rsid w:val="00101C88"/>
    <w:rsid w:val="00102017"/>
    <w:rsid w:val="0010314D"/>
    <w:rsid w:val="00103A0F"/>
    <w:rsid w:val="00105DF4"/>
    <w:rsid w:val="00106241"/>
    <w:rsid w:val="00107262"/>
    <w:rsid w:val="00110C4E"/>
    <w:rsid w:val="0011101D"/>
    <w:rsid w:val="00111154"/>
    <w:rsid w:val="0011179B"/>
    <w:rsid w:val="00112531"/>
    <w:rsid w:val="00112C40"/>
    <w:rsid w:val="00114E2D"/>
    <w:rsid w:val="00115C21"/>
    <w:rsid w:val="00116E78"/>
    <w:rsid w:val="001170FA"/>
    <w:rsid w:val="00117286"/>
    <w:rsid w:val="00117E6D"/>
    <w:rsid w:val="00117F31"/>
    <w:rsid w:val="001213FF"/>
    <w:rsid w:val="00121BD6"/>
    <w:rsid w:val="00122430"/>
    <w:rsid w:val="001225FB"/>
    <w:rsid w:val="00122FC1"/>
    <w:rsid w:val="00124FE5"/>
    <w:rsid w:val="0012599E"/>
    <w:rsid w:val="00126108"/>
    <w:rsid w:val="00126227"/>
    <w:rsid w:val="0012622A"/>
    <w:rsid w:val="001277E4"/>
    <w:rsid w:val="00130089"/>
    <w:rsid w:val="001305AA"/>
    <w:rsid w:val="0013262B"/>
    <w:rsid w:val="00132A13"/>
    <w:rsid w:val="0013416D"/>
    <w:rsid w:val="001345A8"/>
    <w:rsid w:val="00135448"/>
    <w:rsid w:val="00135A14"/>
    <w:rsid w:val="00136B47"/>
    <w:rsid w:val="00136C5E"/>
    <w:rsid w:val="00140095"/>
    <w:rsid w:val="00140E0D"/>
    <w:rsid w:val="00140E4D"/>
    <w:rsid w:val="00141D2F"/>
    <w:rsid w:val="0014230A"/>
    <w:rsid w:val="001439F6"/>
    <w:rsid w:val="00143A6D"/>
    <w:rsid w:val="001443E4"/>
    <w:rsid w:val="00144A10"/>
    <w:rsid w:val="001465B8"/>
    <w:rsid w:val="00146770"/>
    <w:rsid w:val="00150306"/>
    <w:rsid w:val="00150761"/>
    <w:rsid w:val="00152069"/>
    <w:rsid w:val="001522A3"/>
    <w:rsid w:val="001528CE"/>
    <w:rsid w:val="00152914"/>
    <w:rsid w:val="00152DF2"/>
    <w:rsid w:val="00153755"/>
    <w:rsid w:val="00153B1B"/>
    <w:rsid w:val="00155C69"/>
    <w:rsid w:val="00156182"/>
    <w:rsid w:val="001568CE"/>
    <w:rsid w:val="001578AC"/>
    <w:rsid w:val="00160138"/>
    <w:rsid w:val="00160A6A"/>
    <w:rsid w:val="00160EB8"/>
    <w:rsid w:val="001610CC"/>
    <w:rsid w:val="0016142A"/>
    <w:rsid w:val="00161A3C"/>
    <w:rsid w:val="00163043"/>
    <w:rsid w:val="00164963"/>
    <w:rsid w:val="00165106"/>
    <w:rsid w:val="00165418"/>
    <w:rsid w:val="00165A1E"/>
    <w:rsid w:val="00165A50"/>
    <w:rsid w:val="00166CC9"/>
    <w:rsid w:val="00167904"/>
    <w:rsid w:val="00167D33"/>
    <w:rsid w:val="00167EB4"/>
    <w:rsid w:val="00173B5E"/>
    <w:rsid w:val="001750AA"/>
    <w:rsid w:val="001753A9"/>
    <w:rsid w:val="00175D4B"/>
    <w:rsid w:val="00175F8D"/>
    <w:rsid w:val="00176DB9"/>
    <w:rsid w:val="00177095"/>
    <w:rsid w:val="00177AED"/>
    <w:rsid w:val="001806BF"/>
    <w:rsid w:val="00181AB6"/>
    <w:rsid w:val="00184296"/>
    <w:rsid w:val="00184981"/>
    <w:rsid w:val="00184A83"/>
    <w:rsid w:val="00185F8A"/>
    <w:rsid w:val="001860C2"/>
    <w:rsid w:val="00186DB7"/>
    <w:rsid w:val="0018716B"/>
    <w:rsid w:val="0019114C"/>
    <w:rsid w:val="001917C9"/>
    <w:rsid w:val="00191920"/>
    <w:rsid w:val="00191A01"/>
    <w:rsid w:val="00193D35"/>
    <w:rsid w:val="00193E35"/>
    <w:rsid w:val="00195806"/>
    <w:rsid w:val="0019625C"/>
    <w:rsid w:val="00196683"/>
    <w:rsid w:val="00197C3E"/>
    <w:rsid w:val="00197E6B"/>
    <w:rsid w:val="001A02FA"/>
    <w:rsid w:val="001A085B"/>
    <w:rsid w:val="001A0BC6"/>
    <w:rsid w:val="001A0FF2"/>
    <w:rsid w:val="001A2BA0"/>
    <w:rsid w:val="001A44B1"/>
    <w:rsid w:val="001A46AF"/>
    <w:rsid w:val="001A53C5"/>
    <w:rsid w:val="001A5D1B"/>
    <w:rsid w:val="001A5DD5"/>
    <w:rsid w:val="001A6329"/>
    <w:rsid w:val="001A6EA2"/>
    <w:rsid w:val="001A7372"/>
    <w:rsid w:val="001A765B"/>
    <w:rsid w:val="001A7BA4"/>
    <w:rsid w:val="001A7ED2"/>
    <w:rsid w:val="001B0C73"/>
    <w:rsid w:val="001B1893"/>
    <w:rsid w:val="001B1C0C"/>
    <w:rsid w:val="001B28C2"/>
    <w:rsid w:val="001B5F5D"/>
    <w:rsid w:val="001B6B82"/>
    <w:rsid w:val="001B7798"/>
    <w:rsid w:val="001B78CB"/>
    <w:rsid w:val="001C17D6"/>
    <w:rsid w:val="001C19D7"/>
    <w:rsid w:val="001C261D"/>
    <w:rsid w:val="001C2FC4"/>
    <w:rsid w:val="001C3379"/>
    <w:rsid w:val="001C40A6"/>
    <w:rsid w:val="001C4B00"/>
    <w:rsid w:val="001C4EF7"/>
    <w:rsid w:val="001C5161"/>
    <w:rsid w:val="001C55DA"/>
    <w:rsid w:val="001C5CFA"/>
    <w:rsid w:val="001C5FF7"/>
    <w:rsid w:val="001D0864"/>
    <w:rsid w:val="001D108C"/>
    <w:rsid w:val="001D169C"/>
    <w:rsid w:val="001D2477"/>
    <w:rsid w:val="001D491F"/>
    <w:rsid w:val="001D53E0"/>
    <w:rsid w:val="001D60BD"/>
    <w:rsid w:val="001E028B"/>
    <w:rsid w:val="001E0AE5"/>
    <w:rsid w:val="001E0C01"/>
    <w:rsid w:val="001E0F57"/>
    <w:rsid w:val="001E0F8A"/>
    <w:rsid w:val="001E0FCE"/>
    <w:rsid w:val="001E21EC"/>
    <w:rsid w:val="001E348B"/>
    <w:rsid w:val="001E3D69"/>
    <w:rsid w:val="001E45CC"/>
    <w:rsid w:val="001E4890"/>
    <w:rsid w:val="001E4ABF"/>
    <w:rsid w:val="001E5AD5"/>
    <w:rsid w:val="001E5F00"/>
    <w:rsid w:val="001E6C3C"/>
    <w:rsid w:val="001E70C7"/>
    <w:rsid w:val="001E717E"/>
    <w:rsid w:val="001E7EC8"/>
    <w:rsid w:val="001F006A"/>
    <w:rsid w:val="001F03BE"/>
    <w:rsid w:val="001F0590"/>
    <w:rsid w:val="001F0AC0"/>
    <w:rsid w:val="001F248C"/>
    <w:rsid w:val="001F3CA6"/>
    <w:rsid w:val="001F41BA"/>
    <w:rsid w:val="001F5CAC"/>
    <w:rsid w:val="001F6356"/>
    <w:rsid w:val="001F67A9"/>
    <w:rsid w:val="001F67BE"/>
    <w:rsid w:val="001F6D55"/>
    <w:rsid w:val="001F70B2"/>
    <w:rsid w:val="002001E8"/>
    <w:rsid w:val="00200273"/>
    <w:rsid w:val="002005E6"/>
    <w:rsid w:val="002006D4"/>
    <w:rsid w:val="002009D2"/>
    <w:rsid w:val="00200B34"/>
    <w:rsid w:val="00203E32"/>
    <w:rsid w:val="0020540A"/>
    <w:rsid w:val="002071E4"/>
    <w:rsid w:val="002108B8"/>
    <w:rsid w:val="00212128"/>
    <w:rsid w:val="00212F37"/>
    <w:rsid w:val="002131A4"/>
    <w:rsid w:val="0021380A"/>
    <w:rsid w:val="00213AEB"/>
    <w:rsid w:val="00213EF9"/>
    <w:rsid w:val="00214612"/>
    <w:rsid w:val="00214FFC"/>
    <w:rsid w:val="0021550F"/>
    <w:rsid w:val="00215D43"/>
    <w:rsid w:val="00216E56"/>
    <w:rsid w:val="00217001"/>
    <w:rsid w:val="002170B0"/>
    <w:rsid w:val="002171A7"/>
    <w:rsid w:val="002173E3"/>
    <w:rsid w:val="00217A42"/>
    <w:rsid w:val="0022008D"/>
    <w:rsid w:val="00220C95"/>
    <w:rsid w:val="00221420"/>
    <w:rsid w:val="002219AE"/>
    <w:rsid w:val="0022213D"/>
    <w:rsid w:val="002224F6"/>
    <w:rsid w:val="00222B12"/>
    <w:rsid w:val="002236CD"/>
    <w:rsid w:val="002243CC"/>
    <w:rsid w:val="00224C57"/>
    <w:rsid w:val="00226397"/>
    <w:rsid w:val="00226F32"/>
    <w:rsid w:val="00227169"/>
    <w:rsid w:val="00227779"/>
    <w:rsid w:val="002278C8"/>
    <w:rsid w:val="00227E1D"/>
    <w:rsid w:val="00230329"/>
    <w:rsid w:val="002307CF"/>
    <w:rsid w:val="002329E5"/>
    <w:rsid w:val="00232D54"/>
    <w:rsid w:val="00233560"/>
    <w:rsid w:val="002345F4"/>
    <w:rsid w:val="002347D8"/>
    <w:rsid w:val="00234E7F"/>
    <w:rsid w:val="002352ED"/>
    <w:rsid w:val="0023598D"/>
    <w:rsid w:val="00235E60"/>
    <w:rsid w:val="00237064"/>
    <w:rsid w:val="002377B4"/>
    <w:rsid w:val="002401B6"/>
    <w:rsid w:val="00240897"/>
    <w:rsid w:val="00240A6A"/>
    <w:rsid w:val="00240C6E"/>
    <w:rsid w:val="00241621"/>
    <w:rsid w:val="00241E81"/>
    <w:rsid w:val="002432DC"/>
    <w:rsid w:val="0024405A"/>
    <w:rsid w:val="00244E8A"/>
    <w:rsid w:val="00245247"/>
    <w:rsid w:val="002466A7"/>
    <w:rsid w:val="00246FA2"/>
    <w:rsid w:val="00247430"/>
    <w:rsid w:val="0024750A"/>
    <w:rsid w:val="0024761F"/>
    <w:rsid w:val="00247A4B"/>
    <w:rsid w:val="00247AF5"/>
    <w:rsid w:val="00247BB6"/>
    <w:rsid w:val="00247F49"/>
    <w:rsid w:val="00250A2B"/>
    <w:rsid w:val="00250C22"/>
    <w:rsid w:val="00251B9B"/>
    <w:rsid w:val="00251FA1"/>
    <w:rsid w:val="00251FC9"/>
    <w:rsid w:val="00253C03"/>
    <w:rsid w:val="0025422E"/>
    <w:rsid w:val="0025430C"/>
    <w:rsid w:val="00254F53"/>
    <w:rsid w:val="00255835"/>
    <w:rsid w:val="00255901"/>
    <w:rsid w:val="00255914"/>
    <w:rsid w:val="00256F3B"/>
    <w:rsid w:val="00257720"/>
    <w:rsid w:val="00257C30"/>
    <w:rsid w:val="002614EA"/>
    <w:rsid w:val="002616A0"/>
    <w:rsid w:val="0026196B"/>
    <w:rsid w:val="002622C8"/>
    <w:rsid w:val="00262571"/>
    <w:rsid w:val="002628FD"/>
    <w:rsid w:val="00262A95"/>
    <w:rsid w:val="0026532B"/>
    <w:rsid w:val="002655E4"/>
    <w:rsid w:val="00266670"/>
    <w:rsid w:val="002704C6"/>
    <w:rsid w:val="00270A70"/>
    <w:rsid w:val="00271062"/>
    <w:rsid w:val="00271DA1"/>
    <w:rsid w:val="002723E9"/>
    <w:rsid w:val="00273E47"/>
    <w:rsid w:val="00274A45"/>
    <w:rsid w:val="0027556D"/>
    <w:rsid w:val="00275A3C"/>
    <w:rsid w:val="00275D95"/>
    <w:rsid w:val="00275FE6"/>
    <w:rsid w:val="0027610C"/>
    <w:rsid w:val="0027628B"/>
    <w:rsid w:val="00280FEC"/>
    <w:rsid w:val="00281B8C"/>
    <w:rsid w:val="00281BDE"/>
    <w:rsid w:val="0028246F"/>
    <w:rsid w:val="00283109"/>
    <w:rsid w:val="00284107"/>
    <w:rsid w:val="002844D7"/>
    <w:rsid w:val="0028525E"/>
    <w:rsid w:val="002855F4"/>
    <w:rsid w:val="00285EDD"/>
    <w:rsid w:val="00286CE7"/>
    <w:rsid w:val="00287A8F"/>
    <w:rsid w:val="00290009"/>
    <w:rsid w:val="002902CE"/>
    <w:rsid w:val="0029127F"/>
    <w:rsid w:val="00293240"/>
    <w:rsid w:val="0029485E"/>
    <w:rsid w:val="0029488A"/>
    <w:rsid w:val="00296100"/>
    <w:rsid w:val="00296743"/>
    <w:rsid w:val="00297881"/>
    <w:rsid w:val="00297C39"/>
    <w:rsid w:val="002A07BD"/>
    <w:rsid w:val="002A0EA9"/>
    <w:rsid w:val="002A0FDC"/>
    <w:rsid w:val="002A1969"/>
    <w:rsid w:val="002A2142"/>
    <w:rsid w:val="002A27EF"/>
    <w:rsid w:val="002A2BB8"/>
    <w:rsid w:val="002A46CA"/>
    <w:rsid w:val="002A50AB"/>
    <w:rsid w:val="002A5FCE"/>
    <w:rsid w:val="002B06C6"/>
    <w:rsid w:val="002B234D"/>
    <w:rsid w:val="002B47B4"/>
    <w:rsid w:val="002B52B1"/>
    <w:rsid w:val="002B5568"/>
    <w:rsid w:val="002B5617"/>
    <w:rsid w:val="002B6C83"/>
    <w:rsid w:val="002B6EE5"/>
    <w:rsid w:val="002C0542"/>
    <w:rsid w:val="002C05DA"/>
    <w:rsid w:val="002C1391"/>
    <w:rsid w:val="002C14E8"/>
    <w:rsid w:val="002C21BB"/>
    <w:rsid w:val="002C279C"/>
    <w:rsid w:val="002C32EA"/>
    <w:rsid w:val="002C32EF"/>
    <w:rsid w:val="002C4019"/>
    <w:rsid w:val="002C4A2E"/>
    <w:rsid w:val="002C4ACC"/>
    <w:rsid w:val="002C4BB6"/>
    <w:rsid w:val="002C4FBA"/>
    <w:rsid w:val="002C6723"/>
    <w:rsid w:val="002C6890"/>
    <w:rsid w:val="002C6A49"/>
    <w:rsid w:val="002C6D70"/>
    <w:rsid w:val="002C7541"/>
    <w:rsid w:val="002C7E67"/>
    <w:rsid w:val="002D036B"/>
    <w:rsid w:val="002D074C"/>
    <w:rsid w:val="002D1AE4"/>
    <w:rsid w:val="002D1EEC"/>
    <w:rsid w:val="002D2FBB"/>
    <w:rsid w:val="002D38B9"/>
    <w:rsid w:val="002D3949"/>
    <w:rsid w:val="002D5FED"/>
    <w:rsid w:val="002D739D"/>
    <w:rsid w:val="002D7BA1"/>
    <w:rsid w:val="002D7FFE"/>
    <w:rsid w:val="002E10A7"/>
    <w:rsid w:val="002E151B"/>
    <w:rsid w:val="002E156A"/>
    <w:rsid w:val="002E1B78"/>
    <w:rsid w:val="002E216F"/>
    <w:rsid w:val="002E33A0"/>
    <w:rsid w:val="002E350F"/>
    <w:rsid w:val="002E373B"/>
    <w:rsid w:val="002E41D3"/>
    <w:rsid w:val="002E47AD"/>
    <w:rsid w:val="002E5209"/>
    <w:rsid w:val="002E5873"/>
    <w:rsid w:val="002E6163"/>
    <w:rsid w:val="002E733C"/>
    <w:rsid w:val="002F03FB"/>
    <w:rsid w:val="002F0C5B"/>
    <w:rsid w:val="002F0E2B"/>
    <w:rsid w:val="002F1417"/>
    <w:rsid w:val="002F1592"/>
    <w:rsid w:val="002F2B9F"/>
    <w:rsid w:val="002F31EC"/>
    <w:rsid w:val="002F430E"/>
    <w:rsid w:val="002F461E"/>
    <w:rsid w:val="002F5BB2"/>
    <w:rsid w:val="002F6CE0"/>
    <w:rsid w:val="002F7BC4"/>
    <w:rsid w:val="00300283"/>
    <w:rsid w:val="00300912"/>
    <w:rsid w:val="003011F4"/>
    <w:rsid w:val="00302AE0"/>
    <w:rsid w:val="00303DD0"/>
    <w:rsid w:val="00304B9D"/>
    <w:rsid w:val="00304CF9"/>
    <w:rsid w:val="003061EF"/>
    <w:rsid w:val="003100FB"/>
    <w:rsid w:val="0031147A"/>
    <w:rsid w:val="00311584"/>
    <w:rsid w:val="00311A3A"/>
    <w:rsid w:val="003147D4"/>
    <w:rsid w:val="00315569"/>
    <w:rsid w:val="00320A64"/>
    <w:rsid w:val="00320DE4"/>
    <w:rsid w:val="00321596"/>
    <w:rsid w:val="00322F39"/>
    <w:rsid w:val="003242BF"/>
    <w:rsid w:val="00324B42"/>
    <w:rsid w:val="00326557"/>
    <w:rsid w:val="00326DCC"/>
    <w:rsid w:val="00326E1C"/>
    <w:rsid w:val="00327156"/>
    <w:rsid w:val="00327C00"/>
    <w:rsid w:val="00327D55"/>
    <w:rsid w:val="00330316"/>
    <w:rsid w:val="00331B0B"/>
    <w:rsid w:val="00331B9E"/>
    <w:rsid w:val="00331BB8"/>
    <w:rsid w:val="0033345B"/>
    <w:rsid w:val="0033490E"/>
    <w:rsid w:val="00334A78"/>
    <w:rsid w:val="00334C87"/>
    <w:rsid w:val="00335A15"/>
    <w:rsid w:val="00335A5A"/>
    <w:rsid w:val="00335B5F"/>
    <w:rsid w:val="00336C15"/>
    <w:rsid w:val="00336E60"/>
    <w:rsid w:val="00340620"/>
    <w:rsid w:val="00343D87"/>
    <w:rsid w:val="0034406C"/>
    <w:rsid w:val="003446ED"/>
    <w:rsid w:val="00345661"/>
    <w:rsid w:val="00346A7A"/>
    <w:rsid w:val="003470B5"/>
    <w:rsid w:val="003471FE"/>
    <w:rsid w:val="003478E4"/>
    <w:rsid w:val="00347CF4"/>
    <w:rsid w:val="00350B7A"/>
    <w:rsid w:val="00351FC7"/>
    <w:rsid w:val="00352D85"/>
    <w:rsid w:val="0035384B"/>
    <w:rsid w:val="00353DA1"/>
    <w:rsid w:val="00354333"/>
    <w:rsid w:val="00354AD1"/>
    <w:rsid w:val="00355009"/>
    <w:rsid w:val="003556F2"/>
    <w:rsid w:val="003559B5"/>
    <w:rsid w:val="003578FB"/>
    <w:rsid w:val="0036039A"/>
    <w:rsid w:val="00360452"/>
    <w:rsid w:val="0036107F"/>
    <w:rsid w:val="0036141B"/>
    <w:rsid w:val="00361784"/>
    <w:rsid w:val="00362305"/>
    <w:rsid w:val="00362706"/>
    <w:rsid w:val="00362CAD"/>
    <w:rsid w:val="00363216"/>
    <w:rsid w:val="00363283"/>
    <w:rsid w:val="00364A6C"/>
    <w:rsid w:val="00365D96"/>
    <w:rsid w:val="00366A79"/>
    <w:rsid w:val="0036790D"/>
    <w:rsid w:val="00367FB0"/>
    <w:rsid w:val="00372611"/>
    <w:rsid w:val="00372887"/>
    <w:rsid w:val="00373649"/>
    <w:rsid w:val="0037468C"/>
    <w:rsid w:val="003747D5"/>
    <w:rsid w:val="00375BE8"/>
    <w:rsid w:val="00376362"/>
    <w:rsid w:val="003765B1"/>
    <w:rsid w:val="003765C1"/>
    <w:rsid w:val="00380683"/>
    <w:rsid w:val="00380D56"/>
    <w:rsid w:val="00380E94"/>
    <w:rsid w:val="0038105B"/>
    <w:rsid w:val="00381AC7"/>
    <w:rsid w:val="00381BF2"/>
    <w:rsid w:val="00382A09"/>
    <w:rsid w:val="0038358B"/>
    <w:rsid w:val="00383603"/>
    <w:rsid w:val="00383793"/>
    <w:rsid w:val="00384897"/>
    <w:rsid w:val="0039082A"/>
    <w:rsid w:val="003917DE"/>
    <w:rsid w:val="003922AE"/>
    <w:rsid w:val="00392F7D"/>
    <w:rsid w:val="003938AF"/>
    <w:rsid w:val="00393BBB"/>
    <w:rsid w:val="00394647"/>
    <w:rsid w:val="003948D7"/>
    <w:rsid w:val="00396250"/>
    <w:rsid w:val="00397BDB"/>
    <w:rsid w:val="003A001B"/>
    <w:rsid w:val="003A0040"/>
    <w:rsid w:val="003A0C27"/>
    <w:rsid w:val="003A18FF"/>
    <w:rsid w:val="003A1FF8"/>
    <w:rsid w:val="003A25B4"/>
    <w:rsid w:val="003A309A"/>
    <w:rsid w:val="003A4750"/>
    <w:rsid w:val="003A5D46"/>
    <w:rsid w:val="003A6F51"/>
    <w:rsid w:val="003A75EB"/>
    <w:rsid w:val="003B015E"/>
    <w:rsid w:val="003B099D"/>
    <w:rsid w:val="003B0D49"/>
    <w:rsid w:val="003B1DA7"/>
    <w:rsid w:val="003B4E27"/>
    <w:rsid w:val="003B4EAC"/>
    <w:rsid w:val="003B6189"/>
    <w:rsid w:val="003B651F"/>
    <w:rsid w:val="003B773F"/>
    <w:rsid w:val="003C0146"/>
    <w:rsid w:val="003C0280"/>
    <w:rsid w:val="003C1F67"/>
    <w:rsid w:val="003C21E2"/>
    <w:rsid w:val="003C222E"/>
    <w:rsid w:val="003C2585"/>
    <w:rsid w:val="003C2737"/>
    <w:rsid w:val="003C2ACE"/>
    <w:rsid w:val="003C3A04"/>
    <w:rsid w:val="003C3FFC"/>
    <w:rsid w:val="003C4353"/>
    <w:rsid w:val="003C4B4A"/>
    <w:rsid w:val="003C737E"/>
    <w:rsid w:val="003D172C"/>
    <w:rsid w:val="003D1B74"/>
    <w:rsid w:val="003D28C7"/>
    <w:rsid w:val="003D32C2"/>
    <w:rsid w:val="003D392E"/>
    <w:rsid w:val="003D41AD"/>
    <w:rsid w:val="003D42CE"/>
    <w:rsid w:val="003D5969"/>
    <w:rsid w:val="003D5C65"/>
    <w:rsid w:val="003D7088"/>
    <w:rsid w:val="003E18CA"/>
    <w:rsid w:val="003E1D12"/>
    <w:rsid w:val="003E278B"/>
    <w:rsid w:val="003E2BDA"/>
    <w:rsid w:val="003E30F6"/>
    <w:rsid w:val="003E3388"/>
    <w:rsid w:val="003E54CA"/>
    <w:rsid w:val="003E55D4"/>
    <w:rsid w:val="003E5A26"/>
    <w:rsid w:val="003E6C30"/>
    <w:rsid w:val="003E708C"/>
    <w:rsid w:val="003F2DA2"/>
    <w:rsid w:val="003F3B7F"/>
    <w:rsid w:val="003F4AD8"/>
    <w:rsid w:val="003F64E3"/>
    <w:rsid w:val="003F67DE"/>
    <w:rsid w:val="003F6BBC"/>
    <w:rsid w:val="003F6FC9"/>
    <w:rsid w:val="003F70E0"/>
    <w:rsid w:val="003F78FB"/>
    <w:rsid w:val="003F7F49"/>
    <w:rsid w:val="00401FCB"/>
    <w:rsid w:val="00402955"/>
    <w:rsid w:val="00403671"/>
    <w:rsid w:val="00403768"/>
    <w:rsid w:val="00403EA8"/>
    <w:rsid w:val="00404136"/>
    <w:rsid w:val="004047FA"/>
    <w:rsid w:val="00404C39"/>
    <w:rsid w:val="00404E64"/>
    <w:rsid w:val="0040503C"/>
    <w:rsid w:val="00405179"/>
    <w:rsid w:val="0040619F"/>
    <w:rsid w:val="00407811"/>
    <w:rsid w:val="00413017"/>
    <w:rsid w:val="0041367D"/>
    <w:rsid w:val="00414188"/>
    <w:rsid w:val="0041486A"/>
    <w:rsid w:val="004154E4"/>
    <w:rsid w:val="00415E10"/>
    <w:rsid w:val="00415EC1"/>
    <w:rsid w:val="00416FA5"/>
    <w:rsid w:val="00417085"/>
    <w:rsid w:val="0041735E"/>
    <w:rsid w:val="00417575"/>
    <w:rsid w:val="004175E9"/>
    <w:rsid w:val="00421481"/>
    <w:rsid w:val="00421749"/>
    <w:rsid w:val="00421BFF"/>
    <w:rsid w:val="00421CE1"/>
    <w:rsid w:val="00421D5B"/>
    <w:rsid w:val="00421E90"/>
    <w:rsid w:val="00426B8F"/>
    <w:rsid w:val="00430740"/>
    <w:rsid w:val="00431156"/>
    <w:rsid w:val="00432224"/>
    <w:rsid w:val="00432938"/>
    <w:rsid w:val="00432971"/>
    <w:rsid w:val="00432C56"/>
    <w:rsid w:val="00433439"/>
    <w:rsid w:val="00433501"/>
    <w:rsid w:val="0043574B"/>
    <w:rsid w:val="00435FA7"/>
    <w:rsid w:val="00436742"/>
    <w:rsid w:val="004368BA"/>
    <w:rsid w:val="00436F19"/>
    <w:rsid w:val="00437CE1"/>
    <w:rsid w:val="00440F62"/>
    <w:rsid w:val="00443E23"/>
    <w:rsid w:val="00444051"/>
    <w:rsid w:val="004442D4"/>
    <w:rsid w:val="0044435F"/>
    <w:rsid w:val="00444BA3"/>
    <w:rsid w:val="0044578E"/>
    <w:rsid w:val="00445C40"/>
    <w:rsid w:val="00446F03"/>
    <w:rsid w:val="00451C02"/>
    <w:rsid w:val="00453135"/>
    <w:rsid w:val="00453A70"/>
    <w:rsid w:val="00453CEF"/>
    <w:rsid w:val="00454B8F"/>
    <w:rsid w:val="0045543D"/>
    <w:rsid w:val="004554EE"/>
    <w:rsid w:val="00455774"/>
    <w:rsid w:val="00455B4C"/>
    <w:rsid w:val="00457D49"/>
    <w:rsid w:val="0046083A"/>
    <w:rsid w:val="00460EA9"/>
    <w:rsid w:val="004617B9"/>
    <w:rsid w:val="004618C9"/>
    <w:rsid w:val="00461A12"/>
    <w:rsid w:val="00461B9A"/>
    <w:rsid w:val="00461FE9"/>
    <w:rsid w:val="004627AC"/>
    <w:rsid w:val="00463F41"/>
    <w:rsid w:val="00464315"/>
    <w:rsid w:val="004644A7"/>
    <w:rsid w:val="004647D5"/>
    <w:rsid w:val="00464A6E"/>
    <w:rsid w:val="00464BDD"/>
    <w:rsid w:val="00464D6F"/>
    <w:rsid w:val="00465A11"/>
    <w:rsid w:val="004669D9"/>
    <w:rsid w:val="0046755A"/>
    <w:rsid w:val="004701EA"/>
    <w:rsid w:val="00470BA3"/>
    <w:rsid w:val="0047299D"/>
    <w:rsid w:val="004739BF"/>
    <w:rsid w:val="004742A5"/>
    <w:rsid w:val="00474B5D"/>
    <w:rsid w:val="00474FCE"/>
    <w:rsid w:val="00475875"/>
    <w:rsid w:val="00476691"/>
    <w:rsid w:val="004804F0"/>
    <w:rsid w:val="00481751"/>
    <w:rsid w:val="00482425"/>
    <w:rsid w:val="00482C9B"/>
    <w:rsid w:val="00482F9D"/>
    <w:rsid w:val="00484044"/>
    <w:rsid w:val="00484610"/>
    <w:rsid w:val="004855E0"/>
    <w:rsid w:val="00486252"/>
    <w:rsid w:val="00486CDD"/>
    <w:rsid w:val="004870B8"/>
    <w:rsid w:val="004875F3"/>
    <w:rsid w:val="004902BC"/>
    <w:rsid w:val="0049045A"/>
    <w:rsid w:val="0049055B"/>
    <w:rsid w:val="00490735"/>
    <w:rsid w:val="00494266"/>
    <w:rsid w:val="0049428C"/>
    <w:rsid w:val="004943A3"/>
    <w:rsid w:val="00494B42"/>
    <w:rsid w:val="00495084"/>
    <w:rsid w:val="00497654"/>
    <w:rsid w:val="00497FEE"/>
    <w:rsid w:val="004A15FD"/>
    <w:rsid w:val="004A1D8A"/>
    <w:rsid w:val="004A2396"/>
    <w:rsid w:val="004A31E1"/>
    <w:rsid w:val="004A43D1"/>
    <w:rsid w:val="004A5ACF"/>
    <w:rsid w:val="004A658F"/>
    <w:rsid w:val="004A6814"/>
    <w:rsid w:val="004A6A0F"/>
    <w:rsid w:val="004A7083"/>
    <w:rsid w:val="004B0FDC"/>
    <w:rsid w:val="004B1E8B"/>
    <w:rsid w:val="004B2A98"/>
    <w:rsid w:val="004B2EDB"/>
    <w:rsid w:val="004B2F60"/>
    <w:rsid w:val="004B3167"/>
    <w:rsid w:val="004B3482"/>
    <w:rsid w:val="004B379D"/>
    <w:rsid w:val="004B3887"/>
    <w:rsid w:val="004B41E3"/>
    <w:rsid w:val="004B4ADF"/>
    <w:rsid w:val="004B5090"/>
    <w:rsid w:val="004B5821"/>
    <w:rsid w:val="004B783E"/>
    <w:rsid w:val="004C0D83"/>
    <w:rsid w:val="004C0DF4"/>
    <w:rsid w:val="004C11AA"/>
    <w:rsid w:val="004C1387"/>
    <w:rsid w:val="004C14EA"/>
    <w:rsid w:val="004C2511"/>
    <w:rsid w:val="004C27E5"/>
    <w:rsid w:val="004C314C"/>
    <w:rsid w:val="004C3A17"/>
    <w:rsid w:val="004C44B7"/>
    <w:rsid w:val="004C4C84"/>
    <w:rsid w:val="004C5824"/>
    <w:rsid w:val="004C5E51"/>
    <w:rsid w:val="004C719B"/>
    <w:rsid w:val="004C71D9"/>
    <w:rsid w:val="004C78BD"/>
    <w:rsid w:val="004C7F38"/>
    <w:rsid w:val="004D03EC"/>
    <w:rsid w:val="004D088D"/>
    <w:rsid w:val="004D0D3B"/>
    <w:rsid w:val="004D28A8"/>
    <w:rsid w:val="004D3BCA"/>
    <w:rsid w:val="004D6545"/>
    <w:rsid w:val="004D6EB5"/>
    <w:rsid w:val="004D7388"/>
    <w:rsid w:val="004D76C9"/>
    <w:rsid w:val="004D77C4"/>
    <w:rsid w:val="004D7929"/>
    <w:rsid w:val="004D7DC3"/>
    <w:rsid w:val="004E1090"/>
    <w:rsid w:val="004E11FA"/>
    <w:rsid w:val="004E1821"/>
    <w:rsid w:val="004E1CA9"/>
    <w:rsid w:val="004E2A96"/>
    <w:rsid w:val="004E2C99"/>
    <w:rsid w:val="004E3E62"/>
    <w:rsid w:val="004F0711"/>
    <w:rsid w:val="004F0D86"/>
    <w:rsid w:val="004F120F"/>
    <w:rsid w:val="004F1C32"/>
    <w:rsid w:val="004F2085"/>
    <w:rsid w:val="004F20FD"/>
    <w:rsid w:val="004F21C1"/>
    <w:rsid w:val="004F24C8"/>
    <w:rsid w:val="004F2C5B"/>
    <w:rsid w:val="004F3A69"/>
    <w:rsid w:val="004F49AA"/>
    <w:rsid w:val="004F5509"/>
    <w:rsid w:val="004F6C3C"/>
    <w:rsid w:val="004F75C9"/>
    <w:rsid w:val="004F7AC2"/>
    <w:rsid w:val="00500B53"/>
    <w:rsid w:val="00501207"/>
    <w:rsid w:val="005038EA"/>
    <w:rsid w:val="00503DC7"/>
    <w:rsid w:val="0050422C"/>
    <w:rsid w:val="00504DE5"/>
    <w:rsid w:val="00506916"/>
    <w:rsid w:val="00506B4B"/>
    <w:rsid w:val="00506E06"/>
    <w:rsid w:val="005070E5"/>
    <w:rsid w:val="00507BCB"/>
    <w:rsid w:val="00507C9E"/>
    <w:rsid w:val="005102C8"/>
    <w:rsid w:val="005106B2"/>
    <w:rsid w:val="00511821"/>
    <w:rsid w:val="00514E36"/>
    <w:rsid w:val="00515931"/>
    <w:rsid w:val="00515DDC"/>
    <w:rsid w:val="005163D1"/>
    <w:rsid w:val="005166C6"/>
    <w:rsid w:val="005168D3"/>
    <w:rsid w:val="00516EA4"/>
    <w:rsid w:val="005201FD"/>
    <w:rsid w:val="00520464"/>
    <w:rsid w:val="0052176E"/>
    <w:rsid w:val="0052181E"/>
    <w:rsid w:val="00522166"/>
    <w:rsid w:val="00522305"/>
    <w:rsid w:val="00522522"/>
    <w:rsid w:val="005227EE"/>
    <w:rsid w:val="0052284F"/>
    <w:rsid w:val="005228FD"/>
    <w:rsid w:val="00522B39"/>
    <w:rsid w:val="0052303E"/>
    <w:rsid w:val="0052311E"/>
    <w:rsid w:val="00523553"/>
    <w:rsid w:val="00523AA0"/>
    <w:rsid w:val="005241D6"/>
    <w:rsid w:val="00524437"/>
    <w:rsid w:val="005246D4"/>
    <w:rsid w:val="00524ED3"/>
    <w:rsid w:val="0052517D"/>
    <w:rsid w:val="00525A3C"/>
    <w:rsid w:val="00526891"/>
    <w:rsid w:val="00526952"/>
    <w:rsid w:val="00526993"/>
    <w:rsid w:val="00527149"/>
    <w:rsid w:val="0052740A"/>
    <w:rsid w:val="00531282"/>
    <w:rsid w:val="00531A6A"/>
    <w:rsid w:val="00531BE2"/>
    <w:rsid w:val="0053203E"/>
    <w:rsid w:val="00532719"/>
    <w:rsid w:val="0053381F"/>
    <w:rsid w:val="00535369"/>
    <w:rsid w:val="00535AAC"/>
    <w:rsid w:val="00535ADB"/>
    <w:rsid w:val="0053787E"/>
    <w:rsid w:val="00540108"/>
    <w:rsid w:val="00540233"/>
    <w:rsid w:val="005408AD"/>
    <w:rsid w:val="0054220D"/>
    <w:rsid w:val="005424DE"/>
    <w:rsid w:val="00542ED5"/>
    <w:rsid w:val="00544789"/>
    <w:rsid w:val="0054490F"/>
    <w:rsid w:val="00544C0A"/>
    <w:rsid w:val="00545058"/>
    <w:rsid w:val="00545CD3"/>
    <w:rsid w:val="00545DB8"/>
    <w:rsid w:val="0054675C"/>
    <w:rsid w:val="005469D2"/>
    <w:rsid w:val="00546CFC"/>
    <w:rsid w:val="00547938"/>
    <w:rsid w:val="00547B80"/>
    <w:rsid w:val="005502CB"/>
    <w:rsid w:val="005517D2"/>
    <w:rsid w:val="0055187C"/>
    <w:rsid w:val="00553088"/>
    <w:rsid w:val="00553C41"/>
    <w:rsid w:val="00553C88"/>
    <w:rsid w:val="00553E24"/>
    <w:rsid w:val="00554F5A"/>
    <w:rsid w:val="005554F4"/>
    <w:rsid w:val="00555604"/>
    <w:rsid w:val="00556279"/>
    <w:rsid w:val="005567E2"/>
    <w:rsid w:val="00556E2E"/>
    <w:rsid w:val="00556F86"/>
    <w:rsid w:val="0056023B"/>
    <w:rsid w:val="00560873"/>
    <w:rsid w:val="00560AA7"/>
    <w:rsid w:val="005618EA"/>
    <w:rsid w:val="00562A07"/>
    <w:rsid w:val="00563931"/>
    <w:rsid w:val="005641DE"/>
    <w:rsid w:val="00564E11"/>
    <w:rsid w:val="005662A8"/>
    <w:rsid w:val="0056646D"/>
    <w:rsid w:val="0056647D"/>
    <w:rsid w:val="00570318"/>
    <w:rsid w:val="00571727"/>
    <w:rsid w:val="005739D2"/>
    <w:rsid w:val="00575758"/>
    <w:rsid w:val="00575C0B"/>
    <w:rsid w:val="005770DF"/>
    <w:rsid w:val="0057748C"/>
    <w:rsid w:val="005807B3"/>
    <w:rsid w:val="00580D08"/>
    <w:rsid w:val="0058236D"/>
    <w:rsid w:val="005829B5"/>
    <w:rsid w:val="005838C4"/>
    <w:rsid w:val="0058496A"/>
    <w:rsid w:val="00585B76"/>
    <w:rsid w:val="00586F90"/>
    <w:rsid w:val="00590191"/>
    <w:rsid w:val="00592C49"/>
    <w:rsid w:val="00592FDC"/>
    <w:rsid w:val="00593D09"/>
    <w:rsid w:val="00593D63"/>
    <w:rsid w:val="00594314"/>
    <w:rsid w:val="00594D90"/>
    <w:rsid w:val="00595D39"/>
    <w:rsid w:val="00596722"/>
    <w:rsid w:val="00596A21"/>
    <w:rsid w:val="00596E59"/>
    <w:rsid w:val="00597439"/>
    <w:rsid w:val="00597A5C"/>
    <w:rsid w:val="00597FA2"/>
    <w:rsid w:val="005A3163"/>
    <w:rsid w:val="005A3BEB"/>
    <w:rsid w:val="005A5283"/>
    <w:rsid w:val="005A605B"/>
    <w:rsid w:val="005A7AA0"/>
    <w:rsid w:val="005B1457"/>
    <w:rsid w:val="005B39A6"/>
    <w:rsid w:val="005B44C2"/>
    <w:rsid w:val="005B4849"/>
    <w:rsid w:val="005B659C"/>
    <w:rsid w:val="005B6C0E"/>
    <w:rsid w:val="005B6CFE"/>
    <w:rsid w:val="005B725F"/>
    <w:rsid w:val="005B738F"/>
    <w:rsid w:val="005C0340"/>
    <w:rsid w:val="005C0360"/>
    <w:rsid w:val="005C05E7"/>
    <w:rsid w:val="005C3EAD"/>
    <w:rsid w:val="005C471C"/>
    <w:rsid w:val="005C5642"/>
    <w:rsid w:val="005C5A9C"/>
    <w:rsid w:val="005C6FB4"/>
    <w:rsid w:val="005C705B"/>
    <w:rsid w:val="005C7218"/>
    <w:rsid w:val="005D0505"/>
    <w:rsid w:val="005D1364"/>
    <w:rsid w:val="005D220B"/>
    <w:rsid w:val="005D2C3E"/>
    <w:rsid w:val="005D32D1"/>
    <w:rsid w:val="005D39EE"/>
    <w:rsid w:val="005D3D90"/>
    <w:rsid w:val="005D4398"/>
    <w:rsid w:val="005D4778"/>
    <w:rsid w:val="005D4EA3"/>
    <w:rsid w:val="005D7326"/>
    <w:rsid w:val="005D7F69"/>
    <w:rsid w:val="005E069F"/>
    <w:rsid w:val="005E0EAF"/>
    <w:rsid w:val="005E1079"/>
    <w:rsid w:val="005E1838"/>
    <w:rsid w:val="005E1E13"/>
    <w:rsid w:val="005E1E57"/>
    <w:rsid w:val="005E1F69"/>
    <w:rsid w:val="005E1F88"/>
    <w:rsid w:val="005E2127"/>
    <w:rsid w:val="005E21AC"/>
    <w:rsid w:val="005E3033"/>
    <w:rsid w:val="005E3337"/>
    <w:rsid w:val="005E3F77"/>
    <w:rsid w:val="005E4312"/>
    <w:rsid w:val="005E4370"/>
    <w:rsid w:val="005E47C8"/>
    <w:rsid w:val="005E52EA"/>
    <w:rsid w:val="005E5FA3"/>
    <w:rsid w:val="005E623F"/>
    <w:rsid w:val="005E69B6"/>
    <w:rsid w:val="005F084E"/>
    <w:rsid w:val="005F0F91"/>
    <w:rsid w:val="005F10A6"/>
    <w:rsid w:val="005F15CF"/>
    <w:rsid w:val="005F1964"/>
    <w:rsid w:val="005F1FC0"/>
    <w:rsid w:val="005F2462"/>
    <w:rsid w:val="005F26D2"/>
    <w:rsid w:val="005F293D"/>
    <w:rsid w:val="005F2A7B"/>
    <w:rsid w:val="005F2AD7"/>
    <w:rsid w:val="005F2DF2"/>
    <w:rsid w:val="005F3CC1"/>
    <w:rsid w:val="005F4909"/>
    <w:rsid w:val="005F4DD2"/>
    <w:rsid w:val="005F7CC1"/>
    <w:rsid w:val="00600892"/>
    <w:rsid w:val="00600C5F"/>
    <w:rsid w:val="00600F18"/>
    <w:rsid w:val="00601118"/>
    <w:rsid w:val="00601DC6"/>
    <w:rsid w:val="00603245"/>
    <w:rsid w:val="00603A35"/>
    <w:rsid w:val="006045E9"/>
    <w:rsid w:val="00604924"/>
    <w:rsid w:val="00604B1F"/>
    <w:rsid w:val="00604CE2"/>
    <w:rsid w:val="006050A1"/>
    <w:rsid w:val="0060557C"/>
    <w:rsid w:val="00606519"/>
    <w:rsid w:val="0060661B"/>
    <w:rsid w:val="00606E9B"/>
    <w:rsid w:val="0061078F"/>
    <w:rsid w:val="00611A57"/>
    <w:rsid w:val="00612395"/>
    <w:rsid w:val="006131FF"/>
    <w:rsid w:val="0061512E"/>
    <w:rsid w:val="00617762"/>
    <w:rsid w:val="00617B0F"/>
    <w:rsid w:val="0062017A"/>
    <w:rsid w:val="00620B67"/>
    <w:rsid w:val="00622392"/>
    <w:rsid w:val="00622393"/>
    <w:rsid w:val="00622D40"/>
    <w:rsid w:val="006233FC"/>
    <w:rsid w:val="00623BC5"/>
    <w:rsid w:val="00625AC1"/>
    <w:rsid w:val="00626016"/>
    <w:rsid w:val="00626374"/>
    <w:rsid w:val="006268C7"/>
    <w:rsid w:val="0062703E"/>
    <w:rsid w:val="0062723F"/>
    <w:rsid w:val="0062725C"/>
    <w:rsid w:val="00627717"/>
    <w:rsid w:val="00627D20"/>
    <w:rsid w:val="00630A12"/>
    <w:rsid w:val="0063109D"/>
    <w:rsid w:val="006322DE"/>
    <w:rsid w:val="00632395"/>
    <w:rsid w:val="00632959"/>
    <w:rsid w:val="006337EE"/>
    <w:rsid w:val="006339D2"/>
    <w:rsid w:val="00633D14"/>
    <w:rsid w:val="00635455"/>
    <w:rsid w:val="00636574"/>
    <w:rsid w:val="00636A9F"/>
    <w:rsid w:val="00640E4A"/>
    <w:rsid w:val="0064107F"/>
    <w:rsid w:val="00643CA5"/>
    <w:rsid w:val="0064419E"/>
    <w:rsid w:val="0064539E"/>
    <w:rsid w:val="00645FE9"/>
    <w:rsid w:val="00646E86"/>
    <w:rsid w:val="00647839"/>
    <w:rsid w:val="006478C8"/>
    <w:rsid w:val="00647EBB"/>
    <w:rsid w:val="006505C9"/>
    <w:rsid w:val="00652478"/>
    <w:rsid w:val="00652BEF"/>
    <w:rsid w:val="00653EF8"/>
    <w:rsid w:val="0065400E"/>
    <w:rsid w:val="0065471B"/>
    <w:rsid w:val="00655474"/>
    <w:rsid w:val="00655634"/>
    <w:rsid w:val="00656145"/>
    <w:rsid w:val="00656AE1"/>
    <w:rsid w:val="006617FE"/>
    <w:rsid w:val="0066268A"/>
    <w:rsid w:val="006626B9"/>
    <w:rsid w:val="00662978"/>
    <w:rsid w:val="0066300A"/>
    <w:rsid w:val="0066403A"/>
    <w:rsid w:val="006641DE"/>
    <w:rsid w:val="006646FA"/>
    <w:rsid w:val="00664A4F"/>
    <w:rsid w:val="00664F40"/>
    <w:rsid w:val="00664FCC"/>
    <w:rsid w:val="0066519B"/>
    <w:rsid w:val="00665F04"/>
    <w:rsid w:val="006669C8"/>
    <w:rsid w:val="00667070"/>
    <w:rsid w:val="00667A35"/>
    <w:rsid w:val="00667FF3"/>
    <w:rsid w:val="0067066A"/>
    <w:rsid w:val="00671528"/>
    <w:rsid w:val="00671B9B"/>
    <w:rsid w:val="00671C8A"/>
    <w:rsid w:val="006723BC"/>
    <w:rsid w:val="00672ABC"/>
    <w:rsid w:val="00673606"/>
    <w:rsid w:val="00673E16"/>
    <w:rsid w:val="00674545"/>
    <w:rsid w:val="00675ED4"/>
    <w:rsid w:val="00676B34"/>
    <w:rsid w:val="00677659"/>
    <w:rsid w:val="00677EC9"/>
    <w:rsid w:val="006802FE"/>
    <w:rsid w:val="00681063"/>
    <w:rsid w:val="006814E6"/>
    <w:rsid w:val="00681535"/>
    <w:rsid w:val="00681AD4"/>
    <w:rsid w:val="00681C4F"/>
    <w:rsid w:val="006823E0"/>
    <w:rsid w:val="00682AF2"/>
    <w:rsid w:val="00684196"/>
    <w:rsid w:val="0068432A"/>
    <w:rsid w:val="00685F7E"/>
    <w:rsid w:val="006903FD"/>
    <w:rsid w:val="00690570"/>
    <w:rsid w:val="00690746"/>
    <w:rsid w:val="00691862"/>
    <w:rsid w:val="00692BBC"/>
    <w:rsid w:val="00692F1B"/>
    <w:rsid w:val="00693EA2"/>
    <w:rsid w:val="006944BD"/>
    <w:rsid w:val="00694519"/>
    <w:rsid w:val="00694B17"/>
    <w:rsid w:val="00694DD3"/>
    <w:rsid w:val="0069556F"/>
    <w:rsid w:val="00696164"/>
    <w:rsid w:val="00697756"/>
    <w:rsid w:val="006A2C4D"/>
    <w:rsid w:val="006A2F88"/>
    <w:rsid w:val="006A43DC"/>
    <w:rsid w:val="006A5287"/>
    <w:rsid w:val="006A52E2"/>
    <w:rsid w:val="006A54EA"/>
    <w:rsid w:val="006A6E19"/>
    <w:rsid w:val="006A7BA0"/>
    <w:rsid w:val="006B11B8"/>
    <w:rsid w:val="006B2E2F"/>
    <w:rsid w:val="006B3097"/>
    <w:rsid w:val="006B4D87"/>
    <w:rsid w:val="006B50B4"/>
    <w:rsid w:val="006B5FB9"/>
    <w:rsid w:val="006B6693"/>
    <w:rsid w:val="006B69F6"/>
    <w:rsid w:val="006B6ACC"/>
    <w:rsid w:val="006B7062"/>
    <w:rsid w:val="006C00CE"/>
    <w:rsid w:val="006C0F04"/>
    <w:rsid w:val="006C192E"/>
    <w:rsid w:val="006C20CC"/>
    <w:rsid w:val="006C2E8B"/>
    <w:rsid w:val="006C3BE3"/>
    <w:rsid w:val="006C3C39"/>
    <w:rsid w:val="006C5DA8"/>
    <w:rsid w:val="006C6C07"/>
    <w:rsid w:val="006C6EA3"/>
    <w:rsid w:val="006C7BAB"/>
    <w:rsid w:val="006C7D32"/>
    <w:rsid w:val="006D02EA"/>
    <w:rsid w:val="006D1AA2"/>
    <w:rsid w:val="006D2DBF"/>
    <w:rsid w:val="006D3DFB"/>
    <w:rsid w:val="006D5854"/>
    <w:rsid w:val="006D67EA"/>
    <w:rsid w:val="006D6894"/>
    <w:rsid w:val="006D721C"/>
    <w:rsid w:val="006D750D"/>
    <w:rsid w:val="006D7DA6"/>
    <w:rsid w:val="006E047B"/>
    <w:rsid w:val="006E0BCF"/>
    <w:rsid w:val="006E0DB5"/>
    <w:rsid w:val="006E11A3"/>
    <w:rsid w:val="006E16A7"/>
    <w:rsid w:val="006E2FA9"/>
    <w:rsid w:val="006E3747"/>
    <w:rsid w:val="006E4340"/>
    <w:rsid w:val="006E5A44"/>
    <w:rsid w:val="006E5FFE"/>
    <w:rsid w:val="006E6D7A"/>
    <w:rsid w:val="006E6DB8"/>
    <w:rsid w:val="006E6F60"/>
    <w:rsid w:val="006E6FB2"/>
    <w:rsid w:val="006E70FB"/>
    <w:rsid w:val="006F21AC"/>
    <w:rsid w:val="006F2699"/>
    <w:rsid w:val="006F3525"/>
    <w:rsid w:val="006F3B9B"/>
    <w:rsid w:val="006F4FF4"/>
    <w:rsid w:val="006F637E"/>
    <w:rsid w:val="006F669E"/>
    <w:rsid w:val="006F6BFE"/>
    <w:rsid w:val="006F7428"/>
    <w:rsid w:val="006F7AE6"/>
    <w:rsid w:val="00701198"/>
    <w:rsid w:val="0070325D"/>
    <w:rsid w:val="00705A91"/>
    <w:rsid w:val="00706129"/>
    <w:rsid w:val="00706162"/>
    <w:rsid w:val="00710783"/>
    <w:rsid w:val="00710DA6"/>
    <w:rsid w:val="00710DB8"/>
    <w:rsid w:val="007121F5"/>
    <w:rsid w:val="007124F7"/>
    <w:rsid w:val="00712BB1"/>
    <w:rsid w:val="007137E3"/>
    <w:rsid w:val="00715926"/>
    <w:rsid w:val="00716D2E"/>
    <w:rsid w:val="00716F8B"/>
    <w:rsid w:val="0071705D"/>
    <w:rsid w:val="007201A5"/>
    <w:rsid w:val="007218A7"/>
    <w:rsid w:val="00721F4C"/>
    <w:rsid w:val="00722E4D"/>
    <w:rsid w:val="00723946"/>
    <w:rsid w:val="00724FC5"/>
    <w:rsid w:val="00726CA9"/>
    <w:rsid w:val="00730C23"/>
    <w:rsid w:val="00731BD4"/>
    <w:rsid w:val="00732D6C"/>
    <w:rsid w:val="007333F3"/>
    <w:rsid w:val="007336BB"/>
    <w:rsid w:val="00733DD4"/>
    <w:rsid w:val="00734698"/>
    <w:rsid w:val="00735669"/>
    <w:rsid w:val="00735E5A"/>
    <w:rsid w:val="00740A9D"/>
    <w:rsid w:val="00741739"/>
    <w:rsid w:val="00741FA8"/>
    <w:rsid w:val="00742CA5"/>
    <w:rsid w:val="0074392D"/>
    <w:rsid w:val="00743949"/>
    <w:rsid w:val="007444C3"/>
    <w:rsid w:val="00744DAB"/>
    <w:rsid w:val="007452BE"/>
    <w:rsid w:val="007468F1"/>
    <w:rsid w:val="00746A5F"/>
    <w:rsid w:val="00746D1D"/>
    <w:rsid w:val="00750762"/>
    <w:rsid w:val="007514B6"/>
    <w:rsid w:val="00751BC1"/>
    <w:rsid w:val="0075252B"/>
    <w:rsid w:val="00756AD4"/>
    <w:rsid w:val="00757289"/>
    <w:rsid w:val="0075745B"/>
    <w:rsid w:val="00757DFC"/>
    <w:rsid w:val="00760AE4"/>
    <w:rsid w:val="00762105"/>
    <w:rsid w:val="00763528"/>
    <w:rsid w:val="00763B21"/>
    <w:rsid w:val="00764183"/>
    <w:rsid w:val="00764E80"/>
    <w:rsid w:val="007651CD"/>
    <w:rsid w:val="0076559B"/>
    <w:rsid w:val="00765A82"/>
    <w:rsid w:val="00765C08"/>
    <w:rsid w:val="007677B4"/>
    <w:rsid w:val="00770485"/>
    <w:rsid w:val="00771367"/>
    <w:rsid w:val="00771A57"/>
    <w:rsid w:val="00771D56"/>
    <w:rsid w:val="00771DC9"/>
    <w:rsid w:val="0077335D"/>
    <w:rsid w:val="007734A8"/>
    <w:rsid w:val="0077439D"/>
    <w:rsid w:val="00774DC2"/>
    <w:rsid w:val="007762F3"/>
    <w:rsid w:val="00776344"/>
    <w:rsid w:val="00780414"/>
    <w:rsid w:val="0078110C"/>
    <w:rsid w:val="00781132"/>
    <w:rsid w:val="0078221D"/>
    <w:rsid w:val="00784DB1"/>
    <w:rsid w:val="00784E9B"/>
    <w:rsid w:val="00784F65"/>
    <w:rsid w:val="007855BB"/>
    <w:rsid w:val="007857D8"/>
    <w:rsid w:val="007860B4"/>
    <w:rsid w:val="00787833"/>
    <w:rsid w:val="00787AE0"/>
    <w:rsid w:val="007901B5"/>
    <w:rsid w:val="0079198A"/>
    <w:rsid w:val="00791EDD"/>
    <w:rsid w:val="007924D3"/>
    <w:rsid w:val="00792541"/>
    <w:rsid w:val="00792611"/>
    <w:rsid w:val="00794174"/>
    <w:rsid w:val="00794262"/>
    <w:rsid w:val="00794BEE"/>
    <w:rsid w:val="007951E4"/>
    <w:rsid w:val="00796533"/>
    <w:rsid w:val="0079742C"/>
    <w:rsid w:val="00797F86"/>
    <w:rsid w:val="007A0107"/>
    <w:rsid w:val="007A041A"/>
    <w:rsid w:val="007A0895"/>
    <w:rsid w:val="007A14C0"/>
    <w:rsid w:val="007A16BA"/>
    <w:rsid w:val="007A19A0"/>
    <w:rsid w:val="007A25D3"/>
    <w:rsid w:val="007A2A93"/>
    <w:rsid w:val="007A2C8F"/>
    <w:rsid w:val="007A31DC"/>
    <w:rsid w:val="007A4359"/>
    <w:rsid w:val="007A4474"/>
    <w:rsid w:val="007A50BF"/>
    <w:rsid w:val="007A53E2"/>
    <w:rsid w:val="007A5567"/>
    <w:rsid w:val="007A5EDB"/>
    <w:rsid w:val="007A6110"/>
    <w:rsid w:val="007A641A"/>
    <w:rsid w:val="007B0155"/>
    <w:rsid w:val="007B03EB"/>
    <w:rsid w:val="007B0834"/>
    <w:rsid w:val="007B0B41"/>
    <w:rsid w:val="007B2C0A"/>
    <w:rsid w:val="007B2FB1"/>
    <w:rsid w:val="007B422E"/>
    <w:rsid w:val="007B5861"/>
    <w:rsid w:val="007C0A1C"/>
    <w:rsid w:val="007C0B27"/>
    <w:rsid w:val="007C0D88"/>
    <w:rsid w:val="007C14B3"/>
    <w:rsid w:val="007C14EF"/>
    <w:rsid w:val="007C337C"/>
    <w:rsid w:val="007C4842"/>
    <w:rsid w:val="007C49F5"/>
    <w:rsid w:val="007C4F31"/>
    <w:rsid w:val="007C5D7E"/>
    <w:rsid w:val="007C5ECD"/>
    <w:rsid w:val="007C6570"/>
    <w:rsid w:val="007C7311"/>
    <w:rsid w:val="007D069E"/>
    <w:rsid w:val="007D18A3"/>
    <w:rsid w:val="007D2651"/>
    <w:rsid w:val="007D2C48"/>
    <w:rsid w:val="007D2F3F"/>
    <w:rsid w:val="007D459F"/>
    <w:rsid w:val="007D4703"/>
    <w:rsid w:val="007D4EDD"/>
    <w:rsid w:val="007D5043"/>
    <w:rsid w:val="007D6E88"/>
    <w:rsid w:val="007D7435"/>
    <w:rsid w:val="007D7887"/>
    <w:rsid w:val="007D7BA7"/>
    <w:rsid w:val="007D7CD1"/>
    <w:rsid w:val="007E1193"/>
    <w:rsid w:val="007E2E06"/>
    <w:rsid w:val="007E3A78"/>
    <w:rsid w:val="007E4074"/>
    <w:rsid w:val="007E4633"/>
    <w:rsid w:val="007E6649"/>
    <w:rsid w:val="007F008A"/>
    <w:rsid w:val="007F1215"/>
    <w:rsid w:val="007F136B"/>
    <w:rsid w:val="007F1ADA"/>
    <w:rsid w:val="007F1F2C"/>
    <w:rsid w:val="007F2B4F"/>
    <w:rsid w:val="007F384E"/>
    <w:rsid w:val="007F3A5E"/>
    <w:rsid w:val="007F3CCD"/>
    <w:rsid w:val="007F3F7B"/>
    <w:rsid w:val="007F4079"/>
    <w:rsid w:val="007F5526"/>
    <w:rsid w:val="007F6280"/>
    <w:rsid w:val="007F6C34"/>
    <w:rsid w:val="007F6C37"/>
    <w:rsid w:val="007F7679"/>
    <w:rsid w:val="008002A9"/>
    <w:rsid w:val="008007E6"/>
    <w:rsid w:val="00801679"/>
    <w:rsid w:val="00803DFA"/>
    <w:rsid w:val="0080446C"/>
    <w:rsid w:val="00805618"/>
    <w:rsid w:val="00805986"/>
    <w:rsid w:val="00807EEC"/>
    <w:rsid w:val="00810131"/>
    <w:rsid w:val="00810395"/>
    <w:rsid w:val="00812223"/>
    <w:rsid w:val="00814CD6"/>
    <w:rsid w:val="00815677"/>
    <w:rsid w:val="0081660D"/>
    <w:rsid w:val="00816893"/>
    <w:rsid w:val="00816B79"/>
    <w:rsid w:val="0081758E"/>
    <w:rsid w:val="00820CC5"/>
    <w:rsid w:val="00821609"/>
    <w:rsid w:val="008244EB"/>
    <w:rsid w:val="0082463B"/>
    <w:rsid w:val="00825C0C"/>
    <w:rsid w:val="008269F0"/>
    <w:rsid w:val="00827613"/>
    <w:rsid w:val="008309AA"/>
    <w:rsid w:val="0083118E"/>
    <w:rsid w:val="00831FC5"/>
    <w:rsid w:val="008347A8"/>
    <w:rsid w:val="00834B22"/>
    <w:rsid w:val="0083519A"/>
    <w:rsid w:val="0083614F"/>
    <w:rsid w:val="008363BD"/>
    <w:rsid w:val="00836D46"/>
    <w:rsid w:val="00836D8A"/>
    <w:rsid w:val="0083782E"/>
    <w:rsid w:val="0083786E"/>
    <w:rsid w:val="00841234"/>
    <w:rsid w:val="00841433"/>
    <w:rsid w:val="008418F1"/>
    <w:rsid w:val="00841F60"/>
    <w:rsid w:val="008421E7"/>
    <w:rsid w:val="00842233"/>
    <w:rsid w:val="00843339"/>
    <w:rsid w:val="00844065"/>
    <w:rsid w:val="0084444E"/>
    <w:rsid w:val="00844BF6"/>
    <w:rsid w:val="00844DC9"/>
    <w:rsid w:val="00844ED7"/>
    <w:rsid w:val="00846041"/>
    <w:rsid w:val="00846789"/>
    <w:rsid w:val="0084693D"/>
    <w:rsid w:val="00846E15"/>
    <w:rsid w:val="008475C6"/>
    <w:rsid w:val="00851650"/>
    <w:rsid w:val="00853874"/>
    <w:rsid w:val="00853D19"/>
    <w:rsid w:val="00854966"/>
    <w:rsid w:val="00855F7F"/>
    <w:rsid w:val="008565DE"/>
    <w:rsid w:val="00856F83"/>
    <w:rsid w:val="0085746D"/>
    <w:rsid w:val="00857DD2"/>
    <w:rsid w:val="00861577"/>
    <w:rsid w:val="00861BEB"/>
    <w:rsid w:val="00863A19"/>
    <w:rsid w:val="008645CB"/>
    <w:rsid w:val="008648EA"/>
    <w:rsid w:val="00864BF1"/>
    <w:rsid w:val="00866541"/>
    <w:rsid w:val="00866AC8"/>
    <w:rsid w:val="00870115"/>
    <w:rsid w:val="00871036"/>
    <w:rsid w:val="008716A0"/>
    <w:rsid w:val="0087201F"/>
    <w:rsid w:val="00873396"/>
    <w:rsid w:val="008734E2"/>
    <w:rsid w:val="008741F0"/>
    <w:rsid w:val="00874401"/>
    <w:rsid w:val="008747F6"/>
    <w:rsid w:val="008755B0"/>
    <w:rsid w:val="0087596C"/>
    <w:rsid w:val="008766C0"/>
    <w:rsid w:val="0087681A"/>
    <w:rsid w:val="00877933"/>
    <w:rsid w:val="008804D2"/>
    <w:rsid w:val="00880EC5"/>
    <w:rsid w:val="00881391"/>
    <w:rsid w:val="00881466"/>
    <w:rsid w:val="00881FEA"/>
    <w:rsid w:val="00886D98"/>
    <w:rsid w:val="0088755C"/>
    <w:rsid w:val="00887F98"/>
    <w:rsid w:val="00887FF7"/>
    <w:rsid w:val="00890D9A"/>
    <w:rsid w:val="00891213"/>
    <w:rsid w:val="00891561"/>
    <w:rsid w:val="0089163F"/>
    <w:rsid w:val="00891786"/>
    <w:rsid w:val="00891887"/>
    <w:rsid w:val="00892A8E"/>
    <w:rsid w:val="008932ED"/>
    <w:rsid w:val="008933C8"/>
    <w:rsid w:val="00893B86"/>
    <w:rsid w:val="00895454"/>
    <w:rsid w:val="008959B5"/>
    <w:rsid w:val="00895E60"/>
    <w:rsid w:val="0089651E"/>
    <w:rsid w:val="00896F60"/>
    <w:rsid w:val="00897752"/>
    <w:rsid w:val="00897FC2"/>
    <w:rsid w:val="008A12A1"/>
    <w:rsid w:val="008A272E"/>
    <w:rsid w:val="008A2D94"/>
    <w:rsid w:val="008A4B3D"/>
    <w:rsid w:val="008A4DF1"/>
    <w:rsid w:val="008A4E52"/>
    <w:rsid w:val="008B0D33"/>
    <w:rsid w:val="008B4175"/>
    <w:rsid w:val="008B576E"/>
    <w:rsid w:val="008B6455"/>
    <w:rsid w:val="008B65AB"/>
    <w:rsid w:val="008B671C"/>
    <w:rsid w:val="008B6999"/>
    <w:rsid w:val="008C0C9E"/>
    <w:rsid w:val="008C0CF9"/>
    <w:rsid w:val="008C16B8"/>
    <w:rsid w:val="008C2AD4"/>
    <w:rsid w:val="008C2D48"/>
    <w:rsid w:val="008C2F4D"/>
    <w:rsid w:val="008C2F9E"/>
    <w:rsid w:val="008C48D5"/>
    <w:rsid w:val="008C4C9D"/>
    <w:rsid w:val="008C4E41"/>
    <w:rsid w:val="008C4E9C"/>
    <w:rsid w:val="008C53B6"/>
    <w:rsid w:val="008C5C29"/>
    <w:rsid w:val="008C6614"/>
    <w:rsid w:val="008C6854"/>
    <w:rsid w:val="008D1197"/>
    <w:rsid w:val="008D1D73"/>
    <w:rsid w:val="008D1F67"/>
    <w:rsid w:val="008D2E86"/>
    <w:rsid w:val="008D39B7"/>
    <w:rsid w:val="008D3DA1"/>
    <w:rsid w:val="008D52D0"/>
    <w:rsid w:val="008D5A3A"/>
    <w:rsid w:val="008D61D6"/>
    <w:rsid w:val="008D7BF9"/>
    <w:rsid w:val="008E0960"/>
    <w:rsid w:val="008E09D0"/>
    <w:rsid w:val="008E0CDF"/>
    <w:rsid w:val="008E0FEA"/>
    <w:rsid w:val="008E1331"/>
    <w:rsid w:val="008E1F2E"/>
    <w:rsid w:val="008E2E6F"/>
    <w:rsid w:val="008E5977"/>
    <w:rsid w:val="008E6625"/>
    <w:rsid w:val="008E675D"/>
    <w:rsid w:val="008E67E2"/>
    <w:rsid w:val="008E71BA"/>
    <w:rsid w:val="008E746C"/>
    <w:rsid w:val="008F166E"/>
    <w:rsid w:val="008F1C03"/>
    <w:rsid w:val="008F1D18"/>
    <w:rsid w:val="008F240B"/>
    <w:rsid w:val="008F2993"/>
    <w:rsid w:val="008F29DE"/>
    <w:rsid w:val="008F2B92"/>
    <w:rsid w:val="008F317A"/>
    <w:rsid w:val="008F418B"/>
    <w:rsid w:val="008F5121"/>
    <w:rsid w:val="008F61D8"/>
    <w:rsid w:val="008F6A80"/>
    <w:rsid w:val="008F7211"/>
    <w:rsid w:val="008F73A4"/>
    <w:rsid w:val="00900D45"/>
    <w:rsid w:val="00901062"/>
    <w:rsid w:val="0090147E"/>
    <w:rsid w:val="00901AB3"/>
    <w:rsid w:val="0090382F"/>
    <w:rsid w:val="00903CEA"/>
    <w:rsid w:val="00905933"/>
    <w:rsid w:val="00906239"/>
    <w:rsid w:val="00906397"/>
    <w:rsid w:val="00906EED"/>
    <w:rsid w:val="00906EF8"/>
    <w:rsid w:val="00907306"/>
    <w:rsid w:val="00907601"/>
    <w:rsid w:val="009079AB"/>
    <w:rsid w:val="00911AAA"/>
    <w:rsid w:val="00911B2F"/>
    <w:rsid w:val="00911DDF"/>
    <w:rsid w:val="00912C28"/>
    <w:rsid w:val="0091342C"/>
    <w:rsid w:val="009138E1"/>
    <w:rsid w:val="00913F2B"/>
    <w:rsid w:val="009145D8"/>
    <w:rsid w:val="009149CA"/>
    <w:rsid w:val="00914E2F"/>
    <w:rsid w:val="00914E96"/>
    <w:rsid w:val="009151DE"/>
    <w:rsid w:val="00915C77"/>
    <w:rsid w:val="009213F1"/>
    <w:rsid w:val="00923DD0"/>
    <w:rsid w:val="0092670D"/>
    <w:rsid w:val="00926AEB"/>
    <w:rsid w:val="00930264"/>
    <w:rsid w:val="00930947"/>
    <w:rsid w:val="00930F7D"/>
    <w:rsid w:val="0093118A"/>
    <w:rsid w:val="00931C45"/>
    <w:rsid w:val="00932280"/>
    <w:rsid w:val="00932D81"/>
    <w:rsid w:val="00933063"/>
    <w:rsid w:val="00933717"/>
    <w:rsid w:val="00933A8C"/>
    <w:rsid w:val="009346B8"/>
    <w:rsid w:val="009347D0"/>
    <w:rsid w:val="0093623D"/>
    <w:rsid w:val="0093717B"/>
    <w:rsid w:val="00940260"/>
    <w:rsid w:val="0094098F"/>
    <w:rsid w:val="00940EC0"/>
    <w:rsid w:val="00941392"/>
    <w:rsid w:val="009413B2"/>
    <w:rsid w:val="00941433"/>
    <w:rsid w:val="00942449"/>
    <w:rsid w:val="009426FF"/>
    <w:rsid w:val="00942B68"/>
    <w:rsid w:val="0094307A"/>
    <w:rsid w:val="009446B0"/>
    <w:rsid w:val="00945520"/>
    <w:rsid w:val="00945CEF"/>
    <w:rsid w:val="00946189"/>
    <w:rsid w:val="009506F8"/>
    <w:rsid w:val="00951239"/>
    <w:rsid w:val="00952405"/>
    <w:rsid w:val="00954251"/>
    <w:rsid w:val="00956097"/>
    <w:rsid w:val="00956AF5"/>
    <w:rsid w:val="009572D5"/>
    <w:rsid w:val="00957540"/>
    <w:rsid w:val="00957775"/>
    <w:rsid w:val="009578CB"/>
    <w:rsid w:val="00960929"/>
    <w:rsid w:val="00960A23"/>
    <w:rsid w:val="00960D83"/>
    <w:rsid w:val="00961141"/>
    <w:rsid w:val="00962241"/>
    <w:rsid w:val="00962B5A"/>
    <w:rsid w:val="00962C85"/>
    <w:rsid w:val="00963269"/>
    <w:rsid w:val="0096386A"/>
    <w:rsid w:val="00963C54"/>
    <w:rsid w:val="00964A69"/>
    <w:rsid w:val="00965380"/>
    <w:rsid w:val="00965A44"/>
    <w:rsid w:val="00967514"/>
    <w:rsid w:val="00971318"/>
    <w:rsid w:val="009740AD"/>
    <w:rsid w:val="009769C7"/>
    <w:rsid w:val="00976CCC"/>
    <w:rsid w:val="00976E6C"/>
    <w:rsid w:val="009806AF"/>
    <w:rsid w:val="00980C2D"/>
    <w:rsid w:val="00981616"/>
    <w:rsid w:val="00982F13"/>
    <w:rsid w:val="00984B3B"/>
    <w:rsid w:val="009852C9"/>
    <w:rsid w:val="009862B1"/>
    <w:rsid w:val="0098637C"/>
    <w:rsid w:val="00986C82"/>
    <w:rsid w:val="00986C94"/>
    <w:rsid w:val="00987E16"/>
    <w:rsid w:val="00990080"/>
    <w:rsid w:val="00990FFB"/>
    <w:rsid w:val="009915D9"/>
    <w:rsid w:val="009932AD"/>
    <w:rsid w:val="0099337A"/>
    <w:rsid w:val="00994705"/>
    <w:rsid w:val="009A0817"/>
    <w:rsid w:val="009A0B8E"/>
    <w:rsid w:val="009A1415"/>
    <w:rsid w:val="009A234B"/>
    <w:rsid w:val="009A34BC"/>
    <w:rsid w:val="009A368F"/>
    <w:rsid w:val="009A3C74"/>
    <w:rsid w:val="009A436D"/>
    <w:rsid w:val="009A4659"/>
    <w:rsid w:val="009A722C"/>
    <w:rsid w:val="009A729B"/>
    <w:rsid w:val="009B03E8"/>
    <w:rsid w:val="009B2012"/>
    <w:rsid w:val="009B2B20"/>
    <w:rsid w:val="009B3439"/>
    <w:rsid w:val="009B56DC"/>
    <w:rsid w:val="009B5E62"/>
    <w:rsid w:val="009B6A44"/>
    <w:rsid w:val="009B6B0E"/>
    <w:rsid w:val="009B76A8"/>
    <w:rsid w:val="009B7C6F"/>
    <w:rsid w:val="009C1B77"/>
    <w:rsid w:val="009C3B44"/>
    <w:rsid w:val="009C4016"/>
    <w:rsid w:val="009C4D1C"/>
    <w:rsid w:val="009C4FEC"/>
    <w:rsid w:val="009C6295"/>
    <w:rsid w:val="009C6AFB"/>
    <w:rsid w:val="009D1F14"/>
    <w:rsid w:val="009D4C23"/>
    <w:rsid w:val="009D5996"/>
    <w:rsid w:val="009D5B2A"/>
    <w:rsid w:val="009D5FBC"/>
    <w:rsid w:val="009D62AF"/>
    <w:rsid w:val="009D6AA3"/>
    <w:rsid w:val="009E0063"/>
    <w:rsid w:val="009E0667"/>
    <w:rsid w:val="009E0E2F"/>
    <w:rsid w:val="009E1598"/>
    <w:rsid w:val="009E1A51"/>
    <w:rsid w:val="009E216D"/>
    <w:rsid w:val="009E2CF4"/>
    <w:rsid w:val="009E2D5C"/>
    <w:rsid w:val="009E4555"/>
    <w:rsid w:val="009E458A"/>
    <w:rsid w:val="009E4821"/>
    <w:rsid w:val="009E58A6"/>
    <w:rsid w:val="009E61C7"/>
    <w:rsid w:val="009E64B7"/>
    <w:rsid w:val="009E64E1"/>
    <w:rsid w:val="009E7B06"/>
    <w:rsid w:val="009F3DEF"/>
    <w:rsid w:val="009F3E45"/>
    <w:rsid w:val="009F3E84"/>
    <w:rsid w:val="009F4767"/>
    <w:rsid w:val="009F5620"/>
    <w:rsid w:val="009F5A71"/>
    <w:rsid w:val="009F6E92"/>
    <w:rsid w:val="009F7527"/>
    <w:rsid w:val="00A00336"/>
    <w:rsid w:val="00A00A3C"/>
    <w:rsid w:val="00A00C58"/>
    <w:rsid w:val="00A01674"/>
    <w:rsid w:val="00A0278E"/>
    <w:rsid w:val="00A030DA"/>
    <w:rsid w:val="00A03569"/>
    <w:rsid w:val="00A040AD"/>
    <w:rsid w:val="00A04A47"/>
    <w:rsid w:val="00A0533A"/>
    <w:rsid w:val="00A05EA1"/>
    <w:rsid w:val="00A06276"/>
    <w:rsid w:val="00A06DDD"/>
    <w:rsid w:val="00A07AD1"/>
    <w:rsid w:val="00A07D1D"/>
    <w:rsid w:val="00A1085D"/>
    <w:rsid w:val="00A1116A"/>
    <w:rsid w:val="00A12725"/>
    <w:rsid w:val="00A133D8"/>
    <w:rsid w:val="00A157AE"/>
    <w:rsid w:val="00A157C5"/>
    <w:rsid w:val="00A15815"/>
    <w:rsid w:val="00A15EBF"/>
    <w:rsid w:val="00A16FD0"/>
    <w:rsid w:val="00A17BB1"/>
    <w:rsid w:val="00A17CF0"/>
    <w:rsid w:val="00A20AA0"/>
    <w:rsid w:val="00A20B24"/>
    <w:rsid w:val="00A2148D"/>
    <w:rsid w:val="00A21605"/>
    <w:rsid w:val="00A22064"/>
    <w:rsid w:val="00A22144"/>
    <w:rsid w:val="00A22219"/>
    <w:rsid w:val="00A22AC6"/>
    <w:rsid w:val="00A245F9"/>
    <w:rsid w:val="00A259BA"/>
    <w:rsid w:val="00A27CF6"/>
    <w:rsid w:val="00A27F92"/>
    <w:rsid w:val="00A301D2"/>
    <w:rsid w:val="00A30928"/>
    <w:rsid w:val="00A30E24"/>
    <w:rsid w:val="00A316D2"/>
    <w:rsid w:val="00A328E4"/>
    <w:rsid w:val="00A3334A"/>
    <w:rsid w:val="00A37BA6"/>
    <w:rsid w:val="00A405DA"/>
    <w:rsid w:val="00A41C4A"/>
    <w:rsid w:val="00A42F68"/>
    <w:rsid w:val="00A440AE"/>
    <w:rsid w:val="00A440F9"/>
    <w:rsid w:val="00A4521B"/>
    <w:rsid w:val="00A46BB0"/>
    <w:rsid w:val="00A513AB"/>
    <w:rsid w:val="00A522C1"/>
    <w:rsid w:val="00A527C8"/>
    <w:rsid w:val="00A52D67"/>
    <w:rsid w:val="00A52DB7"/>
    <w:rsid w:val="00A53041"/>
    <w:rsid w:val="00A5328C"/>
    <w:rsid w:val="00A539A4"/>
    <w:rsid w:val="00A53FD7"/>
    <w:rsid w:val="00A542F9"/>
    <w:rsid w:val="00A547D8"/>
    <w:rsid w:val="00A54AF6"/>
    <w:rsid w:val="00A54E4A"/>
    <w:rsid w:val="00A550FB"/>
    <w:rsid w:val="00A55648"/>
    <w:rsid w:val="00A56864"/>
    <w:rsid w:val="00A577D5"/>
    <w:rsid w:val="00A6012E"/>
    <w:rsid w:val="00A6018B"/>
    <w:rsid w:val="00A601AD"/>
    <w:rsid w:val="00A60EE1"/>
    <w:rsid w:val="00A6187C"/>
    <w:rsid w:val="00A625E6"/>
    <w:rsid w:val="00A62F79"/>
    <w:rsid w:val="00A63217"/>
    <w:rsid w:val="00A63A06"/>
    <w:rsid w:val="00A63B02"/>
    <w:rsid w:val="00A65C6D"/>
    <w:rsid w:val="00A65E77"/>
    <w:rsid w:val="00A66E20"/>
    <w:rsid w:val="00A67EC9"/>
    <w:rsid w:val="00A704A0"/>
    <w:rsid w:val="00A70AA0"/>
    <w:rsid w:val="00A70ED8"/>
    <w:rsid w:val="00A71016"/>
    <w:rsid w:val="00A71029"/>
    <w:rsid w:val="00A714A8"/>
    <w:rsid w:val="00A71BE1"/>
    <w:rsid w:val="00A71CA0"/>
    <w:rsid w:val="00A71D61"/>
    <w:rsid w:val="00A72020"/>
    <w:rsid w:val="00A72F44"/>
    <w:rsid w:val="00A73541"/>
    <w:rsid w:val="00A7364E"/>
    <w:rsid w:val="00A737BF"/>
    <w:rsid w:val="00A74144"/>
    <w:rsid w:val="00A74387"/>
    <w:rsid w:val="00A752F6"/>
    <w:rsid w:val="00A75FB2"/>
    <w:rsid w:val="00A76CA2"/>
    <w:rsid w:val="00A777FA"/>
    <w:rsid w:val="00A800CA"/>
    <w:rsid w:val="00A82842"/>
    <w:rsid w:val="00A836DA"/>
    <w:rsid w:val="00A84724"/>
    <w:rsid w:val="00A8510B"/>
    <w:rsid w:val="00A85452"/>
    <w:rsid w:val="00A85AED"/>
    <w:rsid w:val="00A86BC0"/>
    <w:rsid w:val="00A86BD2"/>
    <w:rsid w:val="00A86E55"/>
    <w:rsid w:val="00A86F9F"/>
    <w:rsid w:val="00A8718E"/>
    <w:rsid w:val="00A87500"/>
    <w:rsid w:val="00A878B9"/>
    <w:rsid w:val="00A87A75"/>
    <w:rsid w:val="00A90736"/>
    <w:rsid w:val="00A90761"/>
    <w:rsid w:val="00A90CAC"/>
    <w:rsid w:val="00A918B4"/>
    <w:rsid w:val="00A91A1E"/>
    <w:rsid w:val="00A91E1B"/>
    <w:rsid w:val="00A92B5C"/>
    <w:rsid w:val="00A93D1E"/>
    <w:rsid w:val="00A947E8"/>
    <w:rsid w:val="00A9482C"/>
    <w:rsid w:val="00A955D5"/>
    <w:rsid w:val="00A95B9E"/>
    <w:rsid w:val="00A961AA"/>
    <w:rsid w:val="00A96A0B"/>
    <w:rsid w:val="00A9774B"/>
    <w:rsid w:val="00AA0AAF"/>
    <w:rsid w:val="00AA157E"/>
    <w:rsid w:val="00AA1ED3"/>
    <w:rsid w:val="00AA34B5"/>
    <w:rsid w:val="00AA4063"/>
    <w:rsid w:val="00AA409B"/>
    <w:rsid w:val="00AA4378"/>
    <w:rsid w:val="00AA6218"/>
    <w:rsid w:val="00AA6F73"/>
    <w:rsid w:val="00AB0E67"/>
    <w:rsid w:val="00AB211A"/>
    <w:rsid w:val="00AB21A5"/>
    <w:rsid w:val="00AB21D7"/>
    <w:rsid w:val="00AB249B"/>
    <w:rsid w:val="00AB2948"/>
    <w:rsid w:val="00AB29B6"/>
    <w:rsid w:val="00AB3C16"/>
    <w:rsid w:val="00AB43EE"/>
    <w:rsid w:val="00AB4EDB"/>
    <w:rsid w:val="00AB6012"/>
    <w:rsid w:val="00AB6362"/>
    <w:rsid w:val="00AB6CDE"/>
    <w:rsid w:val="00AB750A"/>
    <w:rsid w:val="00AC143D"/>
    <w:rsid w:val="00AC16DD"/>
    <w:rsid w:val="00AC1A87"/>
    <w:rsid w:val="00AC315A"/>
    <w:rsid w:val="00AC336E"/>
    <w:rsid w:val="00AC371A"/>
    <w:rsid w:val="00AC4719"/>
    <w:rsid w:val="00AC4A21"/>
    <w:rsid w:val="00AC4E01"/>
    <w:rsid w:val="00AC74DF"/>
    <w:rsid w:val="00AC75C8"/>
    <w:rsid w:val="00AC7A26"/>
    <w:rsid w:val="00AC7D4C"/>
    <w:rsid w:val="00AD08B2"/>
    <w:rsid w:val="00AD1CEA"/>
    <w:rsid w:val="00AD2241"/>
    <w:rsid w:val="00AD23A2"/>
    <w:rsid w:val="00AD2B5C"/>
    <w:rsid w:val="00AD3310"/>
    <w:rsid w:val="00AD3410"/>
    <w:rsid w:val="00AD3A09"/>
    <w:rsid w:val="00AD3A53"/>
    <w:rsid w:val="00AD6629"/>
    <w:rsid w:val="00AE082B"/>
    <w:rsid w:val="00AE1D14"/>
    <w:rsid w:val="00AE1DA7"/>
    <w:rsid w:val="00AE299E"/>
    <w:rsid w:val="00AE384C"/>
    <w:rsid w:val="00AE3F74"/>
    <w:rsid w:val="00AE4FC4"/>
    <w:rsid w:val="00AE5887"/>
    <w:rsid w:val="00AE71AD"/>
    <w:rsid w:val="00AE7627"/>
    <w:rsid w:val="00AF060C"/>
    <w:rsid w:val="00AF08B6"/>
    <w:rsid w:val="00AF0B1A"/>
    <w:rsid w:val="00AF24C1"/>
    <w:rsid w:val="00AF25EE"/>
    <w:rsid w:val="00AF2ADE"/>
    <w:rsid w:val="00AF3543"/>
    <w:rsid w:val="00AF3BC7"/>
    <w:rsid w:val="00AF3C27"/>
    <w:rsid w:val="00AF5E71"/>
    <w:rsid w:val="00AF670B"/>
    <w:rsid w:val="00AF7D6B"/>
    <w:rsid w:val="00B00012"/>
    <w:rsid w:val="00B00DB9"/>
    <w:rsid w:val="00B015BE"/>
    <w:rsid w:val="00B01FBC"/>
    <w:rsid w:val="00B02559"/>
    <w:rsid w:val="00B03675"/>
    <w:rsid w:val="00B03B21"/>
    <w:rsid w:val="00B03D39"/>
    <w:rsid w:val="00B04D15"/>
    <w:rsid w:val="00B065BE"/>
    <w:rsid w:val="00B07193"/>
    <w:rsid w:val="00B07F2F"/>
    <w:rsid w:val="00B12780"/>
    <w:rsid w:val="00B13428"/>
    <w:rsid w:val="00B13620"/>
    <w:rsid w:val="00B13A44"/>
    <w:rsid w:val="00B14131"/>
    <w:rsid w:val="00B1448A"/>
    <w:rsid w:val="00B15497"/>
    <w:rsid w:val="00B15914"/>
    <w:rsid w:val="00B15F5F"/>
    <w:rsid w:val="00B163DD"/>
    <w:rsid w:val="00B177A1"/>
    <w:rsid w:val="00B17E64"/>
    <w:rsid w:val="00B200FD"/>
    <w:rsid w:val="00B2082E"/>
    <w:rsid w:val="00B20D5B"/>
    <w:rsid w:val="00B212BA"/>
    <w:rsid w:val="00B21C2A"/>
    <w:rsid w:val="00B21CDD"/>
    <w:rsid w:val="00B235C4"/>
    <w:rsid w:val="00B23CB9"/>
    <w:rsid w:val="00B2402D"/>
    <w:rsid w:val="00B24EC9"/>
    <w:rsid w:val="00B2594C"/>
    <w:rsid w:val="00B25DA1"/>
    <w:rsid w:val="00B27C88"/>
    <w:rsid w:val="00B27DC4"/>
    <w:rsid w:val="00B304D9"/>
    <w:rsid w:val="00B3109C"/>
    <w:rsid w:val="00B32118"/>
    <w:rsid w:val="00B3222A"/>
    <w:rsid w:val="00B32844"/>
    <w:rsid w:val="00B3298F"/>
    <w:rsid w:val="00B333BA"/>
    <w:rsid w:val="00B355A6"/>
    <w:rsid w:val="00B35661"/>
    <w:rsid w:val="00B36105"/>
    <w:rsid w:val="00B363A5"/>
    <w:rsid w:val="00B370B0"/>
    <w:rsid w:val="00B4074C"/>
    <w:rsid w:val="00B40D43"/>
    <w:rsid w:val="00B40DF7"/>
    <w:rsid w:val="00B40F1C"/>
    <w:rsid w:val="00B4103C"/>
    <w:rsid w:val="00B41288"/>
    <w:rsid w:val="00B42A29"/>
    <w:rsid w:val="00B436DC"/>
    <w:rsid w:val="00B438A2"/>
    <w:rsid w:val="00B43CB5"/>
    <w:rsid w:val="00B441F4"/>
    <w:rsid w:val="00B45A90"/>
    <w:rsid w:val="00B45AD5"/>
    <w:rsid w:val="00B45BF3"/>
    <w:rsid w:val="00B4615F"/>
    <w:rsid w:val="00B46966"/>
    <w:rsid w:val="00B469B4"/>
    <w:rsid w:val="00B47F81"/>
    <w:rsid w:val="00B505CE"/>
    <w:rsid w:val="00B50789"/>
    <w:rsid w:val="00B507E8"/>
    <w:rsid w:val="00B50DF0"/>
    <w:rsid w:val="00B54A04"/>
    <w:rsid w:val="00B54F96"/>
    <w:rsid w:val="00B56B19"/>
    <w:rsid w:val="00B5722F"/>
    <w:rsid w:val="00B60276"/>
    <w:rsid w:val="00B62380"/>
    <w:rsid w:val="00B62FD1"/>
    <w:rsid w:val="00B6413F"/>
    <w:rsid w:val="00B64AC8"/>
    <w:rsid w:val="00B65A67"/>
    <w:rsid w:val="00B65AB2"/>
    <w:rsid w:val="00B65C09"/>
    <w:rsid w:val="00B65DC6"/>
    <w:rsid w:val="00B66008"/>
    <w:rsid w:val="00B6734E"/>
    <w:rsid w:val="00B675CC"/>
    <w:rsid w:val="00B70BAA"/>
    <w:rsid w:val="00B724F8"/>
    <w:rsid w:val="00B72D9B"/>
    <w:rsid w:val="00B72E38"/>
    <w:rsid w:val="00B7366B"/>
    <w:rsid w:val="00B73BF7"/>
    <w:rsid w:val="00B73DA1"/>
    <w:rsid w:val="00B73FD3"/>
    <w:rsid w:val="00B74E19"/>
    <w:rsid w:val="00B76C7E"/>
    <w:rsid w:val="00B77CDE"/>
    <w:rsid w:val="00B80F65"/>
    <w:rsid w:val="00B8217A"/>
    <w:rsid w:val="00B824D0"/>
    <w:rsid w:val="00B831CC"/>
    <w:rsid w:val="00B83348"/>
    <w:rsid w:val="00B845DE"/>
    <w:rsid w:val="00B86EEF"/>
    <w:rsid w:val="00B87CAA"/>
    <w:rsid w:val="00B91073"/>
    <w:rsid w:val="00B91FB3"/>
    <w:rsid w:val="00B925E5"/>
    <w:rsid w:val="00B92F06"/>
    <w:rsid w:val="00B93463"/>
    <w:rsid w:val="00B9354A"/>
    <w:rsid w:val="00B93A05"/>
    <w:rsid w:val="00B93ADA"/>
    <w:rsid w:val="00B9514F"/>
    <w:rsid w:val="00B958B9"/>
    <w:rsid w:val="00B96802"/>
    <w:rsid w:val="00B97E04"/>
    <w:rsid w:val="00BA136C"/>
    <w:rsid w:val="00BA1E50"/>
    <w:rsid w:val="00BA200E"/>
    <w:rsid w:val="00BA22AC"/>
    <w:rsid w:val="00BA30D6"/>
    <w:rsid w:val="00BA37A0"/>
    <w:rsid w:val="00BA44A1"/>
    <w:rsid w:val="00BA4965"/>
    <w:rsid w:val="00BA5F93"/>
    <w:rsid w:val="00BB05D2"/>
    <w:rsid w:val="00BB166B"/>
    <w:rsid w:val="00BB175D"/>
    <w:rsid w:val="00BB1879"/>
    <w:rsid w:val="00BB1EFE"/>
    <w:rsid w:val="00BB285B"/>
    <w:rsid w:val="00BB2A13"/>
    <w:rsid w:val="00BB3780"/>
    <w:rsid w:val="00BB3DDB"/>
    <w:rsid w:val="00BB4A1F"/>
    <w:rsid w:val="00BB5FA5"/>
    <w:rsid w:val="00BB7315"/>
    <w:rsid w:val="00BB75BE"/>
    <w:rsid w:val="00BC0284"/>
    <w:rsid w:val="00BC1088"/>
    <w:rsid w:val="00BC1706"/>
    <w:rsid w:val="00BC3D9C"/>
    <w:rsid w:val="00BC45EB"/>
    <w:rsid w:val="00BC4B06"/>
    <w:rsid w:val="00BC4D40"/>
    <w:rsid w:val="00BC55A1"/>
    <w:rsid w:val="00BC6541"/>
    <w:rsid w:val="00BC70CE"/>
    <w:rsid w:val="00BC78B4"/>
    <w:rsid w:val="00BD00C2"/>
    <w:rsid w:val="00BD0329"/>
    <w:rsid w:val="00BD08B0"/>
    <w:rsid w:val="00BD0B96"/>
    <w:rsid w:val="00BD0CF4"/>
    <w:rsid w:val="00BD28C0"/>
    <w:rsid w:val="00BD2E12"/>
    <w:rsid w:val="00BD4770"/>
    <w:rsid w:val="00BD47A4"/>
    <w:rsid w:val="00BD684F"/>
    <w:rsid w:val="00BE05E8"/>
    <w:rsid w:val="00BE1335"/>
    <w:rsid w:val="00BE4265"/>
    <w:rsid w:val="00BE46B7"/>
    <w:rsid w:val="00BE47C6"/>
    <w:rsid w:val="00BE5A95"/>
    <w:rsid w:val="00BE6726"/>
    <w:rsid w:val="00BE6783"/>
    <w:rsid w:val="00BE7647"/>
    <w:rsid w:val="00BE7A5B"/>
    <w:rsid w:val="00BE7DFE"/>
    <w:rsid w:val="00BF01B8"/>
    <w:rsid w:val="00BF09C1"/>
    <w:rsid w:val="00BF0BEA"/>
    <w:rsid w:val="00BF1A7B"/>
    <w:rsid w:val="00BF1BC3"/>
    <w:rsid w:val="00BF2281"/>
    <w:rsid w:val="00BF2419"/>
    <w:rsid w:val="00BF247D"/>
    <w:rsid w:val="00BF2FCB"/>
    <w:rsid w:val="00BF43AE"/>
    <w:rsid w:val="00BF4A81"/>
    <w:rsid w:val="00BF51F7"/>
    <w:rsid w:val="00BF53BB"/>
    <w:rsid w:val="00BF5866"/>
    <w:rsid w:val="00BF6EA7"/>
    <w:rsid w:val="00BF790A"/>
    <w:rsid w:val="00C003C2"/>
    <w:rsid w:val="00C0196F"/>
    <w:rsid w:val="00C01A71"/>
    <w:rsid w:val="00C01D67"/>
    <w:rsid w:val="00C02A86"/>
    <w:rsid w:val="00C02B89"/>
    <w:rsid w:val="00C02ED6"/>
    <w:rsid w:val="00C04DD9"/>
    <w:rsid w:val="00C0671F"/>
    <w:rsid w:val="00C071BD"/>
    <w:rsid w:val="00C073E8"/>
    <w:rsid w:val="00C075EE"/>
    <w:rsid w:val="00C07788"/>
    <w:rsid w:val="00C11B81"/>
    <w:rsid w:val="00C127E1"/>
    <w:rsid w:val="00C1337D"/>
    <w:rsid w:val="00C140AA"/>
    <w:rsid w:val="00C163DE"/>
    <w:rsid w:val="00C167B4"/>
    <w:rsid w:val="00C20914"/>
    <w:rsid w:val="00C21A54"/>
    <w:rsid w:val="00C22B1D"/>
    <w:rsid w:val="00C24FC1"/>
    <w:rsid w:val="00C2616A"/>
    <w:rsid w:val="00C26323"/>
    <w:rsid w:val="00C2633B"/>
    <w:rsid w:val="00C26B2D"/>
    <w:rsid w:val="00C30034"/>
    <w:rsid w:val="00C309EE"/>
    <w:rsid w:val="00C30CE8"/>
    <w:rsid w:val="00C32410"/>
    <w:rsid w:val="00C34156"/>
    <w:rsid w:val="00C36968"/>
    <w:rsid w:val="00C371AD"/>
    <w:rsid w:val="00C371DF"/>
    <w:rsid w:val="00C3720E"/>
    <w:rsid w:val="00C40C98"/>
    <w:rsid w:val="00C40FC2"/>
    <w:rsid w:val="00C438A8"/>
    <w:rsid w:val="00C43B31"/>
    <w:rsid w:val="00C44D1F"/>
    <w:rsid w:val="00C45545"/>
    <w:rsid w:val="00C45F78"/>
    <w:rsid w:val="00C47A93"/>
    <w:rsid w:val="00C47DB5"/>
    <w:rsid w:val="00C519C3"/>
    <w:rsid w:val="00C51D60"/>
    <w:rsid w:val="00C5230E"/>
    <w:rsid w:val="00C53509"/>
    <w:rsid w:val="00C5382C"/>
    <w:rsid w:val="00C544F8"/>
    <w:rsid w:val="00C547B5"/>
    <w:rsid w:val="00C54BCC"/>
    <w:rsid w:val="00C54EF9"/>
    <w:rsid w:val="00C5572E"/>
    <w:rsid w:val="00C55A3A"/>
    <w:rsid w:val="00C56649"/>
    <w:rsid w:val="00C56980"/>
    <w:rsid w:val="00C57321"/>
    <w:rsid w:val="00C6090A"/>
    <w:rsid w:val="00C60AFA"/>
    <w:rsid w:val="00C614C8"/>
    <w:rsid w:val="00C61685"/>
    <w:rsid w:val="00C62E9C"/>
    <w:rsid w:val="00C634C0"/>
    <w:rsid w:val="00C638BB"/>
    <w:rsid w:val="00C638EB"/>
    <w:rsid w:val="00C65509"/>
    <w:rsid w:val="00C65E46"/>
    <w:rsid w:val="00C66640"/>
    <w:rsid w:val="00C66F1B"/>
    <w:rsid w:val="00C674DE"/>
    <w:rsid w:val="00C704B9"/>
    <w:rsid w:val="00C7053A"/>
    <w:rsid w:val="00C70ED5"/>
    <w:rsid w:val="00C710D0"/>
    <w:rsid w:val="00C72214"/>
    <w:rsid w:val="00C72947"/>
    <w:rsid w:val="00C73269"/>
    <w:rsid w:val="00C74667"/>
    <w:rsid w:val="00C74681"/>
    <w:rsid w:val="00C754EB"/>
    <w:rsid w:val="00C76951"/>
    <w:rsid w:val="00C80110"/>
    <w:rsid w:val="00C81B2D"/>
    <w:rsid w:val="00C81FBB"/>
    <w:rsid w:val="00C81FE1"/>
    <w:rsid w:val="00C82041"/>
    <w:rsid w:val="00C8261F"/>
    <w:rsid w:val="00C82E52"/>
    <w:rsid w:val="00C84392"/>
    <w:rsid w:val="00C8487C"/>
    <w:rsid w:val="00C859EA"/>
    <w:rsid w:val="00C85B70"/>
    <w:rsid w:val="00C86AB6"/>
    <w:rsid w:val="00C86E75"/>
    <w:rsid w:val="00C87531"/>
    <w:rsid w:val="00C9200B"/>
    <w:rsid w:val="00C921E8"/>
    <w:rsid w:val="00C94202"/>
    <w:rsid w:val="00C94362"/>
    <w:rsid w:val="00C94DE6"/>
    <w:rsid w:val="00C94E2F"/>
    <w:rsid w:val="00C959AC"/>
    <w:rsid w:val="00C95B7C"/>
    <w:rsid w:val="00C95DA3"/>
    <w:rsid w:val="00C97B98"/>
    <w:rsid w:val="00CA03E6"/>
    <w:rsid w:val="00CA0CCB"/>
    <w:rsid w:val="00CA219D"/>
    <w:rsid w:val="00CA302B"/>
    <w:rsid w:val="00CA3760"/>
    <w:rsid w:val="00CA5004"/>
    <w:rsid w:val="00CA5BF9"/>
    <w:rsid w:val="00CA5C9D"/>
    <w:rsid w:val="00CA72A6"/>
    <w:rsid w:val="00CA74D0"/>
    <w:rsid w:val="00CA78A3"/>
    <w:rsid w:val="00CB03E2"/>
    <w:rsid w:val="00CB0C5A"/>
    <w:rsid w:val="00CB318D"/>
    <w:rsid w:val="00CB3558"/>
    <w:rsid w:val="00CB4413"/>
    <w:rsid w:val="00CB6352"/>
    <w:rsid w:val="00CB63D5"/>
    <w:rsid w:val="00CB64E3"/>
    <w:rsid w:val="00CB6B3B"/>
    <w:rsid w:val="00CB6FCA"/>
    <w:rsid w:val="00CB7E77"/>
    <w:rsid w:val="00CB7F0D"/>
    <w:rsid w:val="00CC15B0"/>
    <w:rsid w:val="00CC290B"/>
    <w:rsid w:val="00CC29DD"/>
    <w:rsid w:val="00CC2C3F"/>
    <w:rsid w:val="00CC31C7"/>
    <w:rsid w:val="00CC4283"/>
    <w:rsid w:val="00CC44CA"/>
    <w:rsid w:val="00CC4AF6"/>
    <w:rsid w:val="00CC4DCA"/>
    <w:rsid w:val="00CC799F"/>
    <w:rsid w:val="00CC7EB3"/>
    <w:rsid w:val="00CD0C9C"/>
    <w:rsid w:val="00CD1634"/>
    <w:rsid w:val="00CD177D"/>
    <w:rsid w:val="00CD21E6"/>
    <w:rsid w:val="00CD315B"/>
    <w:rsid w:val="00CD3B68"/>
    <w:rsid w:val="00CD4BE5"/>
    <w:rsid w:val="00CD566B"/>
    <w:rsid w:val="00CD6C96"/>
    <w:rsid w:val="00CD7459"/>
    <w:rsid w:val="00CE1902"/>
    <w:rsid w:val="00CE24B7"/>
    <w:rsid w:val="00CE2B31"/>
    <w:rsid w:val="00CE2DE8"/>
    <w:rsid w:val="00CE305B"/>
    <w:rsid w:val="00CE3090"/>
    <w:rsid w:val="00CE37F0"/>
    <w:rsid w:val="00CE4115"/>
    <w:rsid w:val="00CE4540"/>
    <w:rsid w:val="00CE4E31"/>
    <w:rsid w:val="00CE5F30"/>
    <w:rsid w:val="00CE6CEE"/>
    <w:rsid w:val="00CE72B6"/>
    <w:rsid w:val="00CF06CA"/>
    <w:rsid w:val="00CF0AB6"/>
    <w:rsid w:val="00CF16B7"/>
    <w:rsid w:val="00CF321A"/>
    <w:rsid w:val="00CF34E3"/>
    <w:rsid w:val="00CF4133"/>
    <w:rsid w:val="00CF6212"/>
    <w:rsid w:val="00CF660B"/>
    <w:rsid w:val="00CF76E2"/>
    <w:rsid w:val="00D002B6"/>
    <w:rsid w:val="00D00C0D"/>
    <w:rsid w:val="00D023B1"/>
    <w:rsid w:val="00D02503"/>
    <w:rsid w:val="00D028D6"/>
    <w:rsid w:val="00D02B9A"/>
    <w:rsid w:val="00D03906"/>
    <w:rsid w:val="00D04AA2"/>
    <w:rsid w:val="00D04CE8"/>
    <w:rsid w:val="00D05181"/>
    <w:rsid w:val="00D053AE"/>
    <w:rsid w:val="00D05C8F"/>
    <w:rsid w:val="00D060FB"/>
    <w:rsid w:val="00D06B3A"/>
    <w:rsid w:val="00D06E8D"/>
    <w:rsid w:val="00D06FE4"/>
    <w:rsid w:val="00D11BD8"/>
    <w:rsid w:val="00D13305"/>
    <w:rsid w:val="00D13452"/>
    <w:rsid w:val="00D13754"/>
    <w:rsid w:val="00D14D82"/>
    <w:rsid w:val="00D15B00"/>
    <w:rsid w:val="00D16BC8"/>
    <w:rsid w:val="00D17384"/>
    <w:rsid w:val="00D173F1"/>
    <w:rsid w:val="00D1763D"/>
    <w:rsid w:val="00D20D8C"/>
    <w:rsid w:val="00D21D84"/>
    <w:rsid w:val="00D21E93"/>
    <w:rsid w:val="00D2250F"/>
    <w:rsid w:val="00D24609"/>
    <w:rsid w:val="00D24732"/>
    <w:rsid w:val="00D24BD7"/>
    <w:rsid w:val="00D25493"/>
    <w:rsid w:val="00D257FF"/>
    <w:rsid w:val="00D25CC0"/>
    <w:rsid w:val="00D26642"/>
    <w:rsid w:val="00D2664D"/>
    <w:rsid w:val="00D26E52"/>
    <w:rsid w:val="00D27405"/>
    <w:rsid w:val="00D2742F"/>
    <w:rsid w:val="00D274E7"/>
    <w:rsid w:val="00D27CCB"/>
    <w:rsid w:val="00D27FD9"/>
    <w:rsid w:val="00D30E54"/>
    <w:rsid w:val="00D30EE9"/>
    <w:rsid w:val="00D31775"/>
    <w:rsid w:val="00D31A22"/>
    <w:rsid w:val="00D31DAE"/>
    <w:rsid w:val="00D32130"/>
    <w:rsid w:val="00D32AF1"/>
    <w:rsid w:val="00D335F1"/>
    <w:rsid w:val="00D3481F"/>
    <w:rsid w:val="00D359CD"/>
    <w:rsid w:val="00D36630"/>
    <w:rsid w:val="00D36863"/>
    <w:rsid w:val="00D3770A"/>
    <w:rsid w:val="00D41499"/>
    <w:rsid w:val="00D42998"/>
    <w:rsid w:val="00D4339A"/>
    <w:rsid w:val="00D44803"/>
    <w:rsid w:val="00D45FDF"/>
    <w:rsid w:val="00D464D3"/>
    <w:rsid w:val="00D4739D"/>
    <w:rsid w:val="00D5067E"/>
    <w:rsid w:val="00D51270"/>
    <w:rsid w:val="00D512E3"/>
    <w:rsid w:val="00D52266"/>
    <w:rsid w:val="00D52272"/>
    <w:rsid w:val="00D524DB"/>
    <w:rsid w:val="00D52B63"/>
    <w:rsid w:val="00D52E69"/>
    <w:rsid w:val="00D52E89"/>
    <w:rsid w:val="00D53487"/>
    <w:rsid w:val="00D538F8"/>
    <w:rsid w:val="00D53E92"/>
    <w:rsid w:val="00D53FA8"/>
    <w:rsid w:val="00D53FF8"/>
    <w:rsid w:val="00D553AA"/>
    <w:rsid w:val="00D55CED"/>
    <w:rsid w:val="00D56D3B"/>
    <w:rsid w:val="00D57BEA"/>
    <w:rsid w:val="00D57D38"/>
    <w:rsid w:val="00D601EF"/>
    <w:rsid w:val="00D60219"/>
    <w:rsid w:val="00D62421"/>
    <w:rsid w:val="00D630D0"/>
    <w:rsid w:val="00D641AF"/>
    <w:rsid w:val="00D64B22"/>
    <w:rsid w:val="00D65F68"/>
    <w:rsid w:val="00D6640A"/>
    <w:rsid w:val="00D70451"/>
    <w:rsid w:val="00D70667"/>
    <w:rsid w:val="00D708CB"/>
    <w:rsid w:val="00D70911"/>
    <w:rsid w:val="00D72CC5"/>
    <w:rsid w:val="00D73F45"/>
    <w:rsid w:val="00D75BA0"/>
    <w:rsid w:val="00D77F33"/>
    <w:rsid w:val="00D812A7"/>
    <w:rsid w:val="00D813C5"/>
    <w:rsid w:val="00D815F7"/>
    <w:rsid w:val="00D82CE8"/>
    <w:rsid w:val="00D8353E"/>
    <w:rsid w:val="00D86CFC"/>
    <w:rsid w:val="00D90E1F"/>
    <w:rsid w:val="00D91198"/>
    <w:rsid w:val="00D91E52"/>
    <w:rsid w:val="00D95105"/>
    <w:rsid w:val="00D96997"/>
    <w:rsid w:val="00D9739D"/>
    <w:rsid w:val="00DA1967"/>
    <w:rsid w:val="00DA1D11"/>
    <w:rsid w:val="00DA201D"/>
    <w:rsid w:val="00DA2928"/>
    <w:rsid w:val="00DA34BF"/>
    <w:rsid w:val="00DA3D16"/>
    <w:rsid w:val="00DA4316"/>
    <w:rsid w:val="00DA43A4"/>
    <w:rsid w:val="00DA50DB"/>
    <w:rsid w:val="00DA57ED"/>
    <w:rsid w:val="00DA6EED"/>
    <w:rsid w:val="00DA794D"/>
    <w:rsid w:val="00DA7E2B"/>
    <w:rsid w:val="00DA7EF2"/>
    <w:rsid w:val="00DB0792"/>
    <w:rsid w:val="00DB1BDB"/>
    <w:rsid w:val="00DB22F5"/>
    <w:rsid w:val="00DB2391"/>
    <w:rsid w:val="00DB48B4"/>
    <w:rsid w:val="00DB4D44"/>
    <w:rsid w:val="00DB4F44"/>
    <w:rsid w:val="00DB547C"/>
    <w:rsid w:val="00DB552E"/>
    <w:rsid w:val="00DB56D1"/>
    <w:rsid w:val="00DB62D5"/>
    <w:rsid w:val="00DB733B"/>
    <w:rsid w:val="00DC0328"/>
    <w:rsid w:val="00DC03AF"/>
    <w:rsid w:val="00DC044F"/>
    <w:rsid w:val="00DC30AC"/>
    <w:rsid w:val="00DC3982"/>
    <w:rsid w:val="00DC3983"/>
    <w:rsid w:val="00DC3F21"/>
    <w:rsid w:val="00DC6B69"/>
    <w:rsid w:val="00DC6BBA"/>
    <w:rsid w:val="00DC6C8A"/>
    <w:rsid w:val="00DC6D8A"/>
    <w:rsid w:val="00DD0C03"/>
    <w:rsid w:val="00DD0DBE"/>
    <w:rsid w:val="00DD24BD"/>
    <w:rsid w:val="00DD26FD"/>
    <w:rsid w:val="00DD38EE"/>
    <w:rsid w:val="00DD3BA7"/>
    <w:rsid w:val="00DD3C20"/>
    <w:rsid w:val="00DD40B8"/>
    <w:rsid w:val="00DD4619"/>
    <w:rsid w:val="00DD5717"/>
    <w:rsid w:val="00DD6E17"/>
    <w:rsid w:val="00DD7429"/>
    <w:rsid w:val="00DD7B26"/>
    <w:rsid w:val="00DD7ED3"/>
    <w:rsid w:val="00DE01DB"/>
    <w:rsid w:val="00DE04DA"/>
    <w:rsid w:val="00DE123E"/>
    <w:rsid w:val="00DE14F3"/>
    <w:rsid w:val="00DE1B08"/>
    <w:rsid w:val="00DE1D5C"/>
    <w:rsid w:val="00DE295B"/>
    <w:rsid w:val="00DE40DA"/>
    <w:rsid w:val="00DE4694"/>
    <w:rsid w:val="00DE4A38"/>
    <w:rsid w:val="00DE5514"/>
    <w:rsid w:val="00DE56D0"/>
    <w:rsid w:val="00DE6D1E"/>
    <w:rsid w:val="00DF0004"/>
    <w:rsid w:val="00DF0420"/>
    <w:rsid w:val="00DF0939"/>
    <w:rsid w:val="00DF1088"/>
    <w:rsid w:val="00DF112A"/>
    <w:rsid w:val="00DF17C3"/>
    <w:rsid w:val="00DF1E64"/>
    <w:rsid w:val="00DF38FD"/>
    <w:rsid w:val="00DF3CEC"/>
    <w:rsid w:val="00DF41DD"/>
    <w:rsid w:val="00DF5E8A"/>
    <w:rsid w:val="00DF5FBC"/>
    <w:rsid w:val="00DF6257"/>
    <w:rsid w:val="00DF7BA3"/>
    <w:rsid w:val="00E0065D"/>
    <w:rsid w:val="00E00F6D"/>
    <w:rsid w:val="00E0184D"/>
    <w:rsid w:val="00E043C3"/>
    <w:rsid w:val="00E043D0"/>
    <w:rsid w:val="00E04DD6"/>
    <w:rsid w:val="00E050AC"/>
    <w:rsid w:val="00E05E6D"/>
    <w:rsid w:val="00E06262"/>
    <w:rsid w:val="00E06ED3"/>
    <w:rsid w:val="00E078DF"/>
    <w:rsid w:val="00E078E7"/>
    <w:rsid w:val="00E113D5"/>
    <w:rsid w:val="00E12DA2"/>
    <w:rsid w:val="00E12EF4"/>
    <w:rsid w:val="00E14BA7"/>
    <w:rsid w:val="00E14C9F"/>
    <w:rsid w:val="00E16B5A"/>
    <w:rsid w:val="00E17C4C"/>
    <w:rsid w:val="00E17F88"/>
    <w:rsid w:val="00E206F7"/>
    <w:rsid w:val="00E219C1"/>
    <w:rsid w:val="00E21B87"/>
    <w:rsid w:val="00E2215E"/>
    <w:rsid w:val="00E232BA"/>
    <w:rsid w:val="00E24821"/>
    <w:rsid w:val="00E24D5A"/>
    <w:rsid w:val="00E25570"/>
    <w:rsid w:val="00E2789C"/>
    <w:rsid w:val="00E27B2D"/>
    <w:rsid w:val="00E304E4"/>
    <w:rsid w:val="00E31924"/>
    <w:rsid w:val="00E34342"/>
    <w:rsid w:val="00E34631"/>
    <w:rsid w:val="00E3467F"/>
    <w:rsid w:val="00E35004"/>
    <w:rsid w:val="00E35AF8"/>
    <w:rsid w:val="00E3604B"/>
    <w:rsid w:val="00E401E1"/>
    <w:rsid w:val="00E406DB"/>
    <w:rsid w:val="00E41178"/>
    <w:rsid w:val="00E43465"/>
    <w:rsid w:val="00E43E9A"/>
    <w:rsid w:val="00E443FC"/>
    <w:rsid w:val="00E44BCC"/>
    <w:rsid w:val="00E44F30"/>
    <w:rsid w:val="00E453B8"/>
    <w:rsid w:val="00E45ABF"/>
    <w:rsid w:val="00E45B90"/>
    <w:rsid w:val="00E46673"/>
    <w:rsid w:val="00E46919"/>
    <w:rsid w:val="00E4692B"/>
    <w:rsid w:val="00E46F32"/>
    <w:rsid w:val="00E47274"/>
    <w:rsid w:val="00E47504"/>
    <w:rsid w:val="00E475D4"/>
    <w:rsid w:val="00E50CD9"/>
    <w:rsid w:val="00E516B4"/>
    <w:rsid w:val="00E51897"/>
    <w:rsid w:val="00E5295E"/>
    <w:rsid w:val="00E533A3"/>
    <w:rsid w:val="00E5605F"/>
    <w:rsid w:val="00E56584"/>
    <w:rsid w:val="00E571C8"/>
    <w:rsid w:val="00E6077E"/>
    <w:rsid w:val="00E60A4A"/>
    <w:rsid w:val="00E61731"/>
    <w:rsid w:val="00E61C80"/>
    <w:rsid w:val="00E62221"/>
    <w:rsid w:val="00E6316A"/>
    <w:rsid w:val="00E63484"/>
    <w:rsid w:val="00E63844"/>
    <w:rsid w:val="00E63C46"/>
    <w:rsid w:val="00E65282"/>
    <w:rsid w:val="00E67F18"/>
    <w:rsid w:val="00E70468"/>
    <w:rsid w:val="00E7188E"/>
    <w:rsid w:val="00E733F5"/>
    <w:rsid w:val="00E75167"/>
    <w:rsid w:val="00E751A7"/>
    <w:rsid w:val="00E7597D"/>
    <w:rsid w:val="00E768E9"/>
    <w:rsid w:val="00E802E3"/>
    <w:rsid w:val="00E80FE5"/>
    <w:rsid w:val="00E810BE"/>
    <w:rsid w:val="00E81655"/>
    <w:rsid w:val="00E81ADE"/>
    <w:rsid w:val="00E82865"/>
    <w:rsid w:val="00E82FB4"/>
    <w:rsid w:val="00E84AD5"/>
    <w:rsid w:val="00E85307"/>
    <w:rsid w:val="00E86096"/>
    <w:rsid w:val="00E86480"/>
    <w:rsid w:val="00E86976"/>
    <w:rsid w:val="00E86AEC"/>
    <w:rsid w:val="00E86E6F"/>
    <w:rsid w:val="00E87659"/>
    <w:rsid w:val="00E90FC6"/>
    <w:rsid w:val="00E9125D"/>
    <w:rsid w:val="00E915CA"/>
    <w:rsid w:val="00E915EE"/>
    <w:rsid w:val="00E92306"/>
    <w:rsid w:val="00E9345A"/>
    <w:rsid w:val="00E93AB1"/>
    <w:rsid w:val="00E94100"/>
    <w:rsid w:val="00E942BA"/>
    <w:rsid w:val="00E960CD"/>
    <w:rsid w:val="00E9774A"/>
    <w:rsid w:val="00EA157D"/>
    <w:rsid w:val="00EA1D2C"/>
    <w:rsid w:val="00EA2A46"/>
    <w:rsid w:val="00EA33A8"/>
    <w:rsid w:val="00EA3EEA"/>
    <w:rsid w:val="00EA4255"/>
    <w:rsid w:val="00EA4612"/>
    <w:rsid w:val="00EA486D"/>
    <w:rsid w:val="00EB0B9F"/>
    <w:rsid w:val="00EB1DEE"/>
    <w:rsid w:val="00EB1EF3"/>
    <w:rsid w:val="00EB2C54"/>
    <w:rsid w:val="00EB381C"/>
    <w:rsid w:val="00EB3982"/>
    <w:rsid w:val="00EB531C"/>
    <w:rsid w:val="00EB579D"/>
    <w:rsid w:val="00EB6361"/>
    <w:rsid w:val="00EB67F2"/>
    <w:rsid w:val="00EB6927"/>
    <w:rsid w:val="00EB7095"/>
    <w:rsid w:val="00EB76AB"/>
    <w:rsid w:val="00EC0848"/>
    <w:rsid w:val="00EC13E2"/>
    <w:rsid w:val="00EC32B4"/>
    <w:rsid w:val="00EC3F18"/>
    <w:rsid w:val="00EC6965"/>
    <w:rsid w:val="00ED1441"/>
    <w:rsid w:val="00ED18E5"/>
    <w:rsid w:val="00ED2B42"/>
    <w:rsid w:val="00ED3F98"/>
    <w:rsid w:val="00ED5686"/>
    <w:rsid w:val="00ED5A49"/>
    <w:rsid w:val="00ED655A"/>
    <w:rsid w:val="00EE01FB"/>
    <w:rsid w:val="00EE1B34"/>
    <w:rsid w:val="00EE2B43"/>
    <w:rsid w:val="00EE30B2"/>
    <w:rsid w:val="00EE3262"/>
    <w:rsid w:val="00EE3EC3"/>
    <w:rsid w:val="00EE4448"/>
    <w:rsid w:val="00EE5268"/>
    <w:rsid w:val="00EE6388"/>
    <w:rsid w:val="00EE6A42"/>
    <w:rsid w:val="00EE6ADB"/>
    <w:rsid w:val="00EE7077"/>
    <w:rsid w:val="00EE78B3"/>
    <w:rsid w:val="00EE7AAF"/>
    <w:rsid w:val="00EF1922"/>
    <w:rsid w:val="00EF330D"/>
    <w:rsid w:val="00EF35A1"/>
    <w:rsid w:val="00EF3771"/>
    <w:rsid w:val="00EF3C72"/>
    <w:rsid w:val="00EF4B42"/>
    <w:rsid w:val="00EF4FF1"/>
    <w:rsid w:val="00EF5125"/>
    <w:rsid w:val="00EF715D"/>
    <w:rsid w:val="00EF7AC6"/>
    <w:rsid w:val="00F00FB6"/>
    <w:rsid w:val="00F01D67"/>
    <w:rsid w:val="00F01FD0"/>
    <w:rsid w:val="00F02051"/>
    <w:rsid w:val="00F02722"/>
    <w:rsid w:val="00F02A26"/>
    <w:rsid w:val="00F02A79"/>
    <w:rsid w:val="00F02F3E"/>
    <w:rsid w:val="00F0323C"/>
    <w:rsid w:val="00F03E48"/>
    <w:rsid w:val="00F04B78"/>
    <w:rsid w:val="00F060E4"/>
    <w:rsid w:val="00F061C1"/>
    <w:rsid w:val="00F0625E"/>
    <w:rsid w:val="00F067F2"/>
    <w:rsid w:val="00F06C28"/>
    <w:rsid w:val="00F06FEA"/>
    <w:rsid w:val="00F07E02"/>
    <w:rsid w:val="00F1002A"/>
    <w:rsid w:val="00F10031"/>
    <w:rsid w:val="00F1003D"/>
    <w:rsid w:val="00F10B77"/>
    <w:rsid w:val="00F10C9F"/>
    <w:rsid w:val="00F10D17"/>
    <w:rsid w:val="00F1226D"/>
    <w:rsid w:val="00F1297E"/>
    <w:rsid w:val="00F129C2"/>
    <w:rsid w:val="00F13309"/>
    <w:rsid w:val="00F1331A"/>
    <w:rsid w:val="00F13C9A"/>
    <w:rsid w:val="00F14561"/>
    <w:rsid w:val="00F14F90"/>
    <w:rsid w:val="00F15565"/>
    <w:rsid w:val="00F1618F"/>
    <w:rsid w:val="00F16F15"/>
    <w:rsid w:val="00F205AA"/>
    <w:rsid w:val="00F20CE3"/>
    <w:rsid w:val="00F2226A"/>
    <w:rsid w:val="00F22C68"/>
    <w:rsid w:val="00F23E76"/>
    <w:rsid w:val="00F24F28"/>
    <w:rsid w:val="00F266DF"/>
    <w:rsid w:val="00F2689D"/>
    <w:rsid w:val="00F26E28"/>
    <w:rsid w:val="00F27D02"/>
    <w:rsid w:val="00F30541"/>
    <w:rsid w:val="00F31C82"/>
    <w:rsid w:val="00F32226"/>
    <w:rsid w:val="00F32A15"/>
    <w:rsid w:val="00F32E4C"/>
    <w:rsid w:val="00F33912"/>
    <w:rsid w:val="00F34707"/>
    <w:rsid w:val="00F34A62"/>
    <w:rsid w:val="00F34D92"/>
    <w:rsid w:val="00F35066"/>
    <w:rsid w:val="00F35321"/>
    <w:rsid w:val="00F35A47"/>
    <w:rsid w:val="00F35B7E"/>
    <w:rsid w:val="00F3774C"/>
    <w:rsid w:val="00F37CFE"/>
    <w:rsid w:val="00F40156"/>
    <w:rsid w:val="00F40BDD"/>
    <w:rsid w:val="00F40F0F"/>
    <w:rsid w:val="00F4150E"/>
    <w:rsid w:val="00F42097"/>
    <w:rsid w:val="00F422F0"/>
    <w:rsid w:val="00F42A2F"/>
    <w:rsid w:val="00F444F9"/>
    <w:rsid w:val="00F45141"/>
    <w:rsid w:val="00F47101"/>
    <w:rsid w:val="00F47B86"/>
    <w:rsid w:val="00F50305"/>
    <w:rsid w:val="00F515C3"/>
    <w:rsid w:val="00F519F4"/>
    <w:rsid w:val="00F55906"/>
    <w:rsid w:val="00F55F42"/>
    <w:rsid w:val="00F5680D"/>
    <w:rsid w:val="00F568A6"/>
    <w:rsid w:val="00F56D12"/>
    <w:rsid w:val="00F574E0"/>
    <w:rsid w:val="00F57A17"/>
    <w:rsid w:val="00F6116A"/>
    <w:rsid w:val="00F61253"/>
    <w:rsid w:val="00F61FF3"/>
    <w:rsid w:val="00F62B0D"/>
    <w:rsid w:val="00F6396C"/>
    <w:rsid w:val="00F64630"/>
    <w:rsid w:val="00F64B46"/>
    <w:rsid w:val="00F656E0"/>
    <w:rsid w:val="00F7124D"/>
    <w:rsid w:val="00F7242D"/>
    <w:rsid w:val="00F72836"/>
    <w:rsid w:val="00F72D6C"/>
    <w:rsid w:val="00F72D7C"/>
    <w:rsid w:val="00F72F58"/>
    <w:rsid w:val="00F7324D"/>
    <w:rsid w:val="00F73852"/>
    <w:rsid w:val="00F74918"/>
    <w:rsid w:val="00F7509B"/>
    <w:rsid w:val="00F758E8"/>
    <w:rsid w:val="00F762B0"/>
    <w:rsid w:val="00F763E6"/>
    <w:rsid w:val="00F76629"/>
    <w:rsid w:val="00F76F5D"/>
    <w:rsid w:val="00F770E1"/>
    <w:rsid w:val="00F77943"/>
    <w:rsid w:val="00F800A2"/>
    <w:rsid w:val="00F8106B"/>
    <w:rsid w:val="00F821C3"/>
    <w:rsid w:val="00F82600"/>
    <w:rsid w:val="00F82B3B"/>
    <w:rsid w:val="00F8396B"/>
    <w:rsid w:val="00F84011"/>
    <w:rsid w:val="00F845D9"/>
    <w:rsid w:val="00F8492B"/>
    <w:rsid w:val="00F85D8A"/>
    <w:rsid w:val="00F86AAD"/>
    <w:rsid w:val="00F87331"/>
    <w:rsid w:val="00F90670"/>
    <w:rsid w:val="00F9142A"/>
    <w:rsid w:val="00F91460"/>
    <w:rsid w:val="00F92208"/>
    <w:rsid w:val="00F9351E"/>
    <w:rsid w:val="00F93D50"/>
    <w:rsid w:val="00F94B81"/>
    <w:rsid w:val="00F94F09"/>
    <w:rsid w:val="00F95F80"/>
    <w:rsid w:val="00F962DC"/>
    <w:rsid w:val="00F97A14"/>
    <w:rsid w:val="00FA11D0"/>
    <w:rsid w:val="00FA250B"/>
    <w:rsid w:val="00FA2BD3"/>
    <w:rsid w:val="00FA4733"/>
    <w:rsid w:val="00FA4821"/>
    <w:rsid w:val="00FA556B"/>
    <w:rsid w:val="00FA5DF7"/>
    <w:rsid w:val="00FA6150"/>
    <w:rsid w:val="00FA6590"/>
    <w:rsid w:val="00FA691B"/>
    <w:rsid w:val="00FB05AD"/>
    <w:rsid w:val="00FB0ABD"/>
    <w:rsid w:val="00FB0FD4"/>
    <w:rsid w:val="00FB15D8"/>
    <w:rsid w:val="00FB1C35"/>
    <w:rsid w:val="00FB1D27"/>
    <w:rsid w:val="00FB1FA7"/>
    <w:rsid w:val="00FB2227"/>
    <w:rsid w:val="00FB2400"/>
    <w:rsid w:val="00FB441A"/>
    <w:rsid w:val="00FB4607"/>
    <w:rsid w:val="00FB5441"/>
    <w:rsid w:val="00FB6C4A"/>
    <w:rsid w:val="00FB6E3B"/>
    <w:rsid w:val="00FB7297"/>
    <w:rsid w:val="00FB7DEE"/>
    <w:rsid w:val="00FC083C"/>
    <w:rsid w:val="00FC09E0"/>
    <w:rsid w:val="00FC13AA"/>
    <w:rsid w:val="00FC16E9"/>
    <w:rsid w:val="00FC190D"/>
    <w:rsid w:val="00FC1DF3"/>
    <w:rsid w:val="00FC2164"/>
    <w:rsid w:val="00FC2914"/>
    <w:rsid w:val="00FC2A81"/>
    <w:rsid w:val="00FC3349"/>
    <w:rsid w:val="00FC3E2F"/>
    <w:rsid w:val="00FC4407"/>
    <w:rsid w:val="00FC466C"/>
    <w:rsid w:val="00FC6431"/>
    <w:rsid w:val="00FC6DDD"/>
    <w:rsid w:val="00FD04C2"/>
    <w:rsid w:val="00FD0976"/>
    <w:rsid w:val="00FD1132"/>
    <w:rsid w:val="00FD1712"/>
    <w:rsid w:val="00FD2716"/>
    <w:rsid w:val="00FD3C6E"/>
    <w:rsid w:val="00FD4ABA"/>
    <w:rsid w:val="00FD4FAB"/>
    <w:rsid w:val="00FD523B"/>
    <w:rsid w:val="00FD595B"/>
    <w:rsid w:val="00FD5C1C"/>
    <w:rsid w:val="00FD7108"/>
    <w:rsid w:val="00FD731D"/>
    <w:rsid w:val="00FE1F84"/>
    <w:rsid w:val="00FE3422"/>
    <w:rsid w:val="00FE4A05"/>
    <w:rsid w:val="00FE4DAB"/>
    <w:rsid w:val="00FE6500"/>
    <w:rsid w:val="00FE6A6D"/>
    <w:rsid w:val="00FE7072"/>
    <w:rsid w:val="00FE7D5E"/>
    <w:rsid w:val="00FF1225"/>
    <w:rsid w:val="00FF12C4"/>
    <w:rsid w:val="00FF1F51"/>
    <w:rsid w:val="00FF228F"/>
    <w:rsid w:val="00FF3215"/>
    <w:rsid w:val="00FF3586"/>
    <w:rsid w:val="00FF3BC8"/>
    <w:rsid w:val="00FF410D"/>
    <w:rsid w:val="00FF4569"/>
    <w:rsid w:val="00FF45D8"/>
    <w:rsid w:val="00FF4A66"/>
    <w:rsid w:val="00FF66CC"/>
    <w:rsid w:val="00FF68BC"/>
    <w:rsid w:val="00FF6D12"/>
    <w:rsid w:val="00FF7E18"/>
    <w:rsid w:val="00FF7E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31E86"/>
  <w15:chartTrackingRefBased/>
  <w15:docId w15:val="{C6C3494E-745E-5145-A9BD-AE9E81BF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venir" w:eastAsiaTheme="minorHAnsi" w:hAnsi="Avenir" w:cs="Times New Roman (Body CS)"/>
        <w:color w:val="000000" w:themeColor="text1"/>
        <w:lang w:val="en-US"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8" w:unhideWhenUsed="1"/>
    <w:lsdException w:name="toc 2" w:semiHidden="1" w:uiPriority="38" w:unhideWhenUsed="1"/>
    <w:lsdException w:name="toc 3" w:semiHidden="1" w:uiPriority="38" w:unhideWhenUsed="1"/>
    <w:lsdException w:name="toc 4" w:semiHidden="1" w:uiPriority="38" w:unhideWhenUsed="1"/>
    <w:lsdException w:name="toc 5" w:semiHidden="1" w:uiPriority="38" w:unhideWhenUsed="1"/>
    <w:lsdException w:name="toc 6" w:semiHidden="1" w:uiPriority="38" w:unhideWhenUsed="1"/>
    <w:lsdException w:name="toc 7" w:semiHidden="1" w:uiPriority="38" w:unhideWhenUsed="1"/>
    <w:lsdException w:name="toc 8" w:semiHidden="1" w:uiPriority="38" w:unhideWhenUsed="1"/>
    <w:lsdException w:name="toc 9" w:semiHidden="1" w:uiPriority="38"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37" w:unhideWhenUsed="1"/>
    <w:lsdException w:name="FollowedHyperlink" w:semiHidden="1" w:uiPriority="37"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FF4569"/>
    <w:rPr>
      <w:rFonts w:eastAsiaTheme="minorEastAsia"/>
      <w:sz w:val="22"/>
    </w:rPr>
  </w:style>
  <w:style w:type="paragraph" w:styleId="Heading1">
    <w:name w:val="heading 1"/>
    <w:basedOn w:val="SecHeadNonToc"/>
    <w:next w:val="Normal"/>
    <w:link w:val="Heading1Char"/>
    <w:autoRedefine/>
    <w:uiPriority w:val="3"/>
    <w:qFormat/>
    <w:rsid w:val="003E2BDA"/>
    <w:pPr>
      <w:numPr>
        <w:numId w:val="16"/>
      </w:numPr>
      <w:outlineLvl w:val="0"/>
    </w:pPr>
    <w:rPr>
      <w:rFonts w:ascii="Arial" w:hAnsi="Arial"/>
      <w:caps/>
      <w:sz w:val="20"/>
    </w:rPr>
  </w:style>
  <w:style w:type="paragraph" w:styleId="Heading2">
    <w:name w:val="heading 2"/>
    <w:basedOn w:val="SubHead"/>
    <w:next w:val="Normal"/>
    <w:link w:val="Heading2Char"/>
    <w:autoRedefine/>
    <w:uiPriority w:val="3"/>
    <w:qFormat/>
    <w:rsid w:val="003E2BDA"/>
    <w:pPr>
      <w:numPr>
        <w:ilvl w:val="1"/>
        <w:numId w:val="16"/>
      </w:numPr>
      <w:outlineLvl w:val="1"/>
    </w:pPr>
    <w:rPr>
      <w:sz w:val="18"/>
    </w:rPr>
  </w:style>
  <w:style w:type="paragraph" w:styleId="Heading3">
    <w:name w:val="heading 3"/>
    <w:basedOn w:val="SubHead"/>
    <w:next w:val="Normal"/>
    <w:link w:val="Heading3Char"/>
    <w:autoRedefine/>
    <w:uiPriority w:val="4"/>
    <w:qFormat/>
    <w:rsid w:val="003E2BDA"/>
    <w:pPr>
      <w:numPr>
        <w:ilvl w:val="2"/>
        <w:numId w:val="16"/>
      </w:numPr>
      <w:outlineLvl w:val="2"/>
    </w:pPr>
    <w:rPr>
      <w:b w:val="0"/>
      <w:caps/>
      <w:sz w:val="22"/>
    </w:rPr>
  </w:style>
  <w:style w:type="paragraph" w:styleId="Heading4">
    <w:name w:val="heading 4"/>
    <w:aliases w:val="~Level4Heading"/>
    <w:basedOn w:val="SubHead"/>
    <w:next w:val="Normal"/>
    <w:link w:val="Heading4Char"/>
    <w:uiPriority w:val="5"/>
    <w:semiHidden/>
    <w:qFormat/>
    <w:rsid w:val="003E2BDA"/>
    <w:pPr>
      <w:spacing w:after="0"/>
      <w:outlineLvl w:val="3"/>
    </w:pPr>
    <w:rPr>
      <w:b w:val="0"/>
    </w:rPr>
  </w:style>
  <w:style w:type="paragraph" w:styleId="Heading5">
    <w:name w:val="heading 5"/>
    <w:basedOn w:val="SubHead"/>
    <w:next w:val="Normal"/>
    <w:link w:val="Heading5Char"/>
    <w:uiPriority w:val="5"/>
    <w:semiHidden/>
    <w:rsid w:val="003E2BDA"/>
    <w:pPr>
      <w:keepLines/>
      <w:spacing w:after="0"/>
      <w:outlineLvl w:val="4"/>
    </w:pPr>
    <w:rPr>
      <w:rFonts w:eastAsiaTheme="majorEastAsia" w:cstheme="majorBidi"/>
      <w:b w:val="0"/>
    </w:rPr>
  </w:style>
  <w:style w:type="paragraph" w:styleId="Heading6">
    <w:name w:val="heading 6"/>
    <w:basedOn w:val="SubHead"/>
    <w:next w:val="Normal"/>
    <w:link w:val="Heading6Char"/>
    <w:uiPriority w:val="5"/>
    <w:semiHidden/>
    <w:rsid w:val="003E2BDA"/>
    <w:pPr>
      <w:keepLines/>
      <w:spacing w:after="0"/>
      <w:outlineLvl w:val="5"/>
    </w:pPr>
    <w:rPr>
      <w:rFonts w:eastAsiaTheme="majorEastAsia" w:cstheme="majorBidi"/>
      <w:b w:val="0"/>
      <w:i/>
      <w:iCs/>
    </w:rPr>
  </w:style>
  <w:style w:type="paragraph" w:styleId="Heading7">
    <w:name w:val="heading 7"/>
    <w:basedOn w:val="SubHead"/>
    <w:next w:val="Normal"/>
    <w:link w:val="Heading7Char"/>
    <w:uiPriority w:val="5"/>
    <w:semiHidden/>
    <w:rsid w:val="003E2BDA"/>
    <w:pPr>
      <w:keepLines/>
      <w:spacing w:after="0"/>
      <w:outlineLvl w:val="6"/>
    </w:pPr>
    <w:rPr>
      <w:rFonts w:eastAsiaTheme="majorEastAsia" w:cstheme="majorBidi"/>
      <w:b w:val="0"/>
      <w:iCs/>
    </w:rPr>
  </w:style>
  <w:style w:type="paragraph" w:styleId="Heading8">
    <w:name w:val="heading 8"/>
    <w:basedOn w:val="Normal"/>
    <w:next w:val="Normal"/>
    <w:link w:val="Heading8Char"/>
    <w:uiPriority w:val="5"/>
    <w:semiHidden/>
    <w:rsid w:val="003E2BDA"/>
    <w:pPr>
      <w:keepNext/>
      <w:keepLines/>
      <w:spacing w:before="240"/>
      <w:outlineLvl w:val="7"/>
    </w:pPr>
    <w:rPr>
      <w:rFonts w:asciiTheme="majorHAnsi" w:eastAsiaTheme="majorEastAsia" w:hAnsiTheme="majorHAnsi" w:cstheme="majorBidi"/>
    </w:rPr>
  </w:style>
  <w:style w:type="paragraph" w:styleId="Heading9">
    <w:name w:val="heading 9"/>
    <w:basedOn w:val="Normal"/>
    <w:next w:val="Normal"/>
    <w:link w:val="Heading9Char"/>
    <w:uiPriority w:val="5"/>
    <w:semiHidden/>
    <w:rsid w:val="003E2BDA"/>
    <w:pPr>
      <w:keepNext/>
      <w:keepLines/>
      <w:spacing w:before="24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BodyTextNum">
    <w:name w:val="~AppBodyTextNum"/>
    <w:basedOn w:val="Normal"/>
    <w:uiPriority w:val="28"/>
    <w:semiHidden/>
    <w:rsid w:val="003E2BDA"/>
  </w:style>
  <w:style w:type="paragraph" w:styleId="NoSpacing">
    <w:name w:val="No Spacing"/>
    <w:aliases w:val="~BaseStyle"/>
    <w:link w:val="NoSpacingChar"/>
    <w:uiPriority w:val="33"/>
    <w:rsid w:val="003E2BDA"/>
    <w:rPr>
      <w:rFonts w:cs="Arial"/>
      <w:lang w:val="en-GB"/>
    </w:rPr>
  </w:style>
  <w:style w:type="character" w:customStyle="1" w:styleId="NoSpacingChar">
    <w:name w:val="No Spacing Char"/>
    <w:aliases w:val="~BaseStyle Char"/>
    <w:basedOn w:val="DefaultParagraphFont"/>
    <w:link w:val="NoSpacing"/>
    <w:uiPriority w:val="33"/>
    <w:rsid w:val="003E2BDA"/>
    <w:rPr>
      <w:rFonts w:cs="Arial"/>
      <w:color w:val="000000" w:themeColor="text1"/>
      <w:sz w:val="20"/>
      <w:szCs w:val="20"/>
      <w:lang w:val="en-GB"/>
    </w:rPr>
  </w:style>
  <w:style w:type="paragraph" w:customStyle="1" w:styleId="SecHeadNonToc">
    <w:name w:val="~SecHeadNonToc"/>
    <w:basedOn w:val="NoSpacing"/>
    <w:next w:val="Normal"/>
    <w:uiPriority w:val="27"/>
    <w:semiHidden/>
    <w:qFormat/>
    <w:rsid w:val="003E2BDA"/>
    <w:pPr>
      <w:keepNext/>
      <w:spacing w:before="480" w:after="180"/>
    </w:pPr>
    <w:rPr>
      <w:rFonts w:asciiTheme="majorHAnsi" w:hAnsiTheme="majorHAnsi"/>
      <w:b/>
      <w:color w:val="4472C4" w:themeColor="accent1"/>
      <w:sz w:val="28"/>
    </w:rPr>
  </w:style>
  <w:style w:type="paragraph" w:customStyle="1" w:styleId="AppendixDivider">
    <w:name w:val="~AppendixDivider"/>
    <w:basedOn w:val="SecHeadNonToc"/>
    <w:next w:val="Normal"/>
    <w:uiPriority w:val="6"/>
    <w:semiHidden/>
    <w:rsid w:val="003E2BDA"/>
    <w:pPr>
      <w:outlineLvl w:val="0"/>
    </w:pPr>
  </w:style>
  <w:style w:type="paragraph" w:customStyle="1" w:styleId="AppHead">
    <w:name w:val="~AppHead"/>
    <w:basedOn w:val="SecHeadNonToc"/>
    <w:next w:val="Normal"/>
    <w:uiPriority w:val="7"/>
    <w:semiHidden/>
    <w:qFormat/>
    <w:rsid w:val="003E2BDA"/>
    <w:pPr>
      <w:numPr>
        <w:numId w:val="3"/>
      </w:numPr>
      <w:spacing w:before="240"/>
      <w:outlineLvl w:val="0"/>
    </w:pPr>
  </w:style>
  <w:style w:type="paragraph" w:customStyle="1" w:styleId="AppMinorSubHead">
    <w:name w:val="~AppMinorSubHead"/>
    <w:basedOn w:val="SecHeadNonToc"/>
    <w:next w:val="Normal"/>
    <w:uiPriority w:val="9"/>
    <w:semiHidden/>
    <w:qFormat/>
    <w:rsid w:val="003E2BDA"/>
    <w:pPr>
      <w:numPr>
        <w:ilvl w:val="2"/>
        <w:numId w:val="3"/>
      </w:numPr>
      <w:ind w:left="2160" w:hanging="360"/>
      <w:outlineLvl w:val="2"/>
    </w:pPr>
    <w:rPr>
      <w:i/>
    </w:rPr>
  </w:style>
  <w:style w:type="paragraph" w:customStyle="1" w:styleId="AppSubHead">
    <w:name w:val="~AppSubHead"/>
    <w:basedOn w:val="SecHeadNonToc"/>
    <w:next w:val="Normal"/>
    <w:uiPriority w:val="8"/>
    <w:semiHidden/>
    <w:qFormat/>
    <w:rsid w:val="003E2BDA"/>
    <w:pPr>
      <w:numPr>
        <w:ilvl w:val="1"/>
        <w:numId w:val="3"/>
      </w:numPr>
      <w:outlineLvl w:val="1"/>
    </w:pPr>
  </w:style>
  <w:style w:type="paragraph" w:customStyle="1" w:styleId="BodyHeading">
    <w:name w:val="~BodyHeading"/>
    <w:basedOn w:val="Normal"/>
    <w:next w:val="Normal"/>
    <w:uiPriority w:val="27"/>
    <w:rsid w:val="003E2BDA"/>
    <w:pPr>
      <w:keepNext/>
    </w:pPr>
    <w:rPr>
      <w:b/>
    </w:rPr>
  </w:style>
  <w:style w:type="paragraph" w:customStyle="1" w:styleId="BodyTextNum">
    <w:name w:val="~BodyTextNum"/>
    <w:basedOn w:val="Normal"/>
    <w:uiPriority w:val="28"/>
    <w:semiHidden/>
    <w:rsid w:val="003E2BDA"/>
  </w:style>
  <w:style w:type="paragraph" w:customStyle="1" w:styleId="Bullet1">
    <w:name w:val="~Bullet1"/>
    <w:basedOn w:val="Normal"/>
    <w:link w:val="Bullet1Char"/>
    <w:rsid w:val="003E2BDA"/>
    <w:pPr>
      <w:numPr>
        <w:numId w:val="6"/>
      </w:numPr>
      <w:spacing w:before="60" w:after="60"/>
    </w:pPr>
    <w:rPr>
      <w:rFonts w:eastAsia="Calibri"/>
    </w:rPr>
  </w:style>
  <w:style w:type="character" w:customStyle="1" w:styleId="Bullet1Char">
    <w:name w:val="~Bullet1 Char"/>
    <w:basedOn w:val="DefaultParagraphFont"/>
    <w:link w:val="Bullet1"/>
    <w:rsid w:val="003E2BDA"/>
    <w:rPr>
      <w:rFonts w:eastAsia="Calibri"/>
      <w:color w:val="000000" w:themeColor="text1"/>
      <w:sz w:val="20"/>
      <w:szCs w:val="20"/>
      <w:lang w:val="en-GB" w:eastAsia="zh-CN"/>
    </w:rPr>
  </w:style>
  <w:style w:type="paragraph" w:customStyle="1" w:styleId="Bullet2">
    <w:name w:val="~Bullet2"/>
    <w:basedOn w:val="Normal"/>
    <w:rsid w:val="003E2BDA"/>
    <w:pPr>
      <w:numPr>
        <w:ilvl w:val="1"/>
        <w:numId w:val="6"/>
      </w:numPr>
      <w:spacing w:before="60" w:after="60"/>
    </w:pPr>
  </w:style>
  <w:style w:type="paragraph" w:customStyle="1" w:styleId="Bullet3">
    <w:name w:val="~Bullet3"/>
    <w:basedOn w:val="Normal"/>
    <w:rsid w:val="003E2BDA"/>
    <w:pPr>
      <w:numPr>
        <w:ilvl w:val="2"/>
        <w:numId w:val="6"/>
      </w:numPr>
      <w:spacing w:before="60" w:after="60"/>
    </w:pPr>
  </w:style>
  <w:style w:type="paragraph" w:styleId="Caption">
    <w:name w:val="caption"/>
    <w:aliases w:val="Caption and sources"/>
    <w:basedOn w:val="BodyHeading"/>
    <w:next w:val="Normal"/>
    <w:link w:val="CaptionChar"/>
    <w:autoRedefine/>
    <w:uiPriority w:val="6"/>
    <w:qFormat/>
    <w:rsid w:val="003E2BDA"/>
    <w:pPr>
      <w:spacing w:after="60"/>
    </w:pPr>
    <w:rPr>
      <w:rFonts w:eastAsia="Calibri"/>
      <w:b w:val="0"/>
      <w:color w:val="auto"/>
      <w:sz w:val="16"/>
    </w:rPr>
  </w:style>
  <w:style w:type="character" w:customStyle="1" w:styleId="CaptionChar">
    <w:name w:val="Caption Char"/>
    <w:aliases w:val="Caption and sources Char"/>
    <w:basedOn w:val="DefaultParagraphFont"/>
    <w:link w:val="Caption"/>
    <w:uiPriority w:val="6"/>
    <w:rsid w:val="003E2BDA"/>
    <w:rPr>
      <w:rFonts w:eastAsia="Calibri"/>
      <w:sz w:val="16"/>
      <w:szCs w:val="20"/>
      <w:lang w:val="en-GB" w:eastAsia="zh-CN"/>
    </w:rPr>
  </w:style>
  <w:style w:type="paragraph" w:customStyle="1" w:styleId="CaptionWide">
    <w:name w:val="~CaptionWide"/>
    <w:basedOn w:val="Caption"/>
    <w:next w:val="Normal"/>
    <w:uiPriority w:val="30"/>
    <w:semiHidden/>
    <w:qFormat/>
    <w:rsid w:val="003E2BDA"/>
    <w:pPr>
      <w:ind w:left="-2552"/>
    </w:pPr>
    <w:rPr>
      <w:bCs/>
    </w:rPr>
  </w:style>
  <w:style w:type="paragraph" w:customStyle="1" w:styleId="Confidential">
    <w:name w:val="~Confidential"/>
    <w:basedOn w:val="NoSpacing"/>
    <w:uiPriority w:val="34"/>
    <w:semiHidden/>
    <w:rsid w:val="003E2BDA"/>
  </w:style>
  <w:style w:type="paragraph" w:customStyle="1" w:styleId="DocAuthor">
    <w:name w:val="~DocAuthor"/>
    <w:basedOn w:val="NoSpacing"/>
    <w:uiPriority w:val="34"/>
    <w:semiHidden/>
    <w:rsid w:val="003E2BDA"/>
    <w:pPr>
      <w:spacing w:before="120" w:after="120"/>
    </w:pPr>
    <w:rPr>
      <w:color w:val="44546A" w:themeColor="text2"/>
    </w:rPr>
  </w:style>
  <w:style w:type="paragraph" w:customStyle="1" w:styleId="DocDate">
    <w:name w:val="~DocDate"/>
    <w:basedOn w:val="NoSpacing"/>
    <w:uiPriority w:val="34"/>
    <w:semiHidden/>
    <w:rsid w:val="003E2BDA"/>
    <w:pPr>
      <w:spacing w:before="120" w:after="120"/>
    </w:pPr>
    <w:rPr>
      <w:color w:val="44546A" w:themeColor="text2"/>
    </w:rPr>
  </w:style>
  <w:style w:type="paragraph" w:customStyle="1" w:styleId="DocSubTitle">
    <w:name w:val="~DocSubTitle"/>
    <w:basedOn w:val="NoSpacing"/>
    <w:uiPriority w:val="34"/>
    <w:semiHidden/>
    <w:rsid w:val="003E2BDA"/>
  </w:style>
  <w:style w:type="paragraph" w:customStyle="1" w:styleId="DocTitle">
    <w:name w:val="~DocTitle"/>
    <w:basedOn w:val="NoSpacing"/>
    <w:link w:val="DocTitleChar"/>
    <w:uiPriority w:val="34"/>
    <w:semiHidden/>
    <w:rsid w:val="003E2BDA"/>
    <w:pPr>
      <w:spacing w:before="200"/>
    </w:pPr>
    <w:rPr>
      <w:b/>
      <w:color w:val="4472C4" w:themeColor="accent1"/>
      <w:sz w:val="28"/>
    </w:rPr>
  </w:style>
  <w:style w:type="character" w:customStyle="1" w:styleId="DocTitleChar">
    <w:name w:val="~DocTitle Char"/>
    <w:basedOn w:val="NoSpacingChar"/>
    <w:link w:val="DocTitle"/>
    <w:uiPriority w:val="34"/>
    <w:semiHidden/>
    <w:rsid w:val="003E2BDA"/>
    <w:rPr>
      <w:rFonts w:cs="Arial"/>
      <w:b/>
      <w:color w:val="4472C4" w:themeColor="accent1"/>
      <w:sz w:val="28"/>
      <w:szCs w:val="20"/>
      <w:lang w:val="en-GB"/>
    </w:rPr>
  </w:style>
  <w:style w:type="paragraph" w:customStyle="1" w:styleId="DocType">
    <w:name w:val="~DocType"/>
    <w:basedOn w:val="NoSpacing"/>
    <w:uiPriority w:val="34"/>
    <w:semiHidden/>
    <w:rsid w:val="003E2BDA"/>
  </w:style>
  <w:style w:type="paragraph" w:customStyle="1" w:styleId="Draft">
    <w:name w:val="~Draft"/>
    <w:basedOn w:val="NoSpacing"/>
    <w:uiPriority w:val="34"/>
    <w:semiHidden/>
    <w:rsid w:val="003E2BDA"/>
  </w:style>
  <w:style w:type="paragraph" w:customStyle="1" w:styleId="GraphicLeft">
    <w:name w:val="~GraphicLeft"/>
    <w:basedOn w:val="NoSpacing"/>
    <w:uiPriority w:val="33"/>
    <w:rsid w:val="003E2BDA"/>
  </w:style>
  <w:style w:type="paragraph" w:customStyle="1" w:styleId="GraphicCentre">
    <w:name w:val="~GraphicCentre"/>
    <w:basedOn w:val="GraphicLeft"/>
    <w:uiPriority w:val="33"/>
    <w:rsid w:val="003E2BDA"/>
    <w:pPr>
      <w:jc w:val="center"/>
    </w:pPr>
  </w:style>
  <w:style w:type="paragraph" w:customStyle="1" w:styleId="GraphicRight">
    <w:name w:val="~GraphicRight"/>
    <w:basedOn w:val="GraphicLeft"/>
    <w:uiPriority w:val="33"/>
    <w:rsid w:val="003E2BDA"/>
    <w:pPr>
      <w:jc w:val="right"/>
    </w:pPr>
  </w:style>
  <w:style w:type="paragraph" w:customStyle="1" w:styleId="Hidden">
    <w:name w:val="~Hidden"/>
    <w:basedOn w:val="NoSpacing"/>
    <w:uiPriority w:val="33"/>
    <w:semiHidden/>
    <w:rsid w:val="003E2BDA"/>
    <w:pPr>
      <w:framePr w:wrap="around" w:vAnchor="page" w:hAnchor="page" w:xAlign="right" w:yAlign="bottom"/>
    </w:pPr>
    <w:rPr>
      <w:color w:val="C00000"/>
    </w:rPr>
  </w:style>
  <w:style w:type="paragraph" w:customStyle="1" w:styleId="IntroText">
    <w:name w:val="~IntroText"/>
    <w:basedOn w:val="Normal"/>
    <w:next w:val="Normal"/>
    <w:uiPriority w:val="28"/>
    <w:semiHidden/>
    <w:qFormat/>
    <w:rsid w:val="003E2BDA"/>
    <w:pPr>
      <w:spacing w:before="120"/>
    </w:pPr>
    <w:rPr>
      <w:sz w:val="24"/>
    </w:rPr>
  </w:style>
  <w:style w:type="paragraph" w:customStyle="1" w:styleId="KeyMsgGreyBoxText">
    <w:name w:val="~KeyMsg(Grey)BoxText"/>
    <w:basedOn w:val="Normal"/>
    <w:uiPriority w:val="32"/>
    <w:rsid w:val="003E2BDA"/>
    <w:pPr>
      <w:spacing w:before="120" w:after="120"/>
      <w:ind w:left="142" w:right="142"/>
    </w:pPr>
    <w:rPr>
      <w:sz w:val="24"/>
    </w:rPr>
  </w:style>
  <w:style w:type="paragraph" w:customStyle="1" w:styleId="KeyMsgOutlineBoxText">
    <w:name w:val="~KeyMsg(Outline)BoxText"/>
    <w:basedOn w:val="Normal"/>
    <w:link w:val="KeyMsgOutlineBoxTextChar"/>
    <w:uiPriority w:val="32"/>
    <w:rsid w:val="003E2BDA"/>
    <w:pPr>
      <w:keepNext/>
      <w:spacing w:before="120" w:after="120"/>
    </w:pPr>
    <w:rPr>
      <w:sz w:val="24"/>
    </w:rPr>
  </w:style>
  <w:style w:type="character" w:customStyle="1" w:styleId="KeyMsgOutlineBoxTextChar">
    <w:name w:val="~KeyMsg(Outline)BoxText Char"/>
    <w:basedOn w:val="DefaultParagraphFont"/>
    <w:link w:val="KeyMsgOutlineBoxText"/>
    <w:uiPriority w:val="32"/>
    <w:rsid w:val="003E2BDA"/>
    <w:rPr>
      <w:rFonts w:eastAsiaTheme="minorEastAsia"/>
      <w:color w:val="000000" w:themeColor="text1"/>
      <w:szCs w:val="20"/>
      <w:lang w:val="en-GB" w:eastAsia="zh-CN"/>
    </w:rPr>
  </w:style>
  <w:style w:type="paragraph" w:customStyle="1" w:styleId="KeyMsgBoxHead">
    <w:name w:val="~KeyMsgBoxHead"/>
    <w:basedOn w:val="KeyMsgGreyBoxText"/>
    <w:uiPriority w:val="32"/>
    <w:semiHidden/>
    <w:rsid w:val="003E2BDA"/>
    <w:pPr>
      <w:keepNext/>
      <w:spacing w:before="60"/>
    </w:pPr>
    <w:rPr>
      <w:b/>
    </w:rPr>
  </w:style>
  <w:style w:type="paragraph" w:customStyle="1" w:styleId="NumBullet1">
    <w:name w:val="~NumBullet1"/>
    <w:basedOn w:val="Normal"/>
    <w:autoRedefine/>
    <w:uiPriority w:val="1"/>
    <w:rsid w:val="003E2BDA"/>
    <w:pPr>
      <w:numPr>
        <w:numId w:val="9"/>
      </w:numPr>
      <w:spacing w:before="60" w:after="60"/>
    </w:pPr>
    <w:rPr>
      <w:color w:val="auto"/>
    </w:rPr>
  </w:style>
  <w:style w:type="paragraph" w:customStyle="1" w:styleId="NumBullet2">
    <w:name w:val="~NumBullet2"/>
    <w:basedOn w:val="Normal"/>
    <w:uiPriority w:val="1"/>
    <w:rsid w:val="003E2BDA"/>
    <w:pPr>
      <w:numPr>
        <w:ilvl w:val="1"/>
        <w:numId w:val="9"/>
      </w:numPr>
      <w:spacing w:before="60" w:after="60"/>
    </w:pPr>
  </w:style>
  <w:style w:type="paragraph" w:customStyle="1" w:styleId="NumBullet3">
    <w:name w:val="~NumBullet3"/>
    <w:basedOn w:val="Normal"/>
    <w:uiPriority w:val="1"/>
    <w:rsid w:val="003E2BDA"/>
    <w:pPr>
      <w:numPr>
        <w:ilvl w:val="2"/>
        <w:numId w:val="9"/>
      </w:numPr>
      <w:spacing w:before="60" w:after="60"/>
    </w:pPr>
  </w:style>
  <w:style w:type="paragraph" w:customStyle="1" w:styleId="Source">
    <w:name w:val="~Source"/>
    <w:basedOn w:val="Normal"/>
    <w:next w:val="Normal"/>
    <w:autoRedefine/>
    <w:uiPriority w:val="6"/>
    <w:rsid w:val="003E2BDA"/>
    <w:pPr>
      <w:spacing w:before="60" w:after="120"/>
      <w:ind w:left="680" w:hanging="680"/>
    </w:pPr>
    <w:rPr>
      <w:rFonts w:eastAsia="Calibri"/>
      <w:i/>
      <w:color w:val="44546A" w:themeColor="text2"/>
      <w:sz w:val="18"/>
    </w:rPr>
  </w:style>
  <w:style w:type="paragraph" w:customStyle="1" w:styleId="SourceWide">
    <w:name w:val="~SourceWide"/>
    <w:basedOn w:val="Source"/>
    <w:next w:val="Normal"/>
    <w:uiPriority w:val="31"/>
    <w:semiHidden/>
    <w:qFormat/>
    <w:rsid w:val="003E2BDA"/>
    <w:pPr>
      <w:ind w:left="-2552"/>
    </w:pPr>
  </w:style>
  <w:style w:type="paragraph" w:customStyle="1" w:styleId="Spacer">
    <w:name w:val="~Spacer"/>
    <w:basedOn w:val="NoSpacing"/>
    <w:uiPriority w:val="33"/>
    <w:semiHidden/>
    <w:rsid w:val="003E2BDA"/>
    <w:rPr>
      <w:rFonts w:ascii="Arial" w:hAnsi="Arial"/>
      <w:sz w:val="2"/>
    </w:rPr>
  </w:style>
  <w:style w:type="paragraph" w:customStyle="1" w:styleId="TableTextLeft">
    <w:name w:val="~TableTextLeft"/>
    <w:basedOn w:val="Normal"/>
    <w:uiPriority w:val="31"/>
    <w:rsid w:val="003E2BDA"/>
    <w:pPr>
      <w:spacing w:before="40" w:after="40"/>
    </w:pPr>
  </w:style>
  <w:style w:type="paragraph" w:customStyle="1" w:styleId="TableBullet1">
    <w:name w:val="~TableBullet1"/>
    <w:basedOn w:val="TableTextLeft"/>
    <w:uiPriority w:val="31"/>
    <w:rsid w:val="003E2BDA"/>
    <w:pPr>
      <w:numPr>
        <w:numId w:val="12"/>
      </w:numPr>
    </w:pPr>
    <w:rPr>
      <w:rFonts w:eastAsia="Calibri"/>
    </w:rPr>
  </w:style>
  <w:style w:type="paragraph" w:customStyle="1" w:styleId="TableBullet2">
    <w:name w:val="~TableBullet2"/>
    <w:basedOn w:val="TableTextLeft"/>
    <w:uiPriority w:val="31"/>
    <w:rsid w:val="003E2BDA"/>
    <w:pPr>
      <w:numPr>
        <w:ilvl w:val="1"/>
        <w:numId w:val="12"/>
      </w:numPr>
    </w:pPr>
  </w:style>
  <w:style w:type="paragraph" w:customStyle="1" w:styleId="TableBullet3">
    <w:name w:val="~TableBullet3"/>
    <w:basedOn w:val="TableTextLeft"/>
    <w:uiPriority w:val="31"/>
    <w:rsid w:val="003E2BDA"/>
    <w:pPr>
      <w:numPr>
        <w:ilvl w:val="2"/>
        <w:numId w:val="12"/>
      </w:numPr>
    </w:pPr>
  </w:style>
  <w:style w:type="table" w:customStyle="1" w:styleId="TableClear">
    <w:name w:val="~TableClear"/>
    <w:basedOn w:val="TableNormal"/>
    <w:uiPriority w:val="99"/>
    <w:rsid w:val="003E2BDA"/>
    <w:pPr>
      <w:spacing w:before="180"/>
    </w:pPr>
    <w:rPr>
      <w:rFonts w:cs="Arial"/>
      <w:lang w:val="en-GB"/>
    </w:rPr>
    <w:tblPr/>
  </w:style>
  <w:style w:type="paragraph" w:customStyle="1" w:styleId="TableHeadingLeft">
    <w:name w:val="~TableHeadingLeft"/>
    <w:basedOn w:val="TableTextLeft"/>
    <w:uiPriority w:val="31"/>
    <w:semiHidden/>
    <w:rsid w:val="003E2BDA"/>
    <w:pPr>
      <w:keepNext/>
    </w:pPr>
    <w:rPr>
      <w:b/>
      <w:szCs w:val="26"/>
    </w:rPr>
  </w:style>
  <w:style w:type="paragraph" w:customStyle="1" w:styleId="TableHeadingCentre">
    <w:name w:val="~TableHeadingCentre"/>
    <w:basedOn w:val="TableHeadingLeft"/>
    <w:uiPriority w:val="31"/>
    <w:semiHidden/>
    <w:rsid w:val="003E2BDA"/>
    <w:pPr>
      <w:jc w:val="center"/>
    </w:pPr>
  </w:style>
  <w:style w:type="paragraph" w:customStyle="1" w:styleId="TableHeadingRight">
    <w:name w:val="~TableHeadingRight"/>
    <w:basedOn w:val="TableHeadingLeft"/>
    <w:uiPriority w:val="31"/>
    <w:semiHidden/>
    <w:rsid w:val="003E2BDA"/>
    <w:pPr>
      <w:jc w:val="right"/>
    </w:pPr>
  </w:style>
  <w:style w:type="table" w:customStyle="1" w:styleId="TableNormal0">
    <w:name w:val="~TableNormal"/>
    <w:basedOn w:val="TableNormal"/>
    <w:semiHidden/>
    <w:rsid w:val="003E2BDA"/>
    <w:pPr>
      <w:spacing w:before="180"/>
    </w:pPr>
    <w:rPr>
      <w:rFonts w:cs="Arial"/>
      <w:lang w:val="en-GB"/>
    </w:rPr>
    <w:tblPr/>
  </w:style>
  <w:style w:type="paragraph" w:customStyle="1" w:styleId="TableTextCentre">
    <w:name w:val="~TableTextCentre"/>
    <w:basedOn w:val="TableTextLeft"/>
    <w:uiPriority w:val="31"/>
    <w:rsid w:val="003E2BDA"/>
    <w:pPr>
      <w:jc w:val="center"/>
    </w:pPr>
  </w:style>
  <w:style w:type="paragraph" w:customStyle="1" w:styleId="TableTextRight">
    <w:name w:val="~TableTextRight"/>
    <w:basedOn w:val="TableTextLeft"/>
    <w:uiPriority w:val="31"/>
    <w:rsid w:val="003E2BDA"/>
    <w:pPr>
      <w:jc w:val="right"/>
    </w:pPr>
  </w:style>
  <w:style w:type="paragraph" w:customStyle="1" w:styleId="TableTotalLeft">
    <w:name w:val="~TableTotalLeft"/>
    <w:basedOn w:val="TableTextLeft"/>
    <w:uiPriority w:val="31"/>
    <w:semiHidden/>
    <w:rsid w:val="003E2BDA"/>
    <w:rPr>
      <w:b/>
    </w:rPr>
  </w:style>
  <w:style w:type="paragraph" w:customStyle="1" w:styleId="TableTotalCentre">
    <w:name w:val="~TableTotalCentre"/>
    <w:basedOn w:val="TableTotalLeft"/>
    <w:uiPriority w:val="31"/>
    <w:semiHidden/>
    <w:rsid w:val="003E2BDA"/>
    <w:pPr>
      <w:framePr w:wrap="around" w:vAnchor="page" w:hAnchor="margin" w:y="1135"/>
      <w:suppressOverlap/>
      <w:jc w:val="center"/>
    </w:pPr>
  </w:style>
  <w:style w:type="paragraph" w:customStyle="1" w:styleId="TableTotalRight">
    <w:name w:val="~TableTotalRight"/>
    <w:basedOn w:val="TableTotalLeft"/>
    <w:uiPriority w:val="31"/>
    <w:semiHidden/>
    <w:rsid w:val="003E2BDA"/>
    <w:pPr>
      <w:framePr w:wrap="around" w:vAnchor="page" w:hAnchor="margin" w:y="1135"/>
      <w:suppressOverlap/>
      <w:jc w:val="right"/>
    </w:pPr>
  </w:style>
  <w:style w:type="paragraph" w:styleId="BalloonText">
    <w:name w:val="Balloon Text"/>
    <w:basedOn w:val="Normal"/>
    <w:link w:val="BalloonTextChar"/>
    <w:uiPriority w:val="99"/>
    <w:semiHidden/>
    <w:rsid w:val="003E2BDA"/>
    <w:rPr>
      <w:rFonts w:ascii="Tahoma" w:hAnsi="Tahoma" w:cs="Tahoma"/>
      <w:color w:val="808080" w:themeColor="background1" w:themeShade="80"/>
      <w:sz w:val="16"/>
      <w:szCs w:val="16"/>
    </w:rPr>
  </w:style>
  <w:style w:type="character" w:customStyle="1" w:styleId="BalloonTextChar">
    <w:name w:val="Balloon Text Char"/>
    <w:basedOn w:val="DefaultParagraphFont"/>
    <w:link w:val="BalloonText"/>
    <w:uiPriority w:val="99"/>
    <w:semiHidden/>
    <w:rsid w:val="003E2BDA"/>
    <w:rPr>
      <w:rFonts w:ascii="Tahoma" w:eastAsiaTheme="minorEastAsia" w:hAnsi="Tahoma" w:cs="Tahoma"/>
      <w:color w:val="808080" w:themeColor="background1" w:themeShade="80"/>
      <w:sz w:val="16"/>
      <w:szCs w:val="16"/>
      <w:lang w:val="en-GB" w:eastAsia="zh-CN"/>
    </w:rPr>
  </w:style>
  <w:style w:type="table" w:customStyle="1" w:styleId="Beigetable">
    <w:name w:val="Beige table"/>
    <w:basedOn w:val="TableNormal"/>
    <w:uiPriority w:val="99"/>
    <w:rsid w:val="003E2BDA"/>
    <w:pPr>
      <w:jc w:val="center"/>
    </w:pPr>
    <w:rPr>
      <w:rFonts w:eastAsiaTheme="minorEastAsia"/>
      <w:sz w:val="18"/>
      <w:lang w:val="en-GB" w:eastAsia="zh-CN"/>
    </w:rPr>
    <w:tblPr>
      <w:tblBorders>
        <w:top w:val="single" w:sz="4" w:space="0" w:color="E4D4BA"/>
        <w:left w:val="single" w:sz="4" w:space="0" w:color="E4D4BA"/>
        <w:bottom w:val="single" w:sz="4" w:space="0" w:color="E4D4BA"/>
        <w:right w:val="single" w:sz="4" w:space="0" w:color="E4D4BA"/>
        <w:insideH w:val="single" w:sz="4" w:space="0" w:color="E4D4BA"/>
      </w:tblBorders>
    </w:tblPr>
    <w:tcPr>
      <w:vAlign w:val="center"/>
    </w:tcPr>
    <w:tblStylePr w:type="firstRow">
      <w:pPr>
        <w:jc w:val="center"/>
      </w:pPr>
      <w:rPr>
        <w:rFonts w:ascii="Arial" w:hAnsi="Arial"/>
        <w:b/>
        <w:sz w:val="20"/>
      </w:rPr>
      <w:tblPr/>
      <w:tcPr>
        <w:shd w:val="clear" w:color="auto" w:fill="E4D4BA"/>
      </w:tcPr>
    </w:tblStylePr>
    <w:tblStylePr w:type="lastRow">
      <w:rPr>
        <w:rFonts w:ascii="Arial" w:hAnsi="Arial"/>
        <w:b/>
      </w:rPr>
    </w:tblStylePr>
  </w:style>
  <w:style w:type="table" w:customStyle="1" w:styleId="BeigetableStyle2">
    <w:name w:val="Beige table Style 2"/>
    <w:basedOn w:val="TableNormal"/>
    <w:uiPriority w:val="99"/>
    <w:rsid w:val="003E2BDA"/>
    <w:pPr>
      <w:jc w:val="center"/>
    </w:pPr>
    <w:rPr>
      <w:rFonts w:eastAsiaTheme="minorEastAsia"/>
      <w:lang w:val="en-GB" w:eastAsia="zh-CN"/>
    </w:rPr>
    <w:tblPr>
      <w:tblBorders>
        <w:top w:val="single" w:sz="4" w:space="0" w:color="E4D4BA"/>
        <w:left w:val="single" w:sz="4" w:space="0" w:color="E4D4BA"/>
        <w:bottom w:val="single" w:sz="4" w:space="0" w:color="E4D4BA"/>
        <w:right w:val="single" w:sz="4" w:space="0" w:color="E4D4BA"/>
        <w:insideH w:val="single" w:sz="4" w:space="0" w:color="E4D4BA"/>
      </w:tblBorders>
    </w:tblPr>
    <w:tcPr>
      <w:vAlign w:val="center"/>
    </w:tcPr>
    <w:tblStylePr w:type="firstRow">
      <w:pPr>
        <w:jc w:val="center"/>
      </w:pPr>
      <w:rPr>
        <w:rFonts w:asciiTheme="majorHAnsi" w:hAnsiTheme="majorHAnsi"/>
        <w:b/>
        <w:sz w:val="22"/>
      </w:rPr>
      <w:tblPr/>
      <w:tcPr>
        <w:tcBorders>
          <w:top w:val="nil"/>
          <w:left w:val="nil"/>
          <w:bottom w:val="nil"/>
          <w:right w:val="nil"/>
          <w:insideH w:val="single" w:sz="4" w:space="0" w:color="FFFFFF" w:themeColor="background1"/>
          <w:insideV w:val="single" w:sz="4" w:space="0" w:color="FFFFFF" w:themeColor="background1"/>
          <w:tl2br w:val="nil"/>
          <w:tr2bl w:val="nil"/>
        </w:tcBorders>
        <w:shd w:val="clear" w:color="auto" w:fill="E4D4BA"/>
      </w:tcPr>
    </w:tblStylePr>
    <w:tblStylePr w:type="firstCol">
      <w:rPr>
        <w:b/>
        <w:color w:val="auto"/>
      </w:rPr>
      <w:tblPr/>
      <w:tcPr>
        <w:tcBorders>
          <w:top w:val="single" w:sz="4" w:space="0" w:color="FFFFFF" w:themeColor="background1"/>
          <w:left w:val="nil"/>
          <w:bottom w:val="nil"/>
          <w:right w:val="nil"/>
          <w:insideH w:val="single" w:sz="4" w:space="0" w:color="FFFFFF" w:themeColor="background1"/>
          <w:insideV w:val="nil"/>
        </w:tcBorders>
        <w:shd w:val="clear" w:color="auto" w:fill="E4D4BA"/>
      </w:tcPr>
    </w:tblStylePr>
  </w:style>
  <w:style w:type="paragraph" w:customStyle="1" w:styleId="Bullets">
    <w:name w:val="Bullets"/>
    <w:basedOn w:val="Bullet1"/>
    <w:link w:val="BulletsChar"/>
    <w:autoRedefine/>
    <w:qFormat/>
    <w:rsid w:val="003E2BDA"/>
    <w:pPr>
      <w:numPr>
        <w:numId w:val="13"/>
      </w:numPr>
    </w:pPr>
  </w:style>
  <w:style w:type="character" w:customStyle="1" w:styleId="BulletsChar">
    <w:name w:val="Bullets Char"/>
    <w:basedOn w:val="Bullet1Char"/>
    <w:link w:val="Bullets"/>
    <w:rsid w:val="003E2BDA"/>
    <w:rPr>
      <w:rFonts w:eastAsia="Calibri"/>
      <w:color w:val="000000" w:themeColor="text1"/>
      <w:sz w:val="20"/>
      <w:szCs w:val="20"/>
      <w:lang w:val="en-GB" w:eastAsia="zh-CN"/>
    </w:rPr>
  </w:style>
  <w:style w:type="character" w:styleId="CommentReference">
    <w:name w:val="annotation reference"/>
    <w:basedOn w:val="DefaultParagraphFont"/>
    <w:uiPriority w:val="99"/>
    <w:semiHidden/>
    <w:unhideWhenUsed/>
    <w:rsid w:val="003E2BDA"/>
    <w:rPr>
      <w:sz w:val="16"/>
      <w:szCs w:val="16"/>
    </w:rPr>
  </w:style>
  <w:style w:type="paragraph" w:styleId="CommentText">
    <w:name w:val="annotation text"/>
    <w:basedOn w:val="Normal"/>
    <w:link w:val="CommentTextChar"/>
    <w:uiPriority w:val="99"/>
    <w:unhideWhenUsed/>
    <w:rsid w:val="003E2BDA"/>
    <w:pPr>
      <w:spacing w:before="120"/>
    </w:pPr>
    <w:rPr>
      <w:rFonts w:ascii="Arial" w:hAnsi="Arial"/>
      <w:color w:val="auto"/>
    </w:rPr>
  </w:style>
  <w:style w:type="character" w:customStyle="1" w:styleId="CommentTextChar">
    <w:name w:val="Comment Text Char"/>
    <w:basedOn w:val="DefaultParagraphFont"/>
    <w:link w:val="CommentText"/>
    <w:uiPriority w:val="99"/>
    <w:rsid w:val="003E2BDA"/>
    <w:rPr>
      <w:rFonts w:ascii="Arial" w:eastAsiaTheme="minorEastAsia" w:hAnsi="Arial"/>
      <w:sz w:val="20"/>
      <w:szCs w:val="20"/>
      <w:lang w:val="en-GB" w:eastAsia="zh-CN"/>
    </w:rPr>
  </w:style>
  <w:style w:type="paragraph" w:styleId="CommentSubject">
    <w:name w:val="annotation subject"/>
    <w:basedOn w:val="CommentText"/>
    <w:next w:val="CommentText"/>
    <w:link w:val="CommentSubjectChar"/>
    <w:uiPriority w:val="99"/>
    <w:semiHidden/>
    <w:unhideWhenUsed/>
    <w:rsid w:val="003E2BDA"/>
    <w:rPr>
      <w:b/>
      <w:bCs/>
    </w:rPr>
  </w:style>
  <w:style w:type="character" w:customStyle="1" w:styleId="CommentSubjectChar">
    <w:name w:val="Comment Subject Char"/>
    <w:basedOn w:val="CommentTextChar"/>
    <w:link w:val="CommentSubject"/>
    <w:uiPriority w:val="99"/>
    <w:semiHidden/>
    <w:rsid w:val="003E2BDA"/>
    <w:rPr>
      <w:rFonts w:ascii="Arial" w:eastAsiaTheme="minorEastAsia" w:hAnsi="Arial"/>
      <w:b/>
      <w:bCs/>
      <w:sz w:val="20"/>
      <w:szCs w:val="20"/>
      <w:lang w:val="en-GB" w:eastAsia="zh-CN"/>
    </w:rPr>
  </w:style>
  <w:style w:type="character" w:styleId="FollowedHyperlink">
    <w:name w:val="FollowedHyperlink"/>
    <w:aliases w:val="~FollowedHyperlink"/>
    <w:basedOn w:val="DefaultParagraphFont"/>
    <w:uiPriority w:val="37"/>
    <w:semiHidden/>
    <w:rsid w:val="003E2BDA"/>
    <w:rPr>
      <w:color w:val="954F72" w:themeColor="followedHyperlink"/>
      <w:u w:val="none"/>
    </w:rPr>
  </w:style>
  <w:style w:type="paragraph" w:styleId="Footer">
    <w:name w:val="footer"/>
    <w:aliases w:val="~Footer"/>
    <w:basedOn w:val="NoSpacing"/>
    <w:link w:val="FooterChar"/>
    <w:uiPriority w:val="99"/>
    <w:rsid w:val="003E2BDA"/>
    <w:rPr>
      <w:color w:val="44546A" w:themeColor="text2"/>
      <w:sz w:val="18"/>
    </w:rPr>
  </w:style>
  <w:style w:type="character" w:customStyle="1" w:styleId="FooterChar">
    <w:name w:val="Footer Char"/>
    <w:aliases w:val="~Footer Char"/>
    <w:basedOn w:val="DefaultParagraphFont"/>
    <w:link w:val="Footer"/>
    <w:uiPriority w:val="99"/>
    <w:rsid w:val="003E2BDA"/>
    <w:rPr>
      <w:rFonts w:cs="Arial"/>
      <w:color w:val="44546A" w:themeColor="text2"/>
      <w:sz w:val="18"/>
      <w:szCs w:val="20"/>
      <w:lang w:val="en-GB"/>
    </w:rPr>
  </w:style>
  <w:style w:type="character" w:styleId="FootnoteReference">
    <w:name w:val="footnote reference"/>
    <w:basedOn w:val="DefaultParagraphFont"/>
    <w:rsid w:val="003E2BDA"/>
    <w:rPr>
      <w:rFonts w:asciiTheme="minorHAnsi" w:hAnsiTheme="minorHAnsi"/>
      <w:color w:val="4472C4" w:themeColor="accent1"/>
      <w:vertAlign w:val="superscript"/>
    </w:rPr>
  </w:style>
  <w:style w:type="paragraph" w:styleId="FootnoteText">
    <w:name w:val="footnote text"/>
    <w:aliases w:val="~FootnoteText"/>
    <w:basedOn w:val="NoSpacing"/>
    <w:link w:val="FootnoteTextChar"/>
    <w:rsid w:val="003E2BDA"/>
    <w:pPr>
      <w:spacing w:before="60"/>
      <w:ind w:left="284" w:hanging="284"/>
    </w:pPr>
    <w:rPr>
      <w:sz w:val="18"/>
    </w:rPr>
  </w:style>
  <w:style w:type="character" w:customStyle="1" w:styleId="FootnoteTextChar">
    <w:name w:val="Footnote Text Char"/>
    <w:aliases w:val="~FootnoteText Char"/>
    <w:basedOn w:val="DefaultParagraphFont"/>
    <w:link w:val="FootnoteText"/>
    <w:rsid w:val="003E2BDA"/>
    <w:rPr>
      <w:rFonts w:cs="Arial"/>
      <w:color w:val="000000" w:themeColor="text1"/>
      <w:sz w:val="18"/>
      <w:szCs w:val="20"/>
      <w:lang w:val="en-GB"/>
    </w:rPr>
  </w:style>
  <w:style w:type="table" w:customStyle="1" w:styleId="Greycolour">
    <w:name w:val="Grey colour"/>
    <w:basedOn w:val="TableNormal"/>
    <w:uiPriority w:val="99"/>
    <w:rsid w:val="003E2BDA"/>
    <w:pPr>
      <w:jc w:val="center"/>
    </w:pPr>
    <w:rPr>
      <w:rFonts w:eastAsiaTheme="minorEastAsia"/>
      <w:sz w:val="18"/>
      <w:lang w:val="en-GB" w:eastAsia="zh-CN"/>
    </w:rPr>
    <w:tblPr>
      <w:tblBorders>
        <w:top w:val="single" w:sz="4" w:space="0" w:color="D8D8D6"/>
        <w:left w:val="single" w:sz="4" w:space="0" w:color="D8D8D6"/>
        <w:bottom w:val="single" w:sz="4" w:space="0" w:color="D8D8D6"/>
        <w:right w:val="single" w:sz="4" w:space="0" w:color="D8D8D6"/>
        <w:insideH w:val="single" w:sz="4" w:space="0" w:color="D8D8D6"/>
      </w:tblBorders>
    </w:tblPr>
    <w:tcPr>
      <w:shd w:val="clear" w:color="auto" w:fill="auto"/>
      <w:vAlign w:val="center"/>
    </w:tcPr>
    <w:tblStylePr w:type="firstRow">
      <w:rPr>
        <w:rFonts w:ascii="Arial" w:hAnsi="Arial"/>
        <w:b/>
        <w:color w:val="auto"/>
        <w:sz w:val="20"/>
      </w:rPr>
      <w:tblPr/>
      <w:tcPr>
        <w:shd w:val="clear" w:color="auto" w:fill="D8D8D6"/>
      </w:tcPr>
    </w:tblStylePr>
    <w:tblStylePr w:type="lastRow">
      <w:pPr>
        <w:jc w:val="center"/>
      </w:pPr>
      <w:rPr>
        <w:b/>
      </w:rPr>
      <w:tblPr/>
      <w:tcPr>
        <w:vAlign w:val="center"/>
      </w:tcPr>
    </w:tblStylePr>
  </w:style>
  <w:style w:type="table" w:customStyle="1" w:styleId="GreyTableStyle2">
    <w:name w:val="Grey Table Style 2"/>
    <w:basedOn w:val="TableNormal"/>
    <w:uiPriority w:val="99"/>
    <w:rsid w:val="003E2BDA"/>
    <w:pPr>
      <w:jc w:val="center"/>
    </w:pPr>
    <w:rPr>
      <w:rFonts w:eastAsiaTheme="minorEastAsia"/>
      <w:lang w:val="en-GB" w:eastAsia="zh-CN"/>
    </w:rPr>
    <w:tblPr>
      <w:tblBorders>
        <w:top w:val="single" w:sz="4" w:space="0" w:color="D8D8D6"/>
        <w:left w:val="single" w:sz="4" w:space="0" w:color="D8D8D6"/>
        <w:bottom w:val="single" w:sz="4" w:space="0" w:color="D8D8D6"/>
        <w:right w:val="single" w:sz="4" w:space="0" w:color="D8D8D6"/>
        <w:insideH w:val="single" w:sz="4" w:space="0" w:color="D8D8D6"/>
      </w:tblBorders>
    </w:tblPr>
    <w:tcPr>
      <w:vAlign w:val="center"/>
    </w:tcPr>
    <w:tblStylePr w:type="firstRow">
      <w:rPr>
        <w:rFonts w:asciiTheme="majorHAnsi" w:hAnsiTheme="majorHAnsi"/>
        <w:b/>
        <w:sz w:val="22"/>
      </w:rPr>
      <w:tblPr/>
      <w:tcPr>
        <w:tcBorders>
          <w:insideV w:val="single" w:sz="4" w:space="0" w:color="FFFFFF" w:themeColor="background1"/>
        </w:tcBorders>
        <w:shd w:val="clear" w:color="auto" w:fill="D8D8D6"/>
      </w:tcPr>
    </w:tblStylePr>
    <w:tblStylePr w:type="firstCol">
      <w:rPr>
        <w:rFonts w:asciiTheme="majorHAnsi" w:hAnsiTheme="majorHAnsi"/>
        <w:b/>
        <w:sz w:val="22"/>
      </w:rPr>
      <w:tblPr/>
      <w:tcPr>
        <w:tcBorders>
          <w:top w:val="nil"/>
          <w:left w:val="nil"/>
          <w:bottom w:val="nil"/>
          <w:right w:val="nil"/>
          <w:insideH w:val="single" w:sz="4" w:space="0" w:color="FFFFFF" w:themeColor="background1"/>
          <w:insideV w:val="nil"/>
        </w:tcBorders>
        <w:shd w:val="clear" w:color="auto" w:fill="D8D8D6"/>
      </w:tcPr>
    </w:tblStylePr>
  </w:style>
  <w:style w:type="table" w:styleId="GridTable5Dark-Accent1">
    <w:name w:val="Grid Table 5 Dark Accent 1"/>
    <w:basedOn w:val="TableNormal"/>
    <w:uiPriority w:val="50"/>
    <w:rsid w:val="003E2BDA"/>
    <w:pPr>
      <w:spacing w:before="180"/>
    </w:pPr>
    <w:rPr>
      <w:rFonts w:eastAsiaTheme="minorEastAsia"/>
      <w:lang w:val="en-GB"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aliases w:val="~Header"/>
    <w:basedOn w:val="NoSpacing"/>
    <w:link w:val="HeaderChar"/>
    <w:uiPriority w:val="99"/>
    <w:rsid w:val="003E2BDA"/>
    <w:rPr>
      <w:color w:val="44546A" w:themeColor="text2"/>
      <w:sz w:val="18"/>
    </w:rPr>
  </w:style>
  <w:style w:type="character" w:customStyle="1" w:styleId="HeaderChar">
    <w:name w:val="Header Char"/>
    <w:aliases w:val="~Header Char"/>
    <w:basedOn w:val="DefaultParagraphFont"/>
    <w:link w:val="Header"/>
    <w:uiPriority w:val="99"/>
    <w:rsid w:val="003E2BDA"/>
    <w:rPr>
      <w:rFonts w:cs="Arial"/>
      <w:color w:val="44546A" w:themeColor="text2"/>
      <w:sz w:val="18"/>
      <w:szCs w:val="20"/>
      <w:lang w:val="en-GB"/>
    </w:rPr>
  </w:style>
  <w:style w:type="character" w:customStyle="1" w:styleId="Heading1Char">
    <w:name w:val="Heading 1 Char"/>
    <w:basedOn w:val="DefaultParagraphFont"/>
    <w:link w:val="Heading1"/>
    <w:uiPriority w:val="3"/>
    <w:rsid w:val="003E2BDA"/>
    <w:rPr>
      <w:rFonts w:ascii="Arial" w:hAnsi="Arial" w:cs="Arial"/>
      <w:b/>
      <w:caps/>
      <w:color w:val="4472C4" w:themeColor="accent1"/>
      <w:sz w:val="20"/>
      <w:szCs w:val="20"/>
      <w:lang w:val="en-GB"/>
    </w:rPr>
  </w:style>
  <w:style w:type="paragraph" w:customStyle="1" w:styleId="Headings">
    <w:name w:val="Headings"/>
    <w:basedOn w:val="SecHeadNonToc"/>
    <w:next w:val="Normal"/>
    <w:autoRedefine/>
    <w:uiPriority w:val="27"/>
    <w:qFormat/>
    <w:rsid w:val="003E2BDA"/>
    <w:pPr>
      <w:spacing w:before="240" w:after="240"/>
      <w:outlineLvl w:val="0"/>
    </w:pPr>
    <w:rPr>
      <w:rFonts w:ascii="Arial" w:hAnsi="Arial"/>
      <w:caps/>
      <w:color w:val="B20933"/>
      <w:sz w:val="20"/>
    </w:rPr>
  </w:style>
  <w:style w:type="paragraph" w:customStyle="1" w:styleId="SubHead">
    <w:name w:val="SubHead"/>
    <w:basedOn w:val="Headings"/>
    <w:next w:val="Normal"/>
    <w:autoRedefine/>
    <w:uiPriority w:val="27"/>
    <w:qFormat/>
    <w:rsid w:val="003E2BDA"/>
    <w:rPr>
      <w:caps w:val="0"/>
      <w:color w:val="000000" w:themeColor="text1"/>
    </w:rPr>
  </w:style>
  <w:style w:type="character" w:customStyle="1" w:styleId="Heading2Char">
    <w:name w:val="Heading 2 Char"/>
    <w:basedOn w:val="DefaultParagraphFont"/>
    <w:link w:val="Heading2"/>
    <w:uiPriority w:val="3"/>
    <w:rsid w:val="003E2BDA"/>
    <w:rPr>
      <w:rFonts w:ascii="Arial" w:hAnsi="Arial" w:cs="Arial"/>
      <w:b/>
      <w:color w:val="000000" w:themeColor="text1"/>
      <w:sz w:val="18"/>
      <w:szCs w:val="20"/>
      <w:lang w:val="en-GB"/>
    </w:rPr>
  </w:style>
  <w:style w:type="character" w:customStyle="1" w:styleId="Heading3Char">
    <w:name w:val="Heading 3 Char"/>
    <w:basedOn w:val="DefaultParagraphFont"/>
    <w:link w:val="Heading3"/>
    <w:uiPriority w:val="9"/>
    <w:rsid w:val="003E2BDA"/>
    <w:rPr>
      <w:rFonts w:ascii="Arial" w:hAnsi="Arial" w:cs="Arial"/>
      <w:caps/>
      <w:color w:val="000000" w:themeColor="text1"/>
      <w:sz w:val="22"/>
      <w:szCs w:val="20"/>
      <w:lang w:val="en-GB"/>
    </w:rPr>
  </w:style>
  <w:style w:type="character" w:customStyle="1" w:styleId="Heading4Char">
    <w:name w:val="Heading 4 Char"/>
    <w:aliases w:val="~Level4Heading Char"/>
    <w:basedOn w:val="DefaultParagraphFont"/>
    <w:link w:val="Heading4"/>
    <w:uiPriority w:val="5"/>
    <w:semiHidden/>
    <w:rsid w:val="003E2BDA"/>
    <w:rPr>
      <w:rFonts w:ascii="Arial" w:hAnsi="Arial" w:cs="Arial"/>
      <w:color w:val="000000" w:themeColor="text1"/>
      <w:sz w:val="20"/>
      <w:szCs w:val="20"/>
      <w:lang w:val="en-GB"/>
    </w:rPr>
  </w:style>
  <w:style w:type="character" w:customStyle="1" w:styleId="Heading5Char">
    <w:name w:val="Heading 5 Char"/>
    <w:basedOn w:val="DefaultParagraphFont"/>
    <w:link w:val="Heading5"/>
    <w:uiPriority w:val="5"/>
    <w:semiHidden/>
    <w:rsid w:val="003E2BDA"/>
    <w:rPr>
      <w:rFonts w:ascii="Arial" w:eastAsiaTheme="majorEastAsia" w:hAnsi="Arial" w:cstheme="majorBidi"/>
      <w:color w:val="000000" w:themeColor="text1"/>
      <w:sz w:val="20"/>
      <w:szCs w:val="20"/>
      <w:lang w:val="en-GB"/>
    </w:rPr>
  </w:style>
  <w:style w:type="character" w:customStyle="1" w:styleId="Heading6Char">
    <w:name w:val="Heading 6 Char"/>
    <w:basedOn w:val="DefaultParagraphFont"/>
    <w:link w:val="Heading6"/>
    <w:uiPriority w:val="5"/>
    <w:semiHidden/>
    <w:rsid w:val="003E2BDA"/>
    <w:rPr>
      <w:rFonts w:ascii="Arial" w:eastAsiaTheme="majorEastAsia" w:hAnsi="Arial" w:cstheme="majorBidi"/>
      <w:i/>
      <w:iCs/>
      <w:color w:val="000000" w:themeColor="text1"/>
      <w:sz w:val="20"/>
      <w:szCs w:val="20"/>
      <w:lang w:val="en-GB"/>
    </w:rPr>
  </w:style>
  <w:style w:type="character" w:customStyle="1" w:styleId="Heading7Char">
    <w:name w:val="Heading 7 Char"/>
    <w:basedOn w:val="DefaultParagraphFont"/>
    <w:link w:val="Heading7"/>
    <w:uiPriority w:val="5"/>
    <w:semiHidden/>
    <w:rsid w:val="003E2BDA"/>
    <w:rPr>
      <w:rFonts w:ascii="Arial" w:eastAsiaTheme="majorEastAsia" w:hAnsi="Arial" w:cstheme="majorBidi"/>
      <w:iCs/>
      <w:color w:val="000000" w:themeColor="text1"/>
      <w:sz w:val="20"/>
      <w:szCs w:val="20"/>
      <w:lang w:val="en-GB"/>
    </w:rPr>
  </w:style>
  <w:style w:type="character" w:customStyle="1" w:styleId="Heading8Char">
    <w:name w:val="Heading 8 Char"/>
    <w:basedOn w:val="DefaultParagraphFont"/>
    <w:link w:val="Heading8"/>
    <w:uiPriority w:val="5"/>
    <w:semiHidden/>
    <w:rsid w:val="003E2BDA"/>
    <w:rPr>
      <w:rFonts w:asciiTheme="majorHAnsi" w:eastAsiaTheme="majorEastAsia" w:hAnsiTheme="majorHAnsi" w:cstheme="majorBidi"/>
      <w:color w:val="000000" w:themeColor="text1"/>
      <w:sz w:val="20"/>
      <w:szCs w:val="20"/>
      <w:lang w:val="en-GB" w:eastAsia="zh-CN"/>
    </w:rPr>
  </w:style>
  <w:style w:type="character" w:customStyle="1" w:styleId="Heading9Char">
    <w:name w:val="Heading 9 Char"/>
    <w:basedOn w:val="DefaultParagraphFont"/>
    <w:link w:val="Heading9"/>
    <w:uiPriority w:val="5"/>
    <w:semiHidden/>
    <w:rsid w:val="003E2BDA"/>
    <w:rPr>
      <w:rFonts w:asciiTheme="majorHAnsi" w:eastAsiaTheme="majorEastAsia" w:hAnsiTheme="majorHAnsi" w:cstheme="majorBidi"/>
      <w:i/>
      <w:iCs/>
      <w:color w:val="000000" w:themeColor="text1"/>
      <w:sz w:val="20"/>
      <w:szCs w:val="20"/>
      <w:lang w:val="en-GB" w:eastAsia="zh-CN"/>
    </w:rPr>
  </w:style>
  <w:style w:type="character" w:styleId="Hyperlink">
    <w:name w:val="Hyperlink"/>
    <w:aliases w:val="~Hyperlink"/>
    <w:basedOn w:val="DefaultParagraphFont"/>
    <w:uiPriority w:val="37"/>
    <w:semiHidden/>
    <w:rsid w:val="003E2BDA"/>
    <w:rPr>
      <w:color w:val="A5A5A5" w:themeColor="accent3"/>
      <w:u w:val="none"/>
    </w:rPr>
  </w:style>
  <w:style w:type="paragraph" w:customStyle="1" w:styleId="Keymessages">
    <w:name w:val="Key messages"/>
    <w:basedOn w:val="KeyMsgOutlineBoxText"/>
    <w:link w:val="KeymessagesChar"/>
    <w:autoRedefine/>
    <w:qFormat/>
    <w:rsid w:val="003E2BDA"/>
    <w:rPr>
      <w:rFonts w:ascii="Book Antiqua" w:hAnsi="Book Antiqua"/>
      <w:b/>
      <w:sz w:val="22"/>
    </w:rPr>
  </w:style>
  <w:style w:type="character" w:customStyle="1" w:styleId="KeymessagesChar">
    <w:name w:val="Key messages Char"/>
    <w:basedOn w:val="DefaultParagraphFont"/>
    <w:link w:val="Keymessages"/>
    <w:rsid w:val="003E2BDA"/>
    <w:rPr>
      <w:rFonts w:ascii="Book Antiqua" w:eastAsiaTheme="minorEastAsia" w:hAnsi="Book Antiqua"/>
      <w:b/>
      <w:color w:val="000000" w:themeColor="text1"/>
      <w:sz w:val="22"/>
      <w:szCs w:val="20"/>
      <w:lang w:val="en-GB" w:eastAsia="zh-CN"/>
    </w:rPr>
  </w:style>
  <w:style w:type="table" w:styleId="ListTable3-Accent1">
    <w:name w:val="List Table 3 Accent 1"/>
    <w:basedOn w:val="TableNormal"/>
    <w:uiPriority w:val="48"/>
    <w:rsid w:val="003E2BDA"/>
    <w:pPr>
      <w:spacing w:before="180"/>
    </w:pPr>
    <w:rPr>
      <w:rFonts w:eastAsiaTheme="minorEastAsia"/>
      <w:lang w:val="en-GB" w:eastAsia="zh-CN"/>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1">
    <w:name w:val="List Table 4 Accent 1"/>
    <w:basedOn w:val="TableNormal"/>
    <w:uiPriority w:val="49"/>
    <w:rsid w:val="003E2BDA"/>
    <w:pPr>
      <w:spacing w:before="180"/>
    </w:pPr>
    <w:rPr>
      <w:rFonts w:eastAsiaTheme="minorEastAsia"/>
      <w:lang w:val="en-GB"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rPr>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MediumShading2-Accent1">
    <w:name w:val="Medium Shading 2 Accent 1"/>
    <w:basedOn w:val="TableNormal"/>
    <w:uiPriority w:val="64"/>
    <w:rsid w:val="003E2BDA"/>
    <w:pPr>
      <w:spacing w:before="180"/>
    </w:pPr>
    <w:rPr>
      <w:rFonts w:cs="Arial"/>
      <w:color w:val="808080" w:themeColor="background1" w:themeShade="80"/>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umBullets">
    <w:name w:val="NumBullets"/>
    <w:basedOn w:val="Bullets"/>
    <w:link w:val="NumBulletsChar"/>
    <w:autoRedefine/>
    <w:qFormat/>
    <w:rsid w:val="003E2BDA"/>
    <w:pPr>
      <w:numPr>
        <w:numId w:val="17"/>
      </w:numPr>
    </w:pPr>
    <w:rPr>
      <w:rFonts w:ascii="Arial" w:hAnsi="Arial"/>
    </w:rPr>
  </w:style>
  <w:style w:type="character" w:customStyle="1" w:styleId="NumBulletsChar">
    <w:name w:val="NumBullets Char"/>
    <w:basedOn w:val="BulletsChar"/>
    <w:link w:val="NumBullets"/>
    <w:rsid w:val="003E2BDA"/>
    <w:rPr>
      <w:rFonts w:ascii="Arial" w:eastAsia="Calibri" w:hAnsi="Arial"/>
      <w:color w:val="000000" w:themeColor="text1"/>
      <w:sz w:val="20"/>
      <w:szCs w:val="20"/>
      <w:lang w:val="en-GB" w:eastAsia="zh-CN"/>
    </w:rPr>
  </w:style>
  <w:style w:type="character" w:styleId="PlaceholderText">
    <w:name w:val="Placeholder Text"/>
    <w:basedOn w:val="DefaultParagraphFont"/>
    <w:uiPriority w:val="99"/>
    <w:semiHidden/>
    <w:rsid w:val="003E2BDA"/>
    <w:rPr>
      <w:color w:val="808080"/>
    </w:rPr>
  </w:style>
  <w:style w:type="paragraph" w:customStyle="1" w:styleId="QuotesKeymessages">
    <w:name w:val="Quotes &amp; Key messages"/>
    <w:basedOn w:val="KeyMsgOutlineBoxText"/>
    <w:link w:val="QuotesKeymessagesChar"/>
    <w:autoRedefine/>
    <w:rsid w:val="003E2BDA"/>
    <w:rPr>
      <w:rFonts w:ascii="Book Antiqua" w:hAnsi="Book Antiqua"/>
      <w:b/>
      <w:sz w:val="22"/>
    </w:rPr>
  </w:style>
  <w:style w:type="character" w:customStyle="1" w:styleId="QuotesKeymessagesChar">
    <w:name w:val="Quotes &amp; Key messages Char"/>
    <w:basedOn w:val="KeyMsgOutlineBoxTextChar"/>
    <w:link w:val="QuotesKeymessages"/>
    <w:rsid w:val="003E2BDA"/>
    <w:rPr>
      <w:rFonts w:ascii="Book Antiqua" w:eastAsiaTheme="minorEastAsia" w:hAnsi="Book Antiqua"/>
      <w:b/>
      <w:color w:val="000000" w:themeColor="text1"/>
      <w:sz w:val="22"/>
      <w:szCs w:val="20"/>
      <w:lang w:val="en-GB" w:eastAsia="zh-CN"/>
    </w:rPr>
  </w:style>
  <w:style w:type="table" w:styleId="TableGrid">
    <w:name w:val="Table Grid"/>
    <w:basedOn w:val="TableNormal"/>
    <w:uiPriority w:val="59"/>
    <w:rsid w:val="003E2BDA"/>
    <w:pPr>
      <w:spacing w:before="180" w:line="276" w:lineRule="auto"/>
    </w:pPr>
    <w:rPr>
      <w:rFonts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BDA"/>
    <w:pPr>
      <w:spacing w:before="180"/>
    </w:pPr>
    <w:rPr>
      <w:rFonts w:eastAsiaTheme="minorEastAsia"/>
      <w:lang w:val="en-GB"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tleofdoc">
    <w:name w:val="Title of doc"/>
    <w:basedOn w:val="DocTitle"/>
    <w:link w:val="TitleofdocChar"/>
    <w:autoRedefine/>
    <w:qFormat/>
    <w:rsid w:val="003E2BDA"/>
    <w:pPr>
      <w:framePr w:wrap="around" w:vAnchor="page" w:hAnchor="margin" w:y="568"/>
      <w:spacing w:line="360" w:lineRule="auto"/>
      <w:suppressOverlap/>
    </w:pPr>
    <w:rPr>
      <w:rFonts w:ascii="Arial" w:hAnsi="Arial"/>
      <w:caps/>
    </w:rPr>
  </w:style>
  <w:style w:type="character" w:customStyle="1" w:styleId="TitleofdocChar">
    <w:name w:val="Title of doc Char"/>
    <w:basedOn w:val="DocTitleChar"/>
    <w:link w:val="Titleofdoc"/>
    <w:rsid w:val="003E2BDA"/>
    <w:rPr>
      <w:rFonts w:ascii="Arial" w:hAnsi="Arial" w:cs="Arial"/>
      <w:b/>
      <w:caps/>
      <w:color w:val="4472C4" w:themeColor="accent1"/>
      <w:sz w:val="28"/>
      <w:szCs w:val="20"/>
      <w:lang w:val="en-GB"/>
    </w:rPr>
  </w:style>
  <w:style w:type="paragraph" w:styleId="TOC1">
    <w:name w:val="toc 1"/>
    <w:aliases w:val="~SectionHeadings"/>
    <w:basedOn w:val="NoSpacing"/>
    <w:next w:val="Normal"/>
    <w:uiPriority w:val="38"/>
    <w:semiHidden/>
    <w:rsid w:val="003E2BDA"/>
    <w:pPr>
      <w:tabs>
        <w:tab w:val="right" w:pos="7655"/>
      </w:tabs>
      <w:spacing w:after="120"/>
      <w:ind w:right="403"/>
    </w:pPr>
    <w:rPr>
      <w:rFonts w:asciiTheme="majorHAnsi" w:eastAsiaTheme="minorEastAsia" w:hAnsiTheme="majorHAnsi"/>
      <w:noProof/>
      <w:lang w:eastAsia="en-GB"/>
    </w:rPr>
  </w:style>
  <w:style w:type="paragraph" w:styleId="TOC2">
    <w:name w:val="toc 2"/>
    <w:aliases w:val="~SubHeadings"/>
    <w:basedOn w:val="TOC1"/>
    <w:next w:val="Normal"/>
    <w:uiPriority w:val="38"/>
    <w:semiHidden/>
    <w:rsid w:val="003E2BDA"/>
    <w:pPr>
      <w:ind w:left="425"/>
    </w:pPr>
  </w:style>
  <w:style w:type="paragraph" w:styleId="TOC3">
    <w:name w:val="toc 3"/>
    <w:aliases w:val="~MinorSubheadings"/>
    <w:basedOn w:val="TOC2"/>
    <w:next w:val="Normal"/>
    <w:uiPriority w:val="38"/>
    <w:semiHidden/>
    <w:rsid w:val="003E2BDA"/>
    <w:pPr>
      <w:ind w:left="850"/>
    </w:pPr>
  </w:style>
  <w:style w:type="paragraph" w:styleId="TOC4">
    <w:name w:val="toc 4"/>
    <w:aliases w:val="~FourthHeadLevel"/>
    <w:basedOn w:val="TOC3"/>
    <w:next w:val="Normal"/>
    <w:uiPriority w:val="38"/>
    <w:semiHidden/>
    <w:rsid w:val="003E2BDA"/>
    <w:pPr>
      <w:tabs>
        <w:tab w:val="left" w:pos="2098"/>
      </w:tabs>
      <w:ind w:left="2098" w:hanging="794"/>
    </w:pPr>
  </w:style>
  <w:style w:type="paragraph" w:styleId="TOC5">
    <w:name w:val="toc 5"/>
    <w:aliases w:val="~ExecSumHeading"/>
    <w:basedOn w:val="TOC1"/>
    <w:next w:val="Normal"/>
    <w:uiPriority w:val="38"/>
    <w:semiHidden/>
    <w:rsid w:val="003E2BDA"/>
  </w:style>
  <w:style w:type="paragraph" w:styleId="TOC6">
    <w:name w:val="toc 6"/>
    <w:aliases w:val="~AppDivider"/>
    <w:basedOn w:val="TOC1"/>
    <w:next w:val="Normal"/>
    <w:uiPriority w:val="38"/>
    <w:semiHidden/>
    <w:rsid w:val="003E2BDA"/>
    <w:pPr>
      <w:spacing w:before="240"/>
    </w:pPr>
  </w:style>
  <w:style w:type="paragraph" w:styleId="TOC7">
    <w:name w:val="toc 7"/>
    <w:aliases w:val="~AppHeadings"/>
    <w:basedOn w:val="TOC1"/>
    <w:next w:val="Normal"/>
    <w:uiPriority w:val="38"/>
    <w:semiHidden/>
    <w:rsid w:val="003E2BDA"/>
  </w:style>
  <w:style w:type="paragraph" w:styleId="TOC8">
    <w:name w:val="toc 8"/>
    <w:aliases w:val="~AppSubHeadings"/>
    <w:basedOn w:val="TOC2"/>
    <w:next w:val="Normal"/>
    <w:uiPriority w:val="38"/>
    <w:semiHidden/>
    <w:rsid w:val="003E2BDA"/>
  </w:style>
  <w:style w:type="paragraph" w:styleId="TOC9">
    <w:name w:val="toc 9"/>
    <w:basedOn w:val="Normal"/>
    <w:next w:val="Normal"/>
    <w:uiPriority w:val="38"/>
    <w:semiHidden/>
    <w:rsid w:val="003E2BDA"/>
    <w:pPr>
      <w:spacing w:before="120" w:after="100"/>
      <w:ind w:left="1600"/>
    </w:pPr>
    <w:rPr>
      <w:rFonts w:ascii="Arial" w:hAnsi="Arial"/>
    </w:rPr>
  </w:style>
  <w:style w:type="paragraph" w:styleId="TOCHeading">
    <w:name w:val="TOC Heading"/>
    <w:basedOn w:val="Heading1"/>
    <w:next w:val="Normal"/>
    <w:uiPriority w:val="38"/>
    <w:semiHidden/>
    <w:rsid w:val="003E2BDA"/>
    <w:pPr>
      <w:keepLines/>
      <w:numPr>
        <w:numId w:val="0"/>
      </w:numPr>
      <w:spacing w:after="0"/>
      <w:jc w:val="both"/>
      <w:outlineLvl w:val="9"/>
    </w:pPr>
    <w:rPr>
      <w:rFonts w:eastAsiaTheme="majorEastAsia" w:cstheme="majorBidi"/>
      <w:bCs/>
      <w:szCs w:val="28"/>
    </w:rPr>
  </w:style>
  <w:style w:type="paragraph" w:styleId="Bibliography">
    <w:name w:val="Bibliography"/>
    <w:basedOn w:val="Normal"/>
    <w:next w:val="Normal"/>
    <w:uiPriority w:val="37"/>
    <w:unhideWhenUsed/>
    <w:rsid w:val="007A14C0"/>
    <w:pPr>
      <w:tabs>
        <w:tab w:val="left" w:pos="260"/>
      </w:tabs>
      <w:spacing w:after="240"/>
      <w:ind w:left="264" w:hanging="264"/>
    </w:pPr>
  </w:style>
  <w:style w:type="paragraph" w:styleId="ListParagraph">
    <w:name w:val="List Paragraph"/>
    <w:basedOn w:val="Normal"/>
    <w:uiPriority w:val="34"/>
    <w:qFormat/>
    <w:rsid w:val="00066E6D"/>
    <w:pPr>
      <w:ind w:left="720"/>
      <w:contextualSpacing/>
    </w:pPr>
  </w:style>
  <w:style w:type="character" w:customStyle="1" w:styleId="UnresolvedMention1">
    <w:name w:val="Unresolved Mention1"/>
    <w:basedOn w:val="DefaultParagraphFont"/>
    <w:uiPriority w:val="99"/>
    <w:rsid w:val="001C4EF7"/>
    <w:rPr>
      <w:color w:val="605E5C"/>
      <w:shd w:val="clear" w:color="auto" w:fill="E1DFDD"/>
    </w:rPr>
  </w:style>
  <w:style w:type="character" w:styleId="EndnoteReference">
    <w:name w:val="endnote reference"/>
    <w:basedOn w:val="DefaultParagraphFont"/>
    <w:uiPriority w:val="99"/>
    <w:semiHidden/>
    <w:unhideWhenUsed/>
    <w:rsid w:val="00251FC9"/>
    <w:rPr>
      <w:vertAlign w:val="superscript"/>
    </w:rPr>
  </w:style>
  <w:style w:type="paragraph" w:styleId="Revision">
    <w:name w:val="Revision"/>
    <w:hidden/>
    <w:uiPriority w:val="99"/>
    <w:semiHidden/>
    <w:rsid w:val="001F0590"/>
    <w:rPr>
      <w:rFonts w:eastAsiaTheme="minorEastAsia"/>
      <w:sz w:val="22"/>
    </w:rPr>
  </w:style>
  <w:style w:type="character" w:customStyle="1" w:styleId="UnresolvedMention10">
    <w:name w:val="Unresolved Mention1"/>
    <w:basedOn w:val="DefaultParagraphFont"/>
    <w:uiPriority w:val="99"/>
    <w:rsid w:val="00081528"/>
    <w:rPr>
      <w:color w:val="605E5C"/>
      <w:shd w:val="clear" w:color="auto" w:fill="E1DFDD"/>
    </w:rPr>
  </w:style>
  <w:style w:type="character" w:styleId="UnresolvedMention">
    <w:name w:val="Unresolved Mention"/>
    <w:basedOn w:val="DefaultParagraphFont"/>
    <w:uiPriority w:val="99"/>
    <w:unhideWhenUsed/>
    <w:rsid w:val="00B6734E"/>
    <w:rPr>
      <w:color w:val="605E5C"/>
      <w:shd w:val="clear" w:color="auto" w:fill="E1DFDD"/>
    </w:rPr>
  </w:style>
  <w:style w:type="character" w:styleId="LineNumber">
    <w:name w:val="line number"/>
    <w:basedOn w:val="DefaultParagraphFont"/>
    <w:uiPriority w:val="99"/>
    <w:semiHidden/>
    <w:unhideWhenUsed/>
    <w:rsid w:val="00142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8098">
      <w:bodyDiv w:val="1"/>
      <w:marLeft w:val="0"/>
      <w:marRight w:val="0"/>
      <w:marTop w:val="0"/>
      <w:marBottom w:val="0"/>
      <w:divBdr>
        <w:top w:val="none" w:sz="0" w:space="0" w:color="auto"/>
        <w:left w:val="none" w:sz="0" w:space="0" w:color="auto"/>
        <w:bottom w:val="none" w:sz="0" w:space="0" w:color="auto"/>
        <w:right w:val="none" w:sz="0" w:space="0" w:color="auto"/>
      </w:divBdr>
    </w:div>
    <w:div w:id="69543894">
      <w:bodyDiv w:val="1"/>
      <w:marLeft w:val="0"/>
      <w:marRight w:val="0"/>
      <w:marTop w:val="0"/>
      <w:marBottom w:val="0"/>
      <w:divBdr>
        <w:top w:val="none" w:sz="0" w:space="0" w:color="auto"/>
        <w:left w:val="none" w:sz="0" w:space="0" w:color="auto"/>
        <w:bottom w:val="none" w:sz="0" w:space="0" w:color="auto"/>
        <w:right w:val="none" w:sz="0" w:space="0" w:color="auto"/>
      </w:divBdr>
      <w:divsChild>
        <w:div w:id="655836538">
          <w:marLeft w:val="0"/>
          <w:marRight w:val="0"/>
          <w:marTop w:val="0"/>
          <w:marBottom w:val="0"/>
          <w:divBdr>
            <w:top w:val="none" w:sz="0" w:space="0" w:color="auto"/>
            <w:left w:val="none" w:sz="0" w:space="0" w:color="auto"/>
            <w:bottom w:val="none" w:sz="0" w:space="0" w:color="auto"/>
            <w:right w:val="none" w:sz="0" w:space="0" w:color="auto"/>
          </w:divBdr>
          <w:divsChild>
            <w:div w:id="1746949744">
              <w:marLeft w:val="0"/>
              <w:marRight w:val="0"/>
              <w:marTop w:val="0"/>
              <w:marBottom w:val="0"/>
              <w:divBdr>
                <w:top w:val="none" w:sz="0" w:space="0" w:color="auto"/>
                <w:left w:val="none" w:sz="0" w:space="0" w:color="auto"/>
                <w:bottom w:val="none" w:sz="0" w:space="0" w:color="auto"/>
                <w:right w:val="none" w:sz="0" w:space="0" w:color="auto"/>
              </w:divBdr>
              <w:divsChild>
                <w:div w:id="297878108">
                  <w:marLeft w:val="0"/>
                  <w:marRight w:val="0"/>
                  <w:marTop w:val="0"/>
                  <w:marBottom w:val="0"/>
                  <w:divBdr>
                    <w:top w:val="none" w:sz="0" w:space="0" w:color="auto"/>
                    <w:left w:val="none" w:sz="0" w:space="0" w:color="auto"/>
                    <w:bottom w:val="none" w:sz="0" w:space="0" w:color="auto"/>
                    <w:right w:val="none" w:sz="0" w:space="0" w:color="auto"/>
                  </w:divBdr>
                  <w:divsChild>
                    <w:div w:id="17991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1746">
      <w:bodyDiv w:val="1"/>
      <w:marLeft w:val="0"/>
      <w:marRight w:val="0"/>
      <w:marTop w:val="0"/>
      <w:marBottom w:val="0"/>
      <w:divBdr>
        <w:top w:val="none" w:sz="0" w:space="0" w:color="auto"/>
        <w:left w:val="none" w:sz="0" w:space="0" w:color="auto"/>
        <w:bottom w:val="none" w:sz="0" w:space="0" w:color="auto"/>
        <w:right w:val="none" w:sz="0" w:space="0" w:color="auto"/>
      </w:divBdr>
    </w:div>
    <w:div w:id="295186401">
      <w:bodyDiv w:val="1"/>
      <w:marLeft w:val="0"/>
      <w:marRight w:val="0"/>
      <w:marTop w:val="0"/>
      <w:marBottom w:val="0"/>
      <w:divBdr>
        <w:top w:val="none" w:sz="0" w:space="0" w:color="auto"/>
        <w:left w:val="none" w:sz="0" w:space="0" w:color="auto"/>
        <w:bottom w:val="none" w:sz="0" w:space="0" w:color="auto"/>
        <w:right w:val="none" w:sz="0" w:space="0" w:color="auto"/>
      </w:divBdr>
    </w:div>
    <w:div w:id="384138382">
      <w:bodyDiv w:val="1"/>
      <w:marLeft w:val="0"/>
      <w:marRight w:val="0"/>
      <w:marTop w:val="0"/>
      <w:marBottom w:val="0"/>
      <w:divBdr>
        <w:top w:val="none" w:sz="0" w:space="0" w:color="auto"/>
        <w:left w:val="none" w:sz="0" w:space="0" w:color="auto"/>
        <w:bottom w:val="none" w:sz="0" w:space="0" w:color="auto"/>
        <w:right w:val="none" w:sz="0" w:space="0" w:color="auto"/>
      </w:divBdr>
      <w:divsChild>
        <w:div w:id="700203987">
          <w:marLeft w:val="0"/>
          <w:marRight w:val="0"/>
          <w:marTop w:val="0"/>
          <w:marBottom w:val="0"/>
          <w:divBdr>
            <w:top w:val="none" w:sz="0" w:space="0" w:color="auto"/>
            <w:left w:val="none" w:sz="0" w:space="0" w:color="auto"/>
            <w:bottom w:val="none" w:sz="0" w:space="0" w:color="auto"/>
            <w:right w:val="none" w:sz="0" w:space="0" w:color="auto"/>
          </w:divBdr>
          <w:divsChild>
            <w:div w:id="212035829">
              <w:marLeft w:val="0"/>
              <w:marRight w:val="0"/>
              <w:marTop w:val="0"/>
              <w:marBottom w:val="0"/>
              <w:divBdr>
                <w:top w:val="none" w:sz="0" w:space="0" w:color="auto"/>
                <w:left w:val="none" w:sz="0" w:space="0" w:color="auto"/>
                <w:bottom w:val="none" w:sz="0" w:space="0" w:color="auto"/>
                <w:right w:val="none" w:sz="0" w:space="0" w:color="auto"/>
              </w:divBdr>
              <w:divsChild>
                <w:div w:id="721293103">
                  <w:marLeft w:val="0"/>
                  <w:marRight w:val="0"/>
                  <w:marTop w:val="0"/>
                  <w:marBottom w:val="0"/>
                  <w:divBdr>
                    <w:top w:val="none" w:sz="0" w:space="0" w:color="auto"/>
                    <w:left w:val="none" w:sz="0" w:space="0" w:color="auto"/>
                    <w:bottom w:val="none" w:sz="0" w:space="0" w:color="auto"/>
                    <w:right w:val="none" w:sz="0" w:space="0" w:color="auto"/>
                  </w:divBdr>
                  <w:divsChild>
                    <w:div w:id="37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04498">
      <w:bodyDiv w:val="1"/>
      <w:marLeft w:val="0"/>
      <w:marRight w:val="0"/>
      <w:marTop w:val="0"/>
      <w:marBottom w:val="0"/>
      <w:divBdr>
        <w:top w:val="none" w:sz="0" w:space="0" w:color="auto"/>
        <w:left w:val="none" w:sz="0" w:space="0" w:color="auto"/>
        <w:bottom w:val="none" w:sz="0" w:space="0" w:color="auto"/>
        <w:right w:val="none" w:sz="0" w:space="0" w:color="auto"/>
      </w:divBdr>
    </w:div>
    <w:div w:id="518786237">
      <w:bodyDiv w:val="1"/>
      <w:marLeft w:val="0"/>
      <w:marRight w:val="0"/>
      <w:marTop w:val="0"/>
      <w:marBottom w:val="0"/>
      <w:divBdr>
        <w:top w:val="none" w:sz="0" w:space="0" w:color="auto"/>
        <w:left w:val="none" w:sz="0" w:space="0" w:color="auto"/>
        <w:bottom w:val="none" w:sz="0" w:space="0" w:color="auto"/>
        <w:right w:val="none" w:sz="0" w:space="0" w:color="auto"/>
      </w:divBdr>
      <w:divsChild>
        <w:div w:id="979387187">
          <w:marLeft w:val="0"/>
          <w:marRight w:val="0"/>
          <w:marTop w:val="0"/>
          <w:marBottom w:val="0"/>
          <w:divBdr>
            <w:top w:val="none" w:sz="0" w:space="0" w:color="auto"/>
            <w:left w:val="none" w:sz="0" w:space="0" w:color="auto"/>
            <w:bottom w:val="none" w:sz="0" w:space="0" w:color="auto"/>
            <w:right w:val="none" w:sz="0" w:space="0" w:color="auto"/>
          </w:divBdr>
          <w:divsChild>
            <w:div w:id="1656490530">
              <w:marLeft w:val="0"/>
              <w:marRight w:val="0"/>
              <w:marTop w:val="0"/>
              <w:marBottom w:val="0"/>
              <w:divBdr>
                <w:top w:val="none" w:sz="0" w:space="0" w:color="auto"/>
                <w:left w:val="none" w:sz="0" w:space="0" w:color="auto"/>
                <w:bottom w:val="none" w:sz="0" w:space="0" w:color="auto"/>
                <w:right w:val="none" w:sz="0" w:space="0" w:color="auto"/>
              </w:divBdr>
              <w:divsChild>
                <w:div w:id="729303531">
                  <w:marLeft w:val="0"/>
                  <w:marRight w:val="0"/>
                  <w:marTop w:val="0"/>
                  <w:marBottom w:val="0"/>
                  <w:divBdr>
                    <w:top w:val="none" w:sz="0" w:space="0" w:color="auto"/>
                    <w:left w:val="none" w:sz="0" w:space="0" w:color="auto"/>
                    <w:bottom w:val="none" w:sz="0" w:space="0" w:color="auto"/>
                    <w:right w:val="none" w:sz="0" w:space="0" w:color="auto"/>
                  </w:divBdr>
                  <w:divsChild>
                    <w:div w:id="881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49963">
      <w:bodyDiv w:val="1"/>
      <w:marLeft w:val="0"/>
      <w:marRight w:val="0"/>
      <w:marTop w:val="0"/>
      <w:marBottom w:val="0"/>
      <w:divBdr>
        <w:top w:val="none" w:sz="0" w:space="0" w:color="auto"/>
        <w:left w:val="none" w:sz="0" w:space="0" w:color="auto"/>
        <w:bottom w:val="none" w:sz="0" w:space="0" w:color="auto"/>
        <w:right w:val="none" w:sz="0" w:space="0" w:color="auto"/>
      </w:divBdr>
    </w:div>
    <w:div w:id="602999185">
      <w:bodyDiv w:val="1"/>
      <w:marLeft w:val="0"/>
      <w:marRight w:val="0"/>
      <w:marTop w:val="0"/>
      <w:marBottom w:val="0"/>
      <w:divBdr>
        <w:top w:val="none" w:sz="0" w:space="0" w:color="auto"/>
        <w:left w:val="none" w:sz="0" w:space="0" w:color="auto"/>
        <w:bottom w:val="none" w:sz="0" w:space="0" w:color="auto"/>
        <w:right w:val="none" w:sz="0" w:space="0" w:color="auto"/>
      </w:divBdr>
    </w:div>
    <w:div w:id="940068597">
      <w:bodyDiv w:val="1"/>
      <w:marLeft w:val="0"/>
      <w:marRight w:val="0"/>
      <w:marTop w:val="0"/>
      <w:marBottom w:val="0"/>
      <w:divBdr>
        <w:top w:val="none" w:sz="0" w:space="0" w:color="auto"/>
        <w:left w:val="none" w:sz="0" w:space="0" w:color="auto"/>
        <w:bottom w:val="none" w:sz="0" w:space="0" w:color="auto"/>
        <w:right w:val="none" w:sz="0" w:space="0" w:color="auto"/>
      </w:divBdr>
    </w:div>
    <w:div w:id="1456175421">
      <w:bodyDiv w:val="1"/>
      <w:marLeft w:val="0"/>
      <w:marRight w:val="0"/>
      <w:marTop w:val="0"/>
      <w:marBottom w:val="0"/>
      <w:divBdr>
        <w:top w:val="none" w:sz="0" w:space="0" w:color="auto"/>
        <w:left w:val="none" w:sz="0" w:space="0" w:color="auto"/>
        <w:bottom w:val="none" w:sz="0" w:space="0" w:color="auto"/>
        <w:right w:val="none" w:sz="0" w:space="0" w:color="auto"/>
      </w:divBdr>
    </w:div>
    <w:div w:id="1788356354">
      <w:bodyDiv w:val="1"/>
      <w:marLeft w:val="0"/>
      <w:marRight w:val="0"/>
      <w:marTop w:val="0"/>
      <w:marBottom w:val="0"/>
      <w:divBdr>
        <w:top w:val="none" w:sz="0" w:space="0" w:color="auto"/>
        <w:left w:val="none" w:sz="0" w:space="0" w:color="auto"/>
        <w:bottom w:val="none" w:sz="0" w:space="0" w:color="auto"/>
        <w:right w:val="none" w:sz="0" w:space="0" w:color="auto"/>
      </w:divBdr>
    </w:div>
    <w:div w:id="1939219334">
      <w:bodyDiv w:val="1"/>
      <w:marLeft w:val="0"/>
      <w:marRight w:val="0"/>
      <w:marTop w:val="0"/>
      <w:marBottom w:val="0"/>
      <w:divBdr>
        <w:top w:val="none" w:sz="0" w:space="0" w:color="auto"/>
        <w:left w:val="none" w:sz="0" w:space="0" w:color="auto"/>
        <w:bottom w:val="none" w:sz="0" w:space="0" w:color="auto"/>
        <w:right w:val="none" w:sz="0" w:space="0" w:color="auto"/>
      </w:divBdr>
    </w:div>
    <w:div w:id="1981222606">
      <w:bodyDiv w:val="1"/>
      <w:marLeft w:val="0"/>
      <w:marRight w:val="0"/>
      <w:marTop w:val="0"/>
      <w:marBottom w:val="0"/>
      <w:divBdr>
        <w:top w:val="none" w:sz="0" w:space="0" w:color="auto"/>
        <w:left w:val="none" w:sz="0" w:space="0" w:color="auto"/>
        <w:bottom w:val="none" w:sz="0" w:space="0" w:color="auto"/>
        <w:right w:val="none" w:sz="0" w:space="0" w:color="auto"/>
      </w:divBdr>
      <w:divsChild>
        <w:div w:id="472597995">
          <w:marLeft w:val="0"/>
          <w:marRight w:val="0"/>
          <w:marTop w:val="0"/>
          <w:marBottom w:val="0"/>
          <w:divBdr>
            <w:top w:val="none" w:sz="0" w:space="0" w:color="auto"/>
            <w:left w:val="none" w:sz="0" w:space="0" w:color="auto"/>
            <w:bottom w:val="none" w:sz="0" w:space="0" w:color="auto"/>
            <w:right w:val="none" w:sz="0" w:space="0" w:color="auto"/>
          </w:divBdr>
          <w:divsChild>
            <w:div w:id="396367007">
              <w:marLeft w:val="0"/>
              <w:marRight w:val="0"/>
              <w:marTop w:val="0"/>
              <w:marBottom w:val="0"/>
              <w:divBdr>
                <w:top w:val="none" w:sz="0" w:space="0" w:color="auto"/>
                <w:left w:val="none" w:sz="0" w:space="0" w:color="auto"/>
                <w:bottom w:val="none" w:sz="0" w:space="0" w:color="auto"/>
                <w:right w:val="none" w:sz="0" w:space="0" w:color="auto"/>
              </w:divBdr>
              <w:divsChild>
                <w:div w:id="633678381">
                  <w:marLeft w:val="0"/>
                  <w:marRight w:val="0"/>
                  <w:marTop w:val="0"/>
                  <w:marBottom w:val="0"/>
                  <w:divBdr>
                    <w:top w:val="none" w:sz="0" w:space="0" w:color="auto"/>
                    <w:left w:val="none" w:sz="0" w:space="0" w:color="auto"/>
                    <w:bottom w:val="none" w:sz="0" w:space="0" w:color="auto"/>
                    <w:right w:val="none" w:sz="0" w:space="0" w:color="auto"/>
                  </w:divBdr>
                  <w:divsChild>
                    <w:div w:id="17555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nam11.safelinks.protection.outlook.com/?url=https%3A%2F%2Fbrinda-nutrition.org%2F&amp;data=04%7C01%7Cmelissa.young%40emory.edu%7C9eb156a5dec74ea6926108d92088431e%7Ce004fb9cb0a4424fbcd0322606d5df38%7C0%7C0%7C637576591883321794%7CUnknown%7CTWFpbGZsb3d8eyJWIjoiMC4wLjAwMDAiLCJQIjoiV2luMzIiLCJBTiI6Ik1haWwiLCJXVCI6Mn0%3D%7C1000&amp;sdata=%2BM%2F0KFv9jTdavtnyNoPlWHUpgNnh%2FZi7Qt4zH0B%2FkrY%3D&amp;reserved=0" TargetMode="Externa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ynnetten@gmail.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hyperlink" Target="https://github.com/GAINAlliance/hiddenhung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A4258609A05B4FA176124FB543DCA1" ma:contentTypeVersion="9" ma:contentTypeDescription="Create a new document." ma:contentTypeScope="" ma:versionID="e6fefa83f85c53617476442510fa367d">
  <xsd:schema xmlns:xsd="http://www.w3.org/2001/XMLSchema" xmlns:xs="http://www.w3.org/2001/XMLSchema" xmlns:p="http://schemas.microsoft.com/office/2006/metadata/properties" xmlns:ns2="e3f8733a-d898-4ca8-8f89-cf73917ae576" xmlns:ns3="ef458fb7-983c-4bc3-9fee-003dbf7ee133" targetNamespace="http://schemas.microsoft.com/office/2006/metadata/properties" ma:root="true" ma:fieldsID="70d827e2ee94c8cf9310b9e2baf10c90" ns2:_="" ns3:_="">
    <xsd:import namespace="e3f8733a-d898-4ca8-8f89-cf73917ae576"/>
    <xsd:import namespace="ef458fb7-983c-4bc3-9fee-003dbf7ee1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8733a-d898-4ca8-8f89-cf73917ae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458fb7-983c-4bc3-9fee-003dbf7ee1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ef458fb7-983c-4bc3-9fee-003dbf7ee133">
      <UserInfo>
        <DisplayName>Lynnette Neufeld</DisplayName>
        <AccountId>16</AccountId>
        <AccountType/>
      </UserInfo>
      <UserInfo>
        <DisplayName>Mduduzi Mbuya</DisplayName>
        <AccountId>17</AccountId>
        <AccountType/>
      </UserInfo>
    </SharedWithUsers>
  </documentManagement>
</p:properties>
</file>

<file path=customXml/itemProps1.xml><?xml version="1.0" encoding="utf-8"?>
<ds:datastoreItem xmlns:ds="http://schemas.openxmlformats.org/officeDocument/2006/customXml" ds:itemID="{8A62F72D-2A88-44EA-86EA-B142BB98E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8733a-d898-4ca8-8f89-cf73917ae576"/>
    <ds:schemaRef ds:uri="ef458fb7-983c-4bc3-9fee-003dbf7ee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EAF3BB-DA3B-46CE-8496-F302424FD90D}">
  <ds:schemaRefs>
    <ds:schemaRef ds:uri="http://schemas.microsoft.com/sharepoint/v3/contenttype/forms"/>
  </ds:schemaRefs>
</ds:datastoreItem>
</file>

<file path=customXml/itemProps3.xml><?xml version="1.0" encoding="utf-8"?>
<ds:datastoreItem xmlns:ds="http://schemas.openxmlformats.org/officeDocument/2006/customXml" ds:itemID="{44E24C20-83BD-493A-BF34-0DA90E134C96}">
  <ds:schemaRefs>
    <ds:schemaRef ds:uri="http://schemas.openxmlformats.org/officeDocument/2006/bibliography"/>
  </ds:schemaRefs>
</ds:datastoreItem>
</file>

<file path=customXml/itemProps4.xml><?xml version="1.0" encoding="utf-8"?>
<ds:datastoreItem xmlns:ds="http://schemas.openxmlformats.org/officeDocument/2006/customXml" ds:itemID="{794EBB23-0DA2-49C2-A2E0-5CC79ED61E00}">
  <ds:schemaRefs>
    <ds:schemaRef ds:uri="http://schemas.microsoft.com/office/2006/metadata/properties"/>
    <ds:schemaRef ds:uri="http://schemas.microsoft.com/office/infopath/2007/PartnerControls"/>
    <ds:schemaRef ds:uri="ef458fb7-983c-4bc3-9fee-003dbf7ee133"/>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19679</Words>
  <Characters>112173</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131589</CharactersWithSpaces>
  <SharedDoc>false</SharedDoc>
  <HLinks>
    <vt:vector size="6" baseType="variant">
      <vt:variant>
        <vt:i4>7405676</vt:i4>
      </vt:variant>
      <vt:variant>
        <vt:i4>0</vt:i4>
      </vt:variant>
      <vt:variant>
        <vt:i4>0</vt:i4>
      </vt:variant>
      <vt:variant>
        <vt:i4>5</vt:i4>
      </vt:variant>
      <vt:variant>
        <vt:lpwstr>https://nam11.safelinks.protection.outlook.com/?url=https%3A%2F%2Fbrinda-nutrition.org%2F&amp;data=04%7C01%7Cmelissa.young%40emory.edu%7C9eb156a5dec74ea6926108d92088431e%7Ce004fb9cb0a4424fbcd0322606d5df38%7C0%7C0%7C637576591883321794%7CUnknown%7CTWFpbGZsb3d8eyJWIjoiMC4wLjAwMDAiLCJQIjoiV2luMzIiLCJBTiI6Ik1haWwiLCJXVCI6Mn0%3D%7C1000&amp;sdata=%2BM%2F0KFv9jTdavtnyNoPlWHUpgNnh%2FZi7Qt4zH0B%2FkrY%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Beal</dc:creator>
  <cp:keywords/>
  <dc:description/>
  <cp:lastModifiedBy>Ty Beal</cp:lastModifiedBy>
  <cp:revision>49</cp:revision>
  <cp:lastPrinted>2022-01-31T16:50:00Z</cp:lastPrinted>
  <dcterms:created xsi:type="dcterms:W3CDTF">2022-02-06T02:17:00Z</dcterms:created>
  <dcterms:modified xsi:type="dcterms:W3CDTF">2022-02-06T03:00:00Z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id="2a68pk1S"/&gt;&lt;style id="http://www.zotero.org/styles/the-lancet" hasBibliography="1" bibliographyStyleHasBeenSet="1"/&gt;&lt;prefs&gt;&lt;pref name="fieldType" value="Field"/&gt;&lt;pref name="dontAskDelayCitation</vt:lpwstr>
  </property>
  <property fmtid="{D5CDD505-2E9C-101B-9397-08002B2CF9AE}" pid="3" name="ZOTERO_PREF_2">
    <vt:lpwstr>Updates" value="true"/&gt;&lt;/prefs&gt;&lt;/data&gt;</vt:lpwstr>
  </property>
  <property fmtid="{D5CDD505-2E9C-101B-9397-08002B2CF9AE}" pid="4" name="ContentTypeId">
    <vt:lpwstr>0x0101000DA4258609A05B4FA176124FB543DCA1</vt:lpwstr>
  </property>
  <property fmtid="{D5CDD505-2E9C-101B-9397-08002B2CF9AE}" pid="5" name="MSIP_Label_7b94a7b8-f06c-4dfe-bdcc-9b548fd58c31_Enabled">
    <vt:lpwstr>true</vt:lpwstr>
  </property>
  <property fmtid="{D5CDD505-2E9C-101B-9397-08002B2CF9AE}" pid="6" name="MSIP_Label_7b94a7b8-f06c-4dfe-bdcc-9b548fd58c31_SetDate">
    <vt:lpwstr>2022-02-03T17:35:44Z</vt:lpwstr>
  </property>
  <property fmtid="{D5CDD505-2E9C-101B-9397-08002B2CF9AE}" pid="7" name="MSIP_Label_7b94a7b8-f06c-4dfe-bdcc-9b548fd58c31_Method">
    <vt:lpwstr>Privileged</vt:lpwstr>
  </property>
  <property fmtid="{D5CDD505-2E9C-101B-9397-08002B2CF9AE}" pid="8" name="MSIP_Label_7b94a7b8-f06c-4dfe-bdcc-9b548fd58c31_Name">
    <vt:lpwstr>7b94a7b8-f06c-4dfe-bdcc-9b548fd58c31</vt:lpwstr>
  </property>
  <property fmtid="{D5CDD505-2E9C-101B-9397-08002B2CF9AE}" pid="9" name="MSIP_Label_7b94a7b8-f06c-4dfe-bdcc-9b548fd58c31_SiteId">
    <vt:lpwstr>9ce70869-60db-44fd-abe8-d2767077fc8f</vt:lpwstr>
  </property>
  <property fmtid="{D5CDD505-2E9C-101B-9397-08002B2CF9AE}" pid="10" name="MSIP_Label_7b94a7b8-f06c-4dfe-bdcc-9b548fd58c31_ActionId">
    <vt:lpwstr>d0d1b193-9acd-4efc-936d-65660928e39e</vt:lpwstr>
  </property>
  <property fmtid="{D5CDD505-2E9C-101B-9397-08002B2CF9AE}" pid="11" name="MSIP_Label_7b94a7b8-f06c-4dfe-bdcc-9b548fd58c31_ContentBits">
    <vt:lpwstr>0</vt:lpwstr>
  </property>
</Properties>
</file>