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EF8C4" w14:textId="5B8FC3C4" w:rsidR="00C7550F" w:rsidRPr="00A34060" w:rsidRDefault="00C7550F" w:rsidP="0003642E">
      <w:pPr>
        <w:pStyle w:val="Heading1"/>
        <w:rPr>
          <w:lang w:val="en-GB"/>
        </w:rPr>
      </w:pPr>
    </w:p>
    <w:p w14:paraId="25638210" w14:textId="4168011F" w:rsidR="00925E02" w:rsidRDefault="00D359F9" w:rsidP="00170726">
      <w:pPr>
        <w:jc w:val="center"/>
        <w:rPr>
          <w:rFonts w:eastAsiaTheme="majorEastAsia" w:cstheme="minorHAnsi"/>
          <w:b/>
          <w:i/>
          <w:color w:val="365F91" w:themeColor="accent1" w:themeShade="BF"/>
          <w:sz w:val="36"/>
          <w:szCs w:val="32"/>
          <w:lang w:val="en-GB"/>
        </w:rPr>
      </w:pPr>
      <w:r>
        <w:rPr>
          <w:rFonts w:eastAsiaTheme="majorEastAsia" w:cstheme="minorHAnsi"/>
          <w:b/>
          <w:i/>
          <w:color w:val="365F91" w:themeColor="accent1" w:themeShade="BF"/>
          <w:sz w:val="36"/>
          <w:szCs w:val="32"/>
          <w:lang w:val="en-GB"/>
        </w:rPr>
        <w:t>Revealing the prevalence of “hidden hunger”: global and regional estimates of micronutrient deficiencies among preschool-age children and non-pregnant women of reproductive age</w:t>
      </w:r>
    </w:p>
    <w:p w14:paraId="7346560E" w14:textId="77777777" w:rsidR="00CA6C92" w:rsidRDefault="00CA6C92" w:rsidP="00170726">
      <w:pPr>
        <w:jc w:val="center"/>
        <w:rPr>
          <w:rFonts w:eastAsiaTheme="majorEastAsia" w:cstheme="minorHAnsi"/>
          <w:b/>
          <w:i/>
          <w:color w:val="365F91" w:themeColor="accent1" w:themeShade="BF"/>
          <w:sz w:val="36"/>
          <w:szCs w:val="32"/>
          <w:lang w:val="en-GB"/>
        </w:rPr>
      </w:pPr>
    </w:p>
    <w:p w14:paraId="4366CD38" w14:textId="6BEE40FD" w:rsidR="00CA6C92" w:rsidRPr="00CA6C92" w:rsidRDefault="00CA6C92" w:rsidP="00170726">
      <w:pPr>
        <w:jc w:val="center"/>
        <w:rPr>
          <w:rFonts w:eastAsiaTheme="majorEastAsia" w:cstheme="minorHAnsi"/>
          <w:b/>
          <w:iCs/>
          <w:color w:val="365F91" w:themeColor="accent1" w:themeShade="BF"/>
          <w:sz w:val="36"/>
          <w:szCs w:val="32"/>
          <w:lang w:val="en-GB"/>
        </w:rPr>
      </w:pPr>
      <w:r w:rsidRPr="00CA6C92">
        <w:rPr>
          <w:rFonts w:eastAsiaTheme="majorEastAsia" w:cstheme="minorHAnsi"/>
          <w:b/>
          <w:iCs/>
          <w:color w:val="365F91" w:themeColor="accent1" w:themeShade="BF"/>
          <w:sz w:val="36"/>
          <w:szCs w:val="32"/>
          <w:lang w:val="en-GB"/>
        </w:rPr>
        <w:t>Appendix</w:t>
      </w:r>
    </w:p>
    <w:p w14:paraId="2EFB1B60" w14:textId="534F8F94" w:rsidR="004E47DD" w:rsidRPr="00A34060" w:rsidRDefault="004E47DD" w:rsidP="0003642E">
      <w:pPr>
        <w:rPr>
          <w:rFonts w:eastAsiaTheme="majorEastAsia" w:cstheme="minorHAnsi"/>
          <w:b/>
          <w:i/>
          <w:color w:val="365F91" w:themeColor="accent1" w:themeShade="BF"/>
          <w:sz w:val="36"/>
          <w:szCs w:val="32"/>
          <w:lang w:val="en-GB"/>
        </w:rPr>
      </w:pPr>
    </w:p>
    <w:p w14:paraId="2E440DCA" w14:textId="794E035E" w:rsidR="007D200D" w:rsidRPr="00A34060" w:rsidRDefault="007D200D" w:rsidP="0003642E">
      <w:pPr>
        <w:rPr>
          <w:rFonts w:eastAsiaTheme="majorEastAsia" w:cstheme="minorHAnsi"/>
          <w:b/>
          <w:color w:val="365F91" w:themeColor="accent1" w:themeShade="BF"/>
          <w:sz w:val="32"/>
          <w:szCs w:val="32"/>
          <w:lang w:val="en-GB"/>
        </w:rPr>
      </w:pPr>
    </w:p>
    <w:p w14:paraId="40E4379E" w14:textId="77777777" w:rsidR="00746842" w:rsidRPr="00A34060" w:rsidRDefault="00746842" w:rsidP="0003642E">
      <w:pPr>
        <w:rPr>
          <w:rFonts w:cstheme="minorHAnsi"/>
          <w:b/>
          <w:bCs/>
          <w:i/>
          <w:lang w:val="en-GB"/>
        </w:rPr>
      </w:pPr>
    </w:p>
    <w:p w14:paraId="27F86E0C" w14:textId="00A293E3" w:rsidR="00E017EA" w:rsidRPr="00A34060" w:rsidRDefault="00E017EA" w:rsidP="0003642E">
      <w:pPr>
        <w:rPr>
          <w:rFonts w:cstheme="minorHAnsi"/>
          <w:b/>
          <w:bCs/>
          <w:i/>
          <w:lang w:val="en-GB"/>
        </w:rPr>
      </w:pPr>
    </w:p>
    <w:p w14:paraId="7810108D" w14:textId="1B57EE0F" w:rsidR="00E017EA" w:rsidRPr="00A34060" w:rsidRDefault="00E017EA" w:rsidP="0003642E">
      <w:pPr>
        <w:rPr>
          <w:rFonts w:cstheme="minorHAnsi"/>
          <w:b/>
          <w:bCs/>
          <w:i/>
          <w:lang w:val="en-GB"/>
        </w:rPr>
      </w:pPr>
    </w:p>
    <w:p w14:paraId="175465A2" w14:textId="5DD08482" w:rsidR="00E017EA" w:rsidRPr="00A34060" w:rsidRDefault="00E017EA" w:rsidP="0003642E">
      <w:pPr>
        <w:rPr>
          <w:rFonts w:cstheme="minorHAnsi"/>
          <w:b/>
          <w:bCs/>
          <w:i/>
          <w:lang w:val="en-GB"/>
        </w:rPr>
      </w:pPr>
    </w:p>
    <w:p w14:paraId="2378532F" w14:textId="5A1BF163" w:rsidR="009B44DC" w:rsidRPr="00A34060" w:rsidRDefault="009B44DC" w:rsidP="0003642E">
      <w:pPr>
        <w:rPr>
          <w:rFonts w:cstheme="minorHAnsi"/>
          <w:b/>
          <w:bCs/>
          <w:i/>
          <w:lang w:val="en-GB"/>
        </w:rPr>
      </w:pPr>
    </w:p>
    <w:p w14:paraId="7D084F75" w14:textId="42DD3C4E" w:rsidR="009B44DC" w:rsidRPr="00A34060" w:rsidRDefault="009B44DC" w:rsidP="0003642E">
      <w:pPr>
        <w:rPr>
          <w:rFonts w:cstheme="minorHAnsi"/>
          <w:b/>
          <w:bCs/>
          <w:i/>
          <w:lang w:val="en-GB"/>
        </w:rPr>
      </w:pPr>
    </w:p>
    <w:p w14:paraId="3C5F5F77" w14:textId="31DE3DFC" w:rsidR="009B44DC" w:rsidRPr="00A34060" w:rsidRDefault="009B44DC" w:rsidP="0003642E">
      <w:pPr>
        <w:rPr>
          <w:rFonts w:cstheme="minorHAnsi"/>
          <w:b/>
          <w:bCs/>
          <w:i/>
          <w:lang w:val="en-GB"/>
        </w:rPr>
      </w:pPr>
    </w:p>
    <w:p w14:paraId="35FCB9A6" w14:textId="3B6AEB9F" w:rsidR="009B44DC" w:rsidRPr="00A34060" w:rsidRDefault="009B44DC" w:rsidP="0003642E">
      <w:pPr>
        <w:rPr>
          <w:rFonts w:cstheme="minorHAnsi"/>
          <w:b/>
          <w:bCs/>
          <w:i/>
          <w:lang w:val="en-GB"/>
        </w:rPr>
      </w:pPr>
    </w:p>
    <w:p w14:paraId="61268541" w14:textId="77777777" w:rsidR="00EC28A7" w:rsidRPr="00A34060" w:rsidRDefault="00EC28A7" w:rsidP="0003642E">
      <w:pPr>
        <w:rPr>
          <w:rFonts w:cstheme="minorHAnsi"/>
          <w:b/>
          <w:bCs/>
          <w:i/>
          <w:lang w:val="en-GB"/>
        </w:rPr>
      </w:pPr>
    </w:p>
    <w:p w14:paraId="4AF04EF3" w14:textId="77777777" w:rsidR="00E017EA" w:rsidRPr="00A34060" w:rsidRDefault="00E017EA" w:rsidP="0003642E">
      <w:pPr>
        <w:rPr>
          <w:rFonts w:cstheme="minorHAnsi"/>
          <w:b/>
          <w:bCs/>
          <w:i/>
          <w:lang w:val="en-GB"/>
        </w:rPr>
      </w:pPr>
    </w:p>
    <w:p w14:paraId="089E67FF" w14:textId="40084CF2" w:rsidR="00BE750F" w:rsidRPr="00A34060" w:rsidRDefault="00BE750F" w:rsidP="0003642E">
      <w:pPr>
        <w:jc w:val="center"/>
        <w:rPr>
          <w:rStyle w:val="IntenseEmphasis"/>
          <w:rFonts w:cstheme="minorHAnsi"/>
          <w:b/>
          <w:sz w:val="32"/>
          <w:lang w:val="en-GB"/>
        </w:rPr>
      </w:pPr>
    </w:p>
    <w:p w14:paraId="02DF7F07" w14:textId="77777777" w:rsidR="00577092" w:rsidRPr="00A34060" w:rsidRDefault="00577092" w:rsidP="0003642E">
      <w:pPr>
        <w:jc w:val="center"/>
        <w:rPr>
          <w:rStyle w:val="IntenseEmphasis"/>
          <w:rFonts w:cstheme="minorHAnsi"/>
          <w:b/>
          <w:sz w:val="32"/>
          <w:lang w:val="en-GB"/>
        </w:rPr>
      </w:pPr>
    </w:p>
    <w:p w14:paraId="0FF821BD" w14:textId="3D33066F" w:rsidR="007D200D" w:rsidRPr="00A34060" w:rsidRDefault="007D200D" w:rsidP="0003642E">
      <w:pPr>
        <w:jc w:val="center"/>
        <w:rPr>
          <w:rStyle w:val="IntenseEmphasis"/>
          <w:rFonts w:cstheme="minorHAnsi"/>
          <w:lang w:val="en-GB"/>
        </w:rPr>
      </w:pPr>
    </w:p>
    <w:p w14:paraId="698AA1B2" w14:textId="3ACF0C08" w:rsidR="007D200D" w:rsidRPr="00A34060" w:rsidRDefault="007D200D" w:rsidP="0003642E">
      <w:pPr>
        <w:jc w:val="center"/>
        <w:rPr>
          <w:rStyle w:val="IntenseEmphasis"/>
          <w:rFonts w:cstheme="minorHAnsi"/>
          <w:lang w:val="en-GB"/>
        </w:rPr>
      </w:pPr>
    </w:p>
    <w:p w14:paraId="2D966C35" w14:textId="7EC1F781" w:rsidR="007D200D" w:rsidRPr="00A34060" w:rsidRDefault="007D200D" w:rsidP="0003642E">
      <w:pPr>
        <w:rPr>
          <w:rStyle w:val="IntenseEmphasis"/>
          <w:rFonts w:cstheme="minorHAnsi"/>
          <w:lang w:val="en-GB"/>
        </w:rPr>
      </w:pPr>
    </w:p>
    <w:p w14:paraId="6A7AF0FE" w14:textId="0A8DE7EC" w:rsidR="004E47DD" w:rsidRPr="00A34060" w:rsidRDefault="004E47DD" w:rsidP="0003642E">
      <w:pPr>
        <w:spacing w:after="200"/>
        <w:rPr>
          <w:rFonts w:cstheme="minorHAnsi"/>
          <w:i/>
          <w:lang w:val="en-GB"/>
        </w:rPr>
      </w:pPr>
      <w:r w:rsidRPr="00A34060">
        <w:rPr>
          <w:rFonts w:cstheme="minorHAnsi"/>
          <w:i/>
          <w:lang w:val="en-GB"/>
        </w:rPr>
        <w:br w:type="page"/>
      </w:r>
    </w:p>
    <w:sdt>
      <w:sdtPr>
        <w:rPr>
          <w:rFonts w:eastAsia="Times New Roman" w:cs="Times New Roman"/>
          <w:b w:val="0"/>
          <w:color w:val="auto"/>
          <w:sz w:val="22"/>
          <w:szCs w:val="20"/>
          <w:lang w:eastAsia="zh-CN"/>
        </w:rPr>
        <w:id w:val="774950029"/>
        <w:docPartObj>
          <w:docPartGallery w:val="Table of Contents"/>
          <w:docPartUnique/>
        </w:docPartObj>
      </w:sdtPr>
      <w:sdtEndPr/>
      <w:sdtContent>
        <w:p w14:paraId="25574D5B" w14:textId="00AE086D" w:rsidR="006222E9" w:rsidRPr="00A34060" w:rsidRDefault="03C7B32C" w:rsidP="003576AD">
          <w:pPr>
            <w:pStyle w:val="TOCHeading"/>
            <w:spacing w:line="360" w:lineRule="auto"/>
            <w:jc w:val="center"/>
            <w:rPr>
              <w:lang w:val="en-GB"/>
            </w:rPr>
          </w:pPr>
          <w:r w:rsidRPr="03C7B32C">
            <w:rPr>
              <w:lang w:val="en-GB"/>
            </w:rPr>
            <w:t>CONTENTS</w:t>
          </w:r>
        </w:p>
        <w:p w14:paraId="4D41D5D6" w14:textId="183BE86E" w:rsidR="006222E9" w:rsidRPr="00A34060" w:rsidRDefault="006222E9" w:rsidP="03C7B32C">
          <w:pPr>
            <w:rPr>
              <w:rFonts w:cstheme="minorBidi"/>
              <w:lang w:val="en-GB"/>
            </w:rPr>
          </w:pPr>
        </w:p>
        <w:p w14:paraId="57B84A16" w14:textId="3584637E" w:rsidR="00A977B4" w:rsidRDefault="00A17D6C">
          <w:pPr>
            <w:pStyle w:val="TOC1"/>
            <w:tabs>
              <w:tab w:val="right" w:leader="dot" w:pos="9736"/>
            </w:tabs>
            <w:rPr>
              <w:rFonts w:eastAsiaTheme="minorEastAsia" w:cstheme="minorBidi"/>
              <w:noProof/>
              <w:szCs w:val="22"/>
              <w:lang w:eastAsia="en-US"/>
            </w:rPr>
          </w:pPr>
          <w:r>
            <w:fldChar w:fldCharType="begin"/>
          </w:r>
          <w:r w:rsidR="00956BA1">
            <w:instrText>TOC \o "1-3" \h \z \u</w:instrText>
          </w:r>
          <w:r>
            <w:fldChar w:fldCharType="separate"/>
          </w:r>
          <w:hyperlink w:anchor="_Toc94512100" w:history="1">
            <w:r w:rsidR="00A977B4" w:rsidRPr="004E2C82">
              <w:rPr>
                <w:rStyle w:val="Hyperlink"/>
                <w:noProof/>
                <w:lang w:val="en-GB"/>
              </w:rPr>
              <w:t>1. Objective</w:t>
            </w:r>
            <w:r w:rsidR="00A977B4">
              <w:rPr>
                <w:noProof/>
                <w:webHidden/>
              </w:rPr>
              <w:tab/>
            </w:r>
            <w:r w:rsidR="00A977B4">
              <w:rPr>
                <w:noProof/>
                <w:webHidden/>
              </w:rPr>
              <w:fldChar w:fldCharType="begin"/>
            </w:r>
            <w:r w:rsidR="00A977B4">
              <w:rPr>
                <w:noProof/>
                <w:webHidden/>
              </w:rPr>
              <w:instrText xml:space="preserve"> PAGEREF _Toc94512100 \h </w:instrText>
            </w:r>
            <w:r w:rsidR="00A977B4">
              <w:rPr>
                <w:noProof/>
                <w:webHidden/>
              </w:rPr>
            </w:r>
            <w:r w:rsidR="00A977B4">
              <w:rPr>
                <w:noProof/>
                <w:webHidden/>
              </w:rPr>
              <w:fldChar w:fldCharType="separate"/>
            </w:r>
            <w:r w:rsidR="00A977B4">
              <w:rPr>
                <w:noProof/>
                <w:webHidden/>
              </w:rPr>
              <w:t>4</w:t>
            </w:r>
            <w:r w:rsidR="00A977B4">
              <w:rPr>
                <w:noProof/>
                <w:webHidden/>
              </w:rPr>
              <w:fldChar w:fldCharType="end"/>
            </w:r>
          </w:hyperlink>
        </w:p>
        <w:p w14:paraId="53FF11B9" w14:textId="64E4D57A" w:rsidR="00A977B4" w:rsidRDefault="00803D0F">
          <w:pPr>
            <w:pStyle w:val="TOC3"/>
            <w:rPr>
              <w:rFonts w:eastAsiaTheme="minorEastAsia" w:cstheme="minorBidi"/>
              <w:noProof/>
              <w:szCs w:val="22"/>
              <w:lang w:eastAsia="en-US"/>
            </w:rPr>
          </w:pPr>
          <w:hyperlink w:anchor="_Toc94512101" w:history="1">
            <w:r w:rsidR="00A977B4" w:rsidRPr="004E2C82">
              <w:rPr>
                <w:rStyle w:val="Hyperlink"/>
                <w:noProof/>
              </w:rPr>
              <w:t>Appendix Table 1</w:t>
            </w:r>
            <w:r w:rsidR="00A977B4" w:rsidRPr="004E2C82">
              <w:rPr>
                <w:rStyle w:val="Hyperlink"/>
                <w:noProof/>
                <w:lang w:val="en-GB"/>
              </w:rPr>
              <w:t>.  Countries/territories in each geographic region or analysis grouping.</w:t>
            </w:r>
            <w:r w:rsidR="00A977B4">
              <w:rPr>
                <w:noProof/>
                <w:webHidden/>
              </w:rPr>
              <w:tab/>
            </w:r>
            <w:r w:rsidR="00A977B4">
              <w:rPr>
                <w:noProof/>
                <w:webHidden/>
              </w:rPr>
              <w:fldChar w:fldCharType="begin"/>
            </w:r>
            <w:r w:rsidR="00A977B4">
              <w:rPr>
                <w:noProof/>
                <w:webHidden/>
              </w:rPr>
              <w:instrText xml:space="preserve"> PAGEREF _Toc94512101 \h </w:instrText>
            </w:r>
            <w:r w:rsidR="00A977B4">
              <w:rPr>
                <w:noProof/>
                <w:webHidden/>
              </w:rPr>
            </w:r>
            <w:r w:rsidR="00A977B4">
              <w:rPr>
                <w:noProof/>
                <w:webHidden/>
              </w:rPr>
              <w:fldChar w:fldCharType="separate"/>
            </w:r>
            <w:r w:rsidR="00A977B4">
              <w:rPr>
                <w:noProof/>
                <w:webHidden/>
              </w:rPr>
              <w:t>4</w:t>
            </w:r>
            <w:r w:rsidR="00A977B4">
              <w:rPr>
                <w:noProof/>
                <w:webHidden/>
              </w:rPr>
              <w:fldChar w:fldCharType="end"/>
            </w:r>
          </w:hyperlink>
        </w:p>
        <w:p w14:paraId="7B57B6FA" w14:textId="37A652DE" w:rsidR="00A977B4" w:rsidRDefault="00803D0F">
          <w:pPr>
            <w:pStyle w:val="TOC3"/>
            <w:rPr>
              <w:rFonts w:eastAsiaTheme="minorEastAsia" w:cstheme="minorBidi"/>
              <w:noProof/>
              <w:szCs w:val="22"/>
              <w:lang w:eastAsia="en-US"/>
            </w:rPr>
          </w:pPr>
          <w:hyperlink w:anchor="_Toc94512102" w:history="1">
            <w:r w:rsidR="00A977B4" w:rsidRPr="004E2C82">
              <w:rPr>
                <w:rStyle w:val="Hyperlink"/>
                <w:noProof/>
              </w:rPr>
              <w:t xml:space="preserve">Appendix Table 2. Locations of GATHER reporting items for </w:t>
            </w:r>
            <w:r w:rsidR="00A977B4" w:rsidRPr="004E2C82">
              <w:rPr>
                <w:rStyle w:val="Hyperlink"/>
                <w:i/>
                <w:iCs/>
                <w:noProof/>
              </w:rPr>
              <w:t>Revealing the prevalence of “hidden hunger”: global and regional estimates of micronutrient deficiencies among preschool-age children and non-pregnant women of reproductive age</w:t>
            </w:r>
            <w:r w:rsidR="00A977B4" w:rsidRPr="004E2C82">
              <w:rPr>
                <w:rStyle w:val="Hyperlink"/>
                <w:noProof/>
              </w:rPr>
              <w:t>.</w:t>
            </w:r>
            <w:r w:rsidR="00A977B4">
              <w:rPr>
                <w:noProof/>
                <w:webHidden/>
              </w:rPr>
              <w:tab/>
            </w:r>
            <w:r w:rsidR="00A977B4">
              <w:rPr>
                <w:noProof/>
                <w:webHidden/>
              </w:rPr>
              <w:fldChar w:fldCharType="begin"/>
            </w:r>
            <w:r w:rsidR="00A977B4">
              <w:rPr>
                <w:noProof/>
                <w:webHidden/>
              </w:rPr>
              <w:instrText xml:space="preserve"> PAGEREF _Toc94512102 \h </w:instrText>
            </w:r>
            <w:r w:rsidR="00A977B4">
              <w:rPr>
                <w:noProof/>
                <w:webHidden/>
              </w:rPr>
            </w:r>
            <w:r w:rsidR="00A977B4">
              <w:rPr>
                <w:noProof/>
                <w:webHidden/>
              </w:rPr>
              <w:fldChar w:fldCharType="separate"/>
            </w:r>
            <w:r w:rsidR="00A977B4">
              <w:rPr>
                <w:noProof/>
                <w:webHidden/>
              </w:rPr>
              <w:t>6</w:t>
            </w:r>
            <w:r w:rsidR="00A977B4">
              <w:rPr>
                <w:noProof/>
                <w:webHidden/>
              </w:rPr>
              <w:fldChar w:fldCharType="end"/>
            </w:r>
          </w:hyperlink>
        </w:p>
        <w:p w14:paraId="6F138DAD" w14:textId="525F2D98" w:rsidR="00A977B4" w:rsidRDefault="00803D0F">
          <w:pPr>
            <w:pStyle w:val="TOC1"/>
            <w:tabs>
              <w:tab w:val="right" w:leader="dot" w:pos="9736"/>
            </w:tabs>
            <w:rPr>
              <w:rFonts w:eastAsiaTheme="minorEastAsia" w:cstheme="minorBidi"/>
              <w:noProof/>
              <w:szCs w:val="22"/>
              <w:lang w:eastAsia="en-US"/>
            </w:rPr>
          </w:pPr>
          <w:hyperlink w:anchor="_Toc94512103" w:history="1">
            <w:r w:rsidR="00A977B4" w:rsidRPr="004E2C82">
              <w:rPr>
                <w:rStyle w:val="Hyperlink"/>
                <w:noProof/>
                <w:lang w:val="en-GB"/>
              </w:rPr>
              <w:t>2.  Data identification, access and initial inclusion</w:t>
            </w:r>
            <w:r w:rsidR="00A977B4">
              <w:rPr>
                <w:noProof/>
                <w:webHidden/>
              </w:rPr>
              <w:tab/>
            </w:r>
            <w:r w:rsidR="00A977B4">
              <w:rPr>
                <w:noProof/>
                <w:webHidden/>
              </w:rPr>
              <w:fldChar w:fldCharType="begin"/>
            </w:r>
            <w:r w:rsidR="00A977B4">
              <w:rPr>
                <w:noProof/>
                <w:webHidden/>
              </w:rPr>
              <w:instrText xml:space="preserve"> PAGEREF _Toc94512103 \h </w:instrText>
            </w:r>
            <w:r w:rsidR="00A977B4">
              <w:rPr>
                <w:noProof/>
                <w:webHidden/>
              </w:rPr>
            </w:r>
            <w:r w:rsidR="00A977B4">
              <w:rPr>
                <w:noProof/>
                <w:webHidden/>
              </w:rPr>
              <w:fldChar w:fldCharType="separate"/>
            </w:r>
            <w:r w:rsidR="00A977B4">
              <w:rPr>
                <w:noProof/>
                <w:webHidden/>
              </w:rPr>
              <w:t>7</w:t>
            </w:r>
            <w:r w:rsidR="00A977B4">
              <w:rPr>
                <w:noProof/>
                <w:webHidden/>
              </w:rPr>
              <w:fldChar w:fldCharType="end"/>
            </w:r>
          </w:hyperlink>
        </w:p>
        <w:p w14:paraId="5C2F2599" w14:textId="0D271102" w:rsidR="00A977B4" w:rsidRDefault="00803D0F">
          <w:pPr>
            <w:pStyle w:val="TOC3"/>
            <w:rPr>
              <w:rFonts w:eastAsiaTheme="minorEastAsia" w:cstheme="minorBidi"/>
              <w:noProof/>
              <w:szCs w:val="22"/>
              <w:lang w:eastAsia="en-US"/>
            </w:rPr>
          </w:pPr>
          <w:hyperlink w:anchor="_Toc94512104" w:history="1">
            <w:r w:rsidR="00A977B4" w:rsidRPr="004E2C82">
              <w:rPr>
                <w:rStyle w:val="Hyperlink"/>
                <w:noProof/>
                <w:lang w:val="en-GB"/>
              </w:rPr>
              <w:t>Appendix Table 3</w:t>
            </w:r>
            <w:r w:rsidR="00A977B4" w:rsidRPr="004E2C82">
              <w:rPr>
                <w:rStyle w:val="Hyperlink"/>
                <w:b/>
                <w:bCs/>
                <w:noProof/>
                <w:lang w:val="en-GB"/>
              </w:rPr>
              <w:t xml:space="preserve">. </w:t>
            </w:r>
            <w:r w:rsidR="00A977B4" w:rsidRPr="004E2C82">
              <w:rPr>
                <w:rStyle w:val="Hyperlink"/>
                <w:noProof/>
                <w:lang w:val="en-GB"/>
              </w:rPr>
              <w:t xml:space="preserve"> Thresholds for excluding outliers prior to fitting regressions to adjust for inflammation.</w:t>
            </w:r>
            <w:r w:rsidR="00A977B4">
              <w:rPr>
                <w:noProof/>
                <w:webHidden/>
              </w:rPr>
              <w:tab/>
            </w:r>
            <w:r w:rsidR="00A977B4">
              <w:rPr>
                <w:noProof/>
                <w:webHidden/>
              </w:rPr>
              <w:fldChar w:fldCharType="begin"/>
            </w:r>
            <w:r w:rsidR="00A977B4">
              <w:rPr>
                <w:noProof/>
                <w:webHidden/>
              </w:rPr>
              <w:instrText xml:space="preserve"> PAGEREF _Toc94512104 \h </w:instrText>
            </w:r>
            <w:r w:rsidR="00A977B4">
              <w:rPr>
                <w:noProof/>
                <w:webHidden/>
              </w:rPr>
            </w:r>
            <w:r w:rsidR="00A977B4">
              <w:rPr>
                <w:noProof/>
                <w:webHidden/>
              </w:rPr>
              <w:fldChar w:fldCharType="separate"/>
            </w:r>
            <w:r w:rsidR="00A977B4">
              <w:rPr>
                <w:noProof/>
                <w:webHidden/>
              </w:rPr>
              <w:t>10</w:t>
            </w:r>
            <w:r w:rsidR="00A977B4">
              <w:rPr>
                <w:noProof/>
                <w:webHidden/>
              </w:rPr>
              <w:fldChar w:fldCharType="end"/>
            </w:r>
          </w:hyperlink>
        </w:p>
        <w:p w14:paraId="17C25340" w14:textId="38CA7C22" w:rsidR="00A977B4" w:rsidRDefault="00803D0F">
          <w:pPr>
            <w:pStyle w:val="TOC1"/>
            <w:tabs>
              <w:tab w:val="right" w:leader="dot" w:pos="9736"/>
            </w:tabs>
            <w:rPr>
              <w:rFonts w:eastAsiaTheme="minorEastAsia" w:cstheme="minorBidi"/>
              <w:noProof/>
              <w:szCs w:val="22"/>
              <w:lang w:eastAsia="en-US"/>
            </w:rPr>
          </w:pPr>
          <w:hyperlink w:anchor="_Toc94512105" w:history="1">
            <w:r w:rsidR="00A977B4" w:rsidRPr="004E2C82">
              <w:rPr>
                <w:rStyle w:val="Hyperlink"/>
                <w:noProof/>
                <w:lang w:val="en-GB"/>
              </w:rPr>
              <w:t>3.  Adjustment for inflammation and application of thresholds for deficiency</w:t>
            </w:r>
            <w:r w:rsidR="00A977B4">
              <w:rPr>
                <w:noProof/>
                <w:webHidden/>
              </w:rPr>
              <w:tab/>
            </w:r>
            <w:r w:rsidR="00A977B4">
              <w:rPr>
                <w:noProof/>
                <w:webHidden/>
              </w:rPr>
              <w:fldChar w:fldCharType="begin"/>
            </w:r>
            <w:r w:rsidR="00A977B4">
              <w:rPr>
                <w:noProof/>
                <w:webHidden/>
              </w:rPr>
              <w:instrText xml:space="preserve"> PAGEREF _Toc94512105 \h </w:instrText>
            </w:r>
            <w:r w:rsidR="00A977B4">
              <w:rPr>
                <w:noProof/>
                <w:webHidden/>
              </w:rPr>
            </w:r>
            <w:r w:rsidR="00A977B4">
              <w:rPr>
                <w:noProof/>
                <w:webHidden/>
              </w:rPr>
              <w:fldChar w:fldCharType="separate"/>
            </w:r>
            <w:r w:rsidR="00A977B4">
              <w:rPr>
                <w:noProof/>
                <w:webHidden/>
              </w:rPr>
              <w:t>10</w:t>
            </w:r>
            <w:r w:rsidR="00A977B4">
              <w:rPr>
                <w:noProof/>
                <w:webHidden/>
              </w:rPr>
              <w:fldChar w:fldCharType="end"/>
            </w:r>
          </w:hyperlink>
        </w:p>
        <w:p w14:paraId="15006A9C" w14:textId="49E949E7" w:rsidR="00A977B4" w:rsidRDefault="00803D0F">
          <w:pPr>
            <w:pStyle w:val="TOC3"/>
            <w:rPr>
              <w:rFonts w:eastAsiaTheme="minorEastAsia" w:cstheme="minorBidi"/>
              <w:noProof/>
              <w:szCs w:val="22"/>
              <w:lang w:eastAsia="en-US"/>
            </w:rPr>
          </w:pPr>
          <w:hyperlink w:anchor="_Toc94512106" w:history="1">
            <w:r w:rsidR="00A977B4" w:rsidRPr="004E2C82">
              <w:rPr>
                <w:rStyle w:val="Hyperlink"/>
                <w:noProof/>
                <w:lang w:val="en-GB"/>
              </w:rPr>
              <w:t>Appendix Table 4.</w:t>
            </w:r>
            <w:r w:rsidR="00A977B4" w:rsidRPr="004E2C82">
              <w:rPr>
                <w:rStyle w:val="Hyperlink"/>
                <w:b/>
                <w:bCs/>
                <w:noProof/>
                <w:lang w:val="en-GB"/>
              </w:rPr>
              <w:t xml:space="preserve"> </w:t>
            </w:r>
            <w:r w:rsidR="00A977B4" w:rsidRPr="004E2C82">
              <w:rPr>
                <w:rStyle w:val="Hyperlink"/>
                <w:noProof/>
                <w:lang w:val="en-GB"/>
              </w:rPr>
              <w:t>Definition of deficiency and adjustment for inflammation for each included biomarker.</w:t>
            </w:r>
            <w:r w:rsidR="00A977B4">
              <w:rPr>
                <w:noProof/>
                <w:webHidden/>
              </w:rPr>
              <w:tab/>
            </w:r>
            <w:r w:rsidR="00A977B4">
              <w:rPr>
                <w:noProof/>
                <w:webHidden/>
              </w:rPr>
              <w:fldChar w:fldCharType="begin"/>
            </w:r>
            <w:r w:rsidR="00A977B4">
              <w:rPr>
                <w:noProof/>
                <w:webHidden/>
              </w:rPr>
              <w:instrText xml:space="preserve"> PAGEREF _Toc94512106 \h </w:instrText>
            </w:r>
            <w:r w:rsidR="00A977B4">
              <w:rPr>
                <w:noProof/>
                <w:webHidden/>
              </w:rPr>
            </w:r>
            <w:r w:rsidR="00A977B4">
              <w:rPr>
                <w:noProof/>
                <w:webHidden/>
              </w:rPr>
              <w:fldChar w:fldCharType="separate"/>
            </w:r>
            <w:r w:rsidR="00A977B4">
              <w:rPr>
                <w:noProof/>
                <w:webHidden/>
              </w:rPr>
              <w:t>11</w:t>
            </w:r>
            <w:r w:rsidR="00A977B4">
              <w:rPr>
                <w:noProof/>
                <w:webHidden/>
              </w:rPr>
              <w:fldChar w:fldCharType="end"/>
            </w:r>
          </w:hyperlink>
        </w:p>
        <w:p w14:paraId="4C06AA87" w14:textId="1E92CB86" w:rsidR="00A977B4" w:rsidRDefault="00803D0F">
          <w:pPr>
            <w:pStyle w:val="TOC1"/>
            <w:tabs>
              <w:tab w:val="right" w:leader="dot" w:pos="9736"/>
            </w:tabs>
            <w:rPr>
              <w:rFonts w:eastAsiaTheme="minorEastAsia" w:cstheme="minorBidi"/>
              <w:noProof/>
              <w:szCs w:val="22"/>
              <w:lang w:eastAsia="en-US"/>
            </w:rPr>
          </w:pPr>
          <w:hyperlink w:anchor="_Toc94512107" w:history="1">
            <w:r w:rsidR="00A977B4" w:rsidRPr="004E2C82">
              <w:rPr>
                <w:rStyle w:val="Hyperlink"/>
                <w:noProof/>
                <w:lang w:val="en-GB"/>
              </w:rPr>
              <w:t>4.  Selection of core micronutrients</w:t>
            </w:r>
            <w:r w:rsidR="00A977B4">
              <w:rPr>
                <w:noProof/>
                <w:webHidden/>
              </w:rPr>
              <w:tab/>
            </w:r>
            <w:r w:rsidR="00A977B4">
              <w:rPr>
                <w:noProof/>
                <w:webHidden/>
              </w:rPr>
              <w:fldChar w:fldCharType="begin"/>
            </w:r>
            <w:r w:rsidR="00A977B4">
              <w:rPr>
                <w:noProof/>
                <w:webHidden/>
              </w:rPr>
              <w:instrText xml:space="preserve"> PAGEREF _Toc94512107 \h </w:instrText>
            </w:r>
            <w:r w:rsidR="00A977B4">
              <w:rPr>
                <w:noProof/>
                <w:webHidden/>
              </w:rPr>
            </w:r>
            <w:r w:rsidR="00A977B4">
              <w:rPr>
                <w:noProof/>
                <w:webHidden/>
              </w:rPr>
              <w:fldChar w:fldCharType="separate"/>
            </w:r>
            <w:r w:rsidR="00A977B4">
              <w:rPr>
                <w:noProof/>
                <w:webHidden/>
              </w:rPr>
              <w:t>12</w:t>
            </w:r>
            <w:r w:rsidR="00A977B4">
              <w:rPr>
                <w:noProof/>
                <w:webHidden/>
              </w:rPr>
              <w:fldChar w:fldCharType="end"/>
            </w:r>
          </w:hyperlink>
        </w:p>
        <w:p w14:paraId="36C8DE4D" w14:textId="4BCF9CFD" w:rsidR="00A977B4" w:rsidRDefault="00803D0F">
          <w:pPr>
            <w:pStyle w:val="TOC3"/>
            <w:rPr>
              <w:rFonts w:eastAsiaTheme="minorEastAsia" w:cstheme="minorBidi"/>
              <w:noProof/>
              <w:szCs w:val="22"/>
              <w:lang w:eastAsia="en-US"/>
            </w:rPr>
          </w:pPr>
          <w:hyperlink w:anchor="_Toc94512108" w:history="1">
            <w:r w:rsidR="00A977B4" w:rsidRPr="004E2C82">
              <w:rPr>
                <w:rStyle w:val="Hyperlink"/>
                <w:noProof/>
              </w:rPr>
              <w:t>Appendix Figure 1. Prevalence of any of three core micronutrient deficiencies and of any measured deficiencies, children 6-59 months.</w:t>
            </w:r>
            <w:r w:rsidR="00A977B4">
              <w:rPr>
                <w:noProof/>
                <w:webHidden/>
              </w:rPr>
              <w:tab/>
            </w:r>
            <w:r w:rsidR="00A977B4">
              <w:rPr>
                <w:noProof/>
                <w:webHidden/>
              </w:rPr>
              <w:fldChar w:fldCharType="begin"/>
            </w:r>
            <w:r w:rsidR="00A977B4">
              <w:rPr>
                <w:noProof/>
                <w:webHidden/>
              </w:rPr>
              <w:instrText xml:space="preserve"> PAGEREF _Toc94512108 \h </w:instrText>
            </w:r>
            <w:r w:rsidR="00A977B4">
              <w:rPr>
                <w:noProof/>
                <w:webHidden/>
              </w:rPr>
            </w:r>
            <w:r w:rsidR="00A977B4">
              <w:rPr>
                <w:noProof/>
                <w:webHidden/>
              </w:rPr>
              <w:fldChar w:fldCharType="separate"/>
            </w:r>
            <w:r w:rsidR="00A977B4">
              <w:rPr>
                <w:noProof/>
                <w:webHidden/>
              </w:rPr>
              <w:t>13</w:t>
            </w:r>
            <w:r w:rsidR="00A977B4">
              <w:rPr>
                <w:noProof/>
                <w:webHidden/>
              </w:rPr>
              <w:fldChar w:fldCharType="end"/>
            </w:r>
          </w:hyperlink>
        </w:p>
        <w:p w14:paraId="530500F8" w14:textId="05E4F791" w:rsidR="00A977B4" w:rsidRDefault="00803D0F">
          <w:pPr>
            <w:pStyle w:val="TOC3"/>
            <w:rPr>
              <w:rFonts w:eastAsiaTheme="minorEastAsia" w:cstheme="minorBidi"/>
              <w:noProof/>
              <w:szCs w:val="22"/>
              <w:lang w:eastAsia="en-US"/>
            </w:rPr>
          </w:pPr>
          <w:hyperlink w:anchor="_Toc94512109" w:history="1">
            <w:r w:rsidR="00A977B4" w:rsidRPr="004E2C82">
              <w:rPr>
                <w:rStyle w:val="Hyperlink"/>
                <w:noProof/>
              </w:rPr>
              <w:t>Appendix Figure 2. Prevalence of any of three core micronutrient deficiencies and of any measured deficiencies, nonpregnant women 15-49 years.</w:t>
            </w:r>
            <w:r w:rsidR="00A977B4">
              <w:rPr>
                <w:noProof/>
                <w:webHidden/>
              </w:rPr>
              <w:tab/>
            </w:r>
            <w:r w:rsidR="00A977B4">
              <w:rPr>
                <w:noProof/>
                <w:webHidden/>
              </w:rPr>
              <w:fldChar w:fldCharType="begin"/>
            </w:r>
            <w:r w:rsidR="00A977B4">
              <w:rPr>
                <w:noProof/>
                <w:webHidden/>
              </w:rPr>
              <w:instrText xml:space="preserve"> PAGEREF _Toc94512109 \h </w:instrText>
            </w:r>
            <w:r w:rsidR="00A977B4">
              <w:rPr>
                <w:noProof/>
                <w:webHidden/>
              </w:rPr>
            </w:r>
            <w:r w:rsidR="00A977B4">
              <w:rPr>
                <w:noProof/>
                <w:webHidden/>
              </w:rPr>
              <w:fldChar w:fldCharType="separate"/>
            </w:r>
            <w:r w:rsidR="00A977B4">
              <w:rPr>
                <w:noProof/>
                <w:webHidden/>
              </w:rPr>
              <w:t>14</w:t>
            </w:r>
            <w:r w:rsidR="00A977B4">
              <w:rPr>
                <w:noProof/>
                <w:webHidden/>
              </w:rPr>
              <w:fldChar w:fldCharType="end"/>
            </w:r>
          </w:hyperlink>
        </w:p>
        <w:p w14:paraId="02031180" w14:textId="359F8FD2" w:rsidR="00A977B4" w:rsidRDefault="00803D0F">
          <w:pPr>
            <w:pStyle w:val="TOC1"/>
            <w:tabs>
              <w:tab w:val="right" w:leader="dot" w:pos="9736"/>
            </w:tabs>
            <w:rPr>
              <w:rFonts w:eastAsiaTheme="minorEastAsia" w:cstheme="minorBidi"/>
              <w:noProof/>
              <w:szCs w:val="22"/>
              <w:lang w:eastAsia="en-US"/>
            </w:rPr>
          </w:pPr>
          <w:hyperlink w:anchor="_Toc94512110" w:history="1">
            <w:r w:rsidR="00A977B4" w:rsidRPr="004E2C82">
              <w:rPr>
                <w:rStyle w:val="Hyperlink"/>
                <w:noProof/>
                <w:lang w:val="en-GB"/>
              </w:rPr>
              <w:t>5.  Final inclusion of data sources</w:t>
            </w:r>
            <w:r w:rsidR="00A977B4">
              <w:rPr>
                <w:noProof/>
                <w:webHidden/>
              </w:rPr>
              <w:tab/>
            </w:r>
            <w:r w:rsidR="00A977B4">
              <w:rPr>
                <w:noProof/>
                <w:webHidden/>
              </w:rPr>
              <w:fldChar w:fldCharType="begin"/>
            </w:r>
            <w:r w:rsidR="00A977B4">
              <w:rPr>
                <w:noProof/>
                <w:webHidden/>
              </w:rPr>
              <w:instrText xml:space="preserve"> PAGEREF _Toc94512110 \h </w:instrText>
            </w:r>
            <w:r w:rsidR="00A977B4">
              <w:rPr>
                <w:noProof/>
                <w:webHidden/>
              </w:rPr>
            </w:r>
            <w:r w:rsidR="00A977B4">
              <w:rPr>
                <w:noProof/>
                <w:webHidden/>
              </w:rPr>
              <w:fldChar w:fldCharType="separate"/>
            </w:r>
            <w:r w:rsidR="00A977B4">
              <w:rPr>
                <w:noProof/>
                <w:webHidden/>
              </w:rPr>
              <w:t>14</w:t>
            </w:r>
            <w:r w:rsidR="00A977B4">
              <w:rPr>
                <w:noProof/>
                <w:webHidden/>
              </w:rPr>
              <w:fldChar w:fldCharType="end"/>
            </w:r>
          </w:hyperlink>
        </w:p>
        <w:p w14:paraId="4AC30216" w14:textId="29FAF8EF" w:rsidR="00A977B4" w:rsidRDefault="00803D0F">
          <w:pPr>
            <w:pStyle w:val="TOC3"/>
            <w:rPr>
              <w:rFonts w:eastAsiaTheme="minorEastAsia" w:cstheme="minorBidi"/>
              <w:noProof/>
              <w:szCs w:val="22"/>
              <w:lang w:eastAsia="en-US"/>
            </w:rPr>
          </w:pPr>
          <w:hyperlink w:anchor="_Toc94512111" w:history="1">
            <w:r w:rsidR="00A977B4" w:rsidRPr="004E2C82">
              <w:rPr>
                <w:rStyle w:val="Hyperlink"/>
                <w:noProof/>
                <w:lang w:val="en-GB"/>
              </w:rPr>
              <w:t>Appendix Table 5. Types of prevalence computed for each survey and population.</w:t>
            </w:r>
            <w:r w:rsidR="00A977B4">
              <w:rPr>
                <w:noProof/>
                <w:webHidden/>
              </w:rPr>
              <w:tab/>
            </w:r>
            <w:r w:rsidR="00A977B4">
              <w:rPr>
                <w:noProof/>
                <w:webHidden/>
              </w:rPr>
              <w:fldChar w:fldCharType="begin"/>
            </w:r>
            <w:r w:rsidR="00A977B4">
              <w:rPr>
                <w:noProof/>
                <w:webHidden/>
              </w:rPr>
              <w:instrText xml:space="preserve"> PAGEREF _Toc94512111 \h </w:instrText>
            </w:r>
            <w:r w:rsidR="00A977B4">
              <w:rPr>
                <w:noProof/>
                <w:webHidden/>
              </w:rPr>
            </w:r>
            <w:r w:rsidR="00A977B4">
              <w:rPr>
                <w:noProof/>
                <w:webHidden/>
              </w:rPr>
              <w:fldChar w:fldCharType="separate"/>
            </w:r>
            <w:r w:rsidR="00A977B4">
              <w:rPr>
                <w:noProof/>
                <w:webHidden/>
              </w:rPr>
              <w:t>15</w:t>
            </w:r>
            <w:r w:rsidR="00A977B4">
              <w:rPr>
                <w:noProof/>
                <w:webHidden/>
              </w:rPr>
              <w:fldChar w:fldCharType="end"/>
            </w:r>
          </w:hyperlink>
        </w:p>
        <w:p w14:paraId="3633F4BD" w14:textId="1A8A3F1D" w:rsidR="00A977B4" w:rsidRDefault="00803D0F">
          <w:pPr>
            <w:pStyle w:val="TOC3"/>
            <w:rPr>
              <w:rFonts w:eastAsiaTheme="minorEastAsia" w:cstheme="minorBidi"/>
              <w:noProof/>
              <w:szCs w:val="22"/>
              <w:lang w:eastAsia="en-US"/>
            </w:rPr>
          </w:pPr>
          <w:hyperlink w:anchor="_Toc94512112" w:history="1">
            <w:r w:rsidR="00A977B4" w:rsidRPr="004E2C82">
              <w:rPr>
                <w:rStyle w:val="Hyperlink"/>
                <w:noProof/>
              </w:rPr>
              <w:t>Appendix Table 6. Included data sources and their characteristics (children 6-59 months)</w:t>
            </w:r>
            <w:r w:rsidR="00A977B4">
              <w:rPr>
                <w:noProof/>
                <w:webHidden/>
              </w:rPr>
              <w:tab/>
            </w:r>
            <w:r w:rsidR="00A977B4">
              <w:rPr>
                <w:noProof/>
                <w:webHidden/>
              </w:rPr>
              <w:fldChar w:fldCharType="begin"/>
            </w:r>
            <w:r w:rsidR="00A977B4">
              <w:rPr>
                <w:noProof/>
                <w:webHidden/>
              </w:rPr>
              <w:instrText xml:space="preserve"> PAGEREF _Toc94512112 \h </w:instrText>
            </w:r>
            <w:r w:rsidR="00A977B4">
              <w:rPr>
                <w:noProof/>
                <w:webHidden/>
              </w:rPr>
            </w:r>
            <w:r w:rsidR="00A977B4">
              <w:rPr>
                <w:noProof/>
                <w:webHidden/>
              </w:rPr>
              <w:fldChar w:fldCharType="separate"/>
            </w:r>
            <w:r w:rsidR="00A977B4">
              <w:rPr>
                <w:noProof/>
                <w:webHidden/>
              </w:rPr>
              <w:t>17</w:t>
            </w:r>
            <w:r w:rsidR="00A977B4">
              <w:rPr>
                <w:noProof/>
                <w:webHidden/>
              </w:rPr>
              <w:fldChar w:fldCharType="end"/>
            </w:r>
          </w:hyperlink>
        </w:p>
        <w:p w14:paraId="0240D2FA" w14:textId="504647EB" w:rsidR="00A977B4" w:rsidRDefault="00803D0F">
          <w:pPr>
            <w:pStyle w:val="TOC3"/>
            <w:rPr>
              <w:rFonts w:eastAsiaTheme="minorEastAsia" w:cstheme="minorBidi"/>
              <w:noProof/>
              <w:szCs w:val="22"/>
              <w:lang w:eastAsia="en-US"/>
            </w:rPr>
          </w:pPr>
          <w:hyperlink w:anchor="_Toc94512113" w:history="1">
            <w:r w:rsidR="00A977B4" w:rsidRPr="004E2C82">
              <w:rPr>
                <w:rStyle w:val="Hyperlink"/>
                <w:noProof/>
              </w:rPr>
              <w:t>Appendix Table 7. Included data sources and their characteristics (non-pregnant women 15-49 years).</w:t>
            </w:r>
            <w:r w:rsidR="00A977B4">
              <w:rPr>
                <w:noProof/>
                <w:webHidden/>
              </w:rPr>
              <w:tab/>
            </w:r>
            <w:r w:rsidR="00A977B4">
              <w:rPr>
                <w:noProof/>
                <w:webHidden/>
              </w:rPr>
              <w:fldChar w:fldCharType="begin"/>
            </w:r>
            <w:r w:rsidR="00A977B4">
              <w:rPr>
                <w:noProof/>
                <w:webHidden/>
              </w:rPr>
              <w:instrText xml:space="preserve"> PAGEREF _Toc94512113 \h </w:instrText>
            </w:r>
            <w:r w:rsidR="00A977B4">
              <w:rPr>
                <w:noProof/>
                <w:webHidden/>
              </w:rPr>
            </w:r>
            <w:r w:rsidR="00A977B4">
              <w:rPr>
                <w:noProof/>
                <w:webHidden/>
              </w:rPr>
              <w:fldChar w:fldCharType="separate"/>
            </w:r>
            <w:r w:rsidR="00A977B4">
              <w:rPr>
                <w:noProof/>
                <w:webHidden/>
              </w:rPr>
              <w:t>18</w:t>
            </w:r>
            <w:r w:rsidR="00A977B4">
              <w:rPr>
                <w:noProof/>
                <w:webHidden/>
              </w:rPr>
              <w:fldChar w:fldCharType="end"/>
            </w:r>
          </w:hyperlink>
        </w:p>
        <w:p w14:paraId="0BEA6BE8" w14:textId="7E1CFF93" w:rsidR="00A977B4" w:rsidRDefault="00803D0F">
          <w:pPr>
            <w:pStyle w:val="TOC3"/>
            <w:rPr>
              <w:rFonts w:eastAsiaTheme="minorEastAsia" w:cstheme="minorBidi"/>
              <w:noProof/>
              <w:szCs w:val="22"/>
              <w:lang w:eastAsia="en-US"/>
            </w:rPr>
          </w:pPr>
          <w:hyperlink w:anchor="_Toc94512114" w:history="1">
            <w:r w:rsidR="00A977B4" w:rsidRPr="004E2C82">
              <w:rPr>
                <w:rStyle w:val="Hyperlink"/>
                <w:noProof/>
              </w:rPr>
              <w:t>Appendix Figure 3. Geographic distribution of included data sources</w:t>
            </w:r>
            <w:r w:rsidR="00A977B4">
              <w:rPr>
                <w:noProof/>
                <w:webHidden/>
              </w:rPr>
              <w:tab/>
            </w:r>
            <w:r w:rsidR="00A977B4">
              <w:rPr>
                <w:noProof/>
                <w:webHidden/>
              </w:rPr>
              <w:fldChar w:fldCharType="begin"/>
            </w:r>
            <w:r w:rsidR="00A977B4">
              <w:rPr>
                <w:noProof/>
                <w:webHidden/>
              </w:rPr>
              <w:instrText xml:space="preserve"> PAGEREF _Toc94512114 \h </w:instrText>
            </w:r>
            <w:r w:rsidR="00A977B4">
              <w:rPr>
                <w:noProof/>
                <w:webHidden/>
              </w:rPr>
            </w:r>
            <w:r w:rsidR="00A977B4">
              <w:rPr>
                <w:noProof/>
                <w:webHidden/>
              </w:rPr>
              <w:fldChar w:fldCharType="separate"/>
            </w:r>
            <w:r w:rsidR="00A977B4">
              <w:rPr>
                <w:noProof/>
                <w:webHidden/>
              </w:rPr>
              <w:t>21</w:t>
            </w:r>
            <w:r w:rsidR="00A977B4">
              <w:rPr>
                <w:noProof/>
                <w:webHidden/>
              </w:rPr>
              <w:fldChar w:fldCharType="end"/>
            </w:r>
          </w:hyperlink>
        </w:p>
        <w:p w14:paraId="3B3A67C5" w14:textId="27257C4B" w:rsidR="00A977B4" w:rsidRDefault="00803D0F">
          <w:pPr>
            <w:pStyle w:val="TOC1"/>
            <w:tabs>
              <w:tab w:val="right" w:leader="dot" w:pos="9736"/>
            </w:tabs>
            <w:rPr>
              <w:rFonts w:eastAsiaTheme="minorEastAsia" w:cstheme="minorBidi"/>
              <w:noProof/>
              <w:szCs w:val="22"/>
              <w:lang w:eastAsia="en-US"/>
            </w:rPr>
          </w:pPr>
          <w:hyperlink w:anchor="_Toc94512115" w:history="1">
            <w:r w:rsidR="00A977B4" w:rsidRPr="004E2C82">
              <w:rPr>
                <w:rStyle w:val="Hyperlink"/>
                <w:noProof/>
                <w:lang w:val="en-GB"/>
              </w:rPr>
              <w:t>6. Methods for estimating prevalence of unmeasured deficiencies</w:t>
            </w:r>
            <w:r w:rsidR="00A977B4">
              <w:rPr>
                <w:noProof/>
                <w:webHidden/>
              </w:rPr>
              <w:tab/>
            </w:r>
            <w:r w:rsidR="00A977B4">
              <w:rPr>
                <w:noProof/>
                <w:webHidden/>
              </w:rPr>
              <w:fldChar w:fldCharType="begin"/>
            </w:r>
            <w:r w:rsidR="00A977B4">
              <w:rPr>
                <w:noProof/>
                <w:webHidden/>
              </w:rPr>
              <w:instrText xml:space="preserve"> PAGEREF _Toc94512115 \h </w:instrText>
            </w:r>
            <w:r w:rsidR="00A977B4">
              <w:rPr>
                <w:noProof/>
                <w:webHidden/>
              </w:rPr>
            </w:r>
            <w:r w:rsidR="00A977B4">
              <w:rPr>
                <w:noProof/>
                <w:webHidden/>
              </w:rPr>
              <w:fldChar w:fldCharType="separate"/>
            </w:r>
            <w:r w:rsidR="00A977B4">
              <w:rPr>
                <w:noProof/>
                <w:webHidden/>
              </w:rPr>
              <w:t>22</w:t>
            </w:r>
            <w:r w:rsidR="00A977B4">
              <w:rPr>
                <w:noProof/>
                <w:webHidden/>
              </w:rPr>
              <w:fldChar w:fldCharType="end"/>
            </w:r>
          </w:hyperlink>
        </w:p>
        <w:p w14:paraId="4AABBBC9" w14:textId="4394F9A5" w:rsidR="00A977B4" w:rsidRDefault="00803D0F">
          <w:pPr>
            <w:pStyle w:val="TOC3"/>
            <w:rPr>
              <w:rFonts w:eastAsiaTheme="minorEastAsia" w:cstheme="minorBidi"/>
              <w:noProof/>
              <w:szCs w:val="22"/>
              <w:lang w:eastAsia="en-US"/>
            </w:rPr>
          </w:pPr>
          <w:hyperlink w:anchor="_Toc94512116" w:history="1">
            <w:r w:rsidR="00A977B4" w:rsidRPr="004E2C82">
              <w:rPr>
                <w:rStyle w:val="Hyperlink"/>
                <w:noProof/>
                <w:lang w:val="en-GB"/>
              </w:rPr>
              <w:t>Appendix Table 8. Regression variables for each model used to predict unmeasured micronutrient deficiency.</w:t>
            </w:r>
            <w:r w:rsidR="00A977B4">
              <w:rPr>
                <w:noProof/>
                <w:webHidden/>
              </w:rPr>
              <w:tab/>
            </w:r>
            <w:r w:rsidR="00A977B4">
              <w:rPr>
                <w:noProof/>
                <w:webHidden/>
              </w:rPr>
              <w:fldChar w:fldCharType="begin"/>
            </w:r>
            <w:r w:rsidR="00A977B4">
              <w:rPr>
                <w:noProof/>
                <w:webHidden/>
              </w:rPr>
              <w:instrText xml:space="preserve"> PAGEREF _Toc94512116 \h </w:instrText>
            </w:r>
            <w:r w:rsidR="00A977B4">
              <w:rPr>
                <w:noProof/>
                <w:webHidden/>
              </w:rPr>
            </w:r>
            <w:r w:rsidR="00A977B4">
              <w:rPr>
                <w:noProof/>
                <w:webHidden/>
              </w:rPr>
              <w:fldChar w:fldCharType="separate"/>
            </w:r>
            <w:r w:rsidR="00A977B4">
              <w:rPr>
                <w:noProof/>
                <w:webHidden/>
              </w:rPr>
              <w:t>23</w:t>
            </w:r>
            <w:r w:rsidR="00A977B4">
              <w:rPr>
                <w:noProof/>
                <w:webHidden/>
              </w:rPr>
              <w:fldChar w:fldCharType="end"/>
            </w:r>
          </w:hyperlink>
        </w:p>
        <w:p w14:paraId="394FE6A9" w14:textId="3A5C5B2D" w:rsidR="00A977B4" w:rsidRDefault="00803D0F">
          <w:pPr>
            <w:pStyle w:val="TOC1"/>
            <w:tabs>
              <w:tab w:val="right" w:leader="dot" w:pos="9736"/>
            </w:tabs>
            <w:rPr>
              <w:rFonts w:eastAsiaTheme="minorEastAsia" w:cstheme="minorBidi"/>
              <w:noProof/>
              <w:szCs w:val="22"/>
              <w:lang w:eastAsia="en-US"/>
            </w:rPr>
          </w:pPr>
          <w:hyperlink w:anchor="_Toc94512117" w:history="1">
            <w:r w:rsidR="00A977B4" w:rsidRPr="004E2C82">
              <w:rPr>
                <w:rStyle w:val="Hyperlink"/>
                <w:bCs/>
                <w:noProof/>
                <w:lang w:val="en-GB"/>
              </w:rPr>
              <w:t>7.  Methods for estimating regional and global prevalence of at least one micronutrient deficiency</w:t>
            </w:r>
            <w:r w:rsidR="00A977B4">
              <w:rPr>
                <w:noProof/>
                <w:webHidden/>
              </w:rPr>
              <w:tab/>
            </w:r>
            <w:r w:rsidR="00A977B4">
              <w:rPr>
                <w:noProof/>
                <w:webHidden/>
              </w:rPr>
              <w:fldChar w:fldCharType="begin"/>
            </w:r>
            <w:r w:rsidR="00A977B4">
              <w:rPr>
                <w:noProof/>
                <w:webHidden/>
              </w:rPr>
              <w:instrText xml:space="preserve"> PAGEREF _Toc94512117 \h </w:instrText>
            </w:r>
            <w:r w:rsidR="00A977B4">
              <w:rPr>
                <w:noProof/>
                <w:webHidden/>
              </w:rPr>
            </w:r>
            <w:r w:rsidR="00A977B4">
              <w:rPr>
                <w:noProof/>
                <w:webHidden/>
              </w:rPr>
              <w:fldChar w:fldCharType="separate"/>
            </w:r>
            <w:r w:rsidR="00A977B4">
              <w:rPr>
                <w:noProof/>
                <w:webHidden/>
              </w:rPr>
              <w:t>24</w:t>
            </w:r>
            <w:r w:rsidR="00A977B4">
              <w:rPr>
                <w:noProof/>
                <w:webHidden/>
              </w:rPr>
              <w:fldChar w:fldCharType="end"/>
            </w:r>
          </w:hyperlink>
        </w:p>
        <w:p w14:paraId="4950B6AA" w14:textId="2FAAB730" w:rsidR="00A977B4" w:rsidRDefault="00803D0F">
          <w:pPr>
            <w:pStyle w:val="TOC3"/>
            <w:rPr>
              <w:rFonts w:eastAsiaTheme="minorEastAsia" w:cstheme="minorBidi"/>
              <w:noProof/>
              <w:szCs w:val="22"/>
              <w:lang w:eastAsia="en-US"/>
            </w:rPr>
          </w:pPr>
          <w:hyperlink w:anchor="_Toc94512118" w:history="1">
            <w:r w:rsidR="00A977B4" w:rsidRPr="004E2C82">
              <w:rPr>
                <w:rStyle w:val="Hyperlink"/>
                <w:noProof/>
              </w:rPr>
              <w:t>Appendix Figure 4. Prevalence of iron, vitamin A or zinc deficiency vs. SDI, children 6-59 months</w:t>
            </w:r>
            <w:r w:rsidR="00A977B4">
              <w:rPr>
                <w:noProof/>
                <w:webHidden/>
              </w:rPr>
              <w:tab/>
            </w:r>
            <w:r w:rsidR="00A977B4">
              <w:rPr>
                <w:noProof/>
                <w:webHidden/>
              </w:rPr>
              <w:fldChar w:fldCharType="begin"/>
            </w:r>
            <w:r w:rsidR="00A977B4">
              <w:rPr>
                <w:noProof/>
                <w:webHidden/>
              </w:rPr>
              <w:instrText xml:space="preserve"> PAGEREF _Toc94512118 \h </w:instrText>
            </w:r>
            <w:r w:rsidR="00A977B4">
              <w:rPr>
                <w:noProof/>
                <w:webHidden/>
              </w:rPr>
            </w:r>
            <w:r w:rsidR="00A977B4">
              <w:rPr>
                <w:noProof/>
                <w:webHidden/>
              </w:rPr>
              <w:fldChar w:fldCharType="separate"/>
            </w:r>
            <w:r w:rsidR="00A977B4">
              <w:rPr>
                <w:noProof/>
                <w:webHidden/>
              </w:rPr>
              <w:t>26</w:t>
            </w:r>
            <w:r w:rsidR="00A977B4">
              <w:rPr>
                <w:noProof/>
                <w:webHidden/>
              </w:rPr>
              <w:fldChar w:fldCharType="end"/>
            </w:r>
          </w:hyperlink>
        </w:p>
        <w:p w14:paraId="387C665C" w14:textId="79784D53" w:rsidR="00A977B4" w:rsidRDefault="00803D0F">
          <w:pPr>
            <w:pStyle w:val="TOC3"/>
            <w:rPr>
              <w:rFonts w:eastAsiaTheme="minorEastAsia" w:cstheme="minorBidi"/>
              <w:noProof/>
              <w:szCs w:val="22"/>
              <w:lang w:eastAsia="en-US"/>
            </w:rPr>
          </w:pPr>
          <w:hyperlink w:anchor="_Toc94512119" w:history="1">
            <w:r w:rsidR="00A977B4" w:rsidRPr="004E2C82">
              <w:rPr>
                <w:rStyle w:val="Hyperlink"/>
                <w:noProof/>
              </w:rPr>
              <w:t>Appendix Figure 5. Prevalence of iron, folate or zinc deficiency vs. SDI, non-pregnant women 15-49 years</w:t>
            </w:r>
            <w:r w:rsidR="00A977B4">
              <w:rPr>
                <w:noProof/>
                <w:webHidden/>
              </w:rPr>
              <w:tab/>
            </w:r>
            <w:r w:rsidR="00A977B4">
              <w:rPr>
                <w:noProof/>
                <w:webHidden/>
              </w:rPr>
              <w:fldChar w:fldCharType="begin"/>
            </w:r>
            <w:r w:rsidR="00A977B4">
              <w:rPr>
                <w:noProof/>
                <w:webHidden/>
              </w:rPr>
              <w:instrText xml:space="preserve"> PAGEREF _Toc94512119 \h </w:instrText>
            </w:r>
            <w:r w:rsidR="00A977B4">
              <w:rPr>
                <w:noProof/>
                <w:webHidden/>
              </w:rPr>
            </w:r>
            <w:r w:rsidR="00A977B4">
              <w:rPr>
                <w:noProof/>
                <w:webHidden/>
              </w:rPr>
              <w:fldChar w:fldCharType="separate"/>
            </w:r>
            <w:r w:rsidR="00A977B4">
              <w:rPr>
                <w:noProof/>
                <w:webHidden/>
              </w:rPr>
              <w:t>27</w:t>
            </w:r>
            <w:r w:rsidR="00A977B4">
              <w:rPr>
                <w:noProof/>
                <w:webHidden/>
              </w:rPr>
              <w:fldChar w:fldCharType="end"/>
            </w:r>
          </w:hyperlink>
        </w:p>
        <w:p w14:paraId="176F9FA8" w14:textId="09671DE1" w:rsidR="00A977B4" w:rsidRDefault="00803D0F">
          <w:pPr>
            <w:pStyle w:val="TOC1"/>
            <w:tabs>
              <w:tab w:val="right" w:leader="dot" w:pos="9736"/>
            </w:tabs>
            <w:rPr>
              <w:rFonts w:eastAsiaTheme="minorEastAsia" w:cstheme="minorBidi"/>
              <w:noProof/>
              <w:szCs w:val="22"/>
              <w:lang w:eastAsia="en-US"/>
            </w:rPr>
          </w:pPr>
          <w:hyperlink w:anchor="_Toc94512120" w:history="1">
            <w:r w:rsidR="00A977B4" w:rsidRPr="004E2C82">
              <w:rPr>
                <w:rStyle w:val="Hyperlink"/>
                <w:bCs/>
                <w:noProof/>
                <w:lang w:val="en-GB"/>
              </w:rPr>
              <w:t>References</w:t>
            </w:r>
            <w:r w:rsidR="00A977B4">
              <w:rPr>
                <w:noProof/>
                <w:webHidden/>
              </w:rPr>
              <w:tab/>
            </w:r>
            <w:r w:rsidR="00A977B4">
              <w:rPr>
                <w:noProof/>
                <w:webHidden/>
              </w:rPr>
              <w:fldChar w:fldCharType="begin"/>
            </w:r>
            <w:r w:rsidR="00A977B4">
              <w:rPr>
                <w:noProof/>
                <w:webHidden/>
              </w:rPr>
              <w:instrText xml:space="preserve"> PAGEREF _Toc94512120 \h </w:instrText>
            </w:r>
            <w:r w:rsidR="00A977B4">
              <w:rPr>
                <w:noProof/>
                <w:webHidden/>
              </w:rPr>
            </w:r>
            <w:r w:rsidR="00A977B4">
              <w:rPr>
                <w:noProof/>
                <w:webHidden/>
              </w:rPr>
              <w:fldChar w:fldCharType="separate"/>
            </w:r>
            <w:r w:rsidR="00A977B4">
              <w:rPr>
                <w:noProof/>
                <w:webHidden/>
              </w:rPr>
              <w:t>28</w:t>
            </w:r>
            <w:r w:rsidR="00A977B4">
              <w:rPr>
                <w:noProof/>
                <w:webHidden/>
              </w:rPr>
              <w:fldChar w:fldCharType="end"/>
            </w:r>
          </w:hyperlink>
        </w:p>
        <w:p w14:paraId="46A517D5" w14:textId="304CA768" w:rsidR="007B0A73" w:rsidRDefault="00A17D6C" w:rsidP="03C7B32C">
          <w:pPr>
            <w:pStyle w:val="TOC1"/>
            <w:tabs>
              <w:tab w:val="right" w:leader="dot" w:pos="9735"/>
            </w:tabs>
            <w:rPr>
              <w:rFonts w:ascii="Calibri" w:hAnsi="Calibri"/>
              <w:noProof/>
              <w:lang w:eastAsia="en-US"/>
            </w:rPr>
          </w:pPr>
          <w:r>
            <w:fldChar w:fldCharType="end"/>
          </w:r>
        </w:p>
      </w:sdtContent>
    </w:sdt>
    <w:p w14:paraId="213F4FE9" w14:textId="22AF5BCB" w:rsidR="006222E9" w:rsidRPr="00A34060" w:rsidRDefault="006222E9" w:rsidP="14402C93">
      <w:pPr>
        <w:rPr>
          <w:rFonts w:cstheme="minorBidi"/>
          <w:lang w:val="en-GB"/>
        </w:rPr>
      </w:pPr>
    </w:p>
    <w:p w14:paraId="716DAA2A" w14:textId="60EAEBE6" w:rsidR="00DC2C3F" w:rsidRPr="00A34060" w:rsidRDefault="006222E9" w:rsidP="0039057B">
      <w:pPr>
        <w:pStyle w:val="Heading1"/>
        <w:rPr>
          <w:rFonts w:eastAsia="Dotum"/>
        </w:rPr>
      </w:pPr>
      <w:r w:rsidRPr="00A34060">
        <w:rPr>
          <w:sz w:val="22"/>
          <w:szCs w:val="22"/>
          <w:lang w:val="en-GB"/>
        </w:rPr>
        <w:br w:type="page"/>
      </w:r>
    </w:p>
    <w:p w14:paraId="7B6922F1" w14:textId="2619418C" w:rsidR="007E2CE7" w:rsidRPr="00A34060" w:rsidRDefault="03C7B32C" w:rsidP="0003642E">
      <w:pPr>
        <w:pStyle w:val="Heading1"/>
        <w:rPr>
          <w:lang w:val="en-GB"/>
        </w:rPr>
      </w:pPr>
      <w:bookmarkStart w:id="0" w:name="_Toc94512100"/>
      <w:r w:rsidRPr="03C7B32C">
        <w:rPr>
          <w:lang w:val="en-GB"/>
        </w:rPr>
        <w:lastRenderedPageBreak/>
        <w:t>1. Objective</w:t>
      </w:r>
      <w:bookmarkEnd w:id="0"/>
    </w:p>
    <w:p w14:paraId="0B6E7429" w14:textId="47775AD7" w:rsidR="007E2CE7" w:rsidRPr="00A34060" w:rsidRDefault="007E2CE7" w:rsidP="00A726CD">
      <w:pPr>
        <w:rPr>
          <w:rFonts w:cstheme="minorHAnsi"/>
          <w:szCs w:val="22"/>
          <w:lang w:val="en-GB"/>
        </w:rPr>
      </w:pPr>
      <w:r w:rsidRPr="00A34060">
        <w:rPr>
          <w:rFonts w:cstheme="minorHAnsi"/>
          <w:szCs w:val="22"/>
          <w:lang w:val="en-GB"/>
        </w:rPr>
        <w:t xml:space="preserve">We </w:t>
      </w:r>
      <w:r w:rsidR="00C418A9" w:rsidRPr="00A34060">
        <w:rPr>
          <w:rFonts w:cstheme="minorHAnsi"/>
          <w:szCs w:val="22"/>
          <w:lang w:val="en-GB"/>
        </w:rPr>
        <w:t xml:space="preserve">aimed to estimate the </w:t>
      </w:r>
      <w:r w:rsidR="009E3691" w:rsidRPr="00A34060">
        <w:rPr>
          <w:rFonts w:cstheme="minorHAnsi"/>
          <w:szCs w:val="22"/>
          <w:lang w:val="en-GB"/>
        </w:rPr>
        <w:t xml:space="preserve">prevalence of </w:t>
      </w:r>
      <w:r w:rsidR="006769B0" w:rsidRPr="00A34060">
        <w:rPr>
          <w:rFonts w:cstheme="minorHAnsi"/>
          <w:szCs w:val="22"/>
          <w:lang w:val="en-GB"/>
        </w:rPr>
        <w:t>at least one</w:t>
      </w:r>
      <w:r w:rsidR="009E3691" w:rsidRPr="00A34060">
        <w:rPr>
          <w:rFonts w:cstheme="minorHAnsi"/>
          <w:szCs w:val="22"/>
          <w:lang w:val="en-GB"/>
        </w:rPr>
        <w:t xml:space="preserve"> micronutrient deficiency</w:t>
      </w:r>
      <w:r w:rsidR="00A11D4E" w:rsidRPr="00A34060">
        <w:rPr>
          <w:rFonts w:cstheme="minorHAnsi"/>
          <w:szCs w:val="22"/>
          <w:lang w:val="en-GB"/>
        </w:rPr>
        <w:t xml:space="preserve"> in non-pregnant women of reproductive age (15-49 years) and preschool-aged children (</w:t>
      </w:r>
      <w:r w:rsidR="000A773D" w:rsidRPr="00A34060">
        <w:rPr>
          <w:rFonts w:cstheme="minorHAnsi"/>
          <w:szCs w:val="22"/>
          <w:lang w:val="en-GB"/>
        </w:rPr>
        <w:t>6</w:t>
      </w:r>
      <w:r w:rsidR="00A11D4E" w:rsidRPr="00A34060">
        <w:rPr>
          <w:rFonts w:cstheme="minorHAnsi"/>
          <w:szCs w:val="22"/>
          <w:lang w:val="en-GB"/>
        </w:rPr>
        <w:t>-59 months)</w:t>
      </w:r>
      <w:r w:rsidR="006769B0" w:rsidRPr="00A34060">
        <w:rPr>
          <w:rFonts w:cstheme="minorHAnsi"/>
          <w:szCs w:val="22"/>
          <w:lang w:val="en-GB"/>
        </w:rPr>
        <w:t xml:space="preserve"> during the period 200</w:t>
      </w:r>
      <w:r w:rsidR="00F308DB" w:rsidRPr="00A34060">
        <w:rPr>
          <w:rFonts w:cstheme="minorHAnsi"/>
          <w:szCs w:val="22"/>
          <w:lang w:val="en-GB"/>
        </w:rPr>
        <w:t>5-20</w:t>
      </w:r>
      <w:r w:rsidR="0066139F" w:rsidRPr="00A34060">
        <w:rPr>
          <w:rFonts w:cstheme="minorHAnsi"/>
          <w:szCs w:val="22"/>
          <w:lang w:val="en-GB"/>
        </w:rPr>
        <w:t>19</w:t>
      </w:r>
      <w:r w:rsidR="00F308DB" w:rsidRPr="00A34060">
        <w:rPr>
          <w:rFonts w:cstheme="minorHAnsi"/>
          <w:szCs w:val="22"/>
          <w:lang w:val="en-GB"/>
        </w:rPr>
        <w:t xml:space="preserve">, globally and in </w:t>
      </w:r>
      <w:r w:rsidR="0066139F" w:rsidRPr="00A34060">
        <w:rPr>
          <w:rFonts w:cstheme="minorHAnsi"/>
          <w:szCs w:val="22"/>
          <w:lang w:val="en-GB"/>
        </w:rPr>
        <w:t>seven</w:t>
      </w:r>
      <w:r w:rsidR="0038345D">
        <w:rPr>
          <w:rFonts w:cstheme="minorHAnsi"/>
          <w:szCs w:val="22"/>
          <w:lang w:val="en-GB"/>
        </w:rPr>
        <w:t xml:space="preserve"> epidemiologically relevant</w:t>
      </w:r>
      <w:r w:rsidR="00F308DB" w:rsidRPr="00A34060">
        <w:rPr>
          <w:rFonts w:cstheme="minorHAnsi"/>
          <w:szCs w:val="22"/>
          <w:lang w:val="en-GB"/>
        </w:rPr>
        <w:t xml:space="preserve"> </w:t>
      </w:r>
      <w:r w:rsidR="00940AAB" w:rsidRPr="00A34060">
        <w:rPr>
          <w:rFonts w:cstheme="minorHAnsi"/>
          <w:szCs w:val="22"/>
          <w:lang w:val="en-GB"/>
        </w:rPr>
        <w:t>groups of countries (</w:t>
      </w:r>
      <w:r w:rsidR="00F73FCA">
        <w:rPr>
          <w:rFonts w:cstheme="minorHAnsi"/>
          <w:szCs w:val="22"/>
          <w:lang w:val="en-GB"/>
        </w:rPr>
        <w:t xml:space="preserve">listed in </w:t>
      </w:r>
      <w:r w:rsidR="00DA2DD7">
        <w:rPr>
          <w:rFonts w:cstheme="minorHAnsi"/>
          <w:szCs w:val="22"/>
          <w:lang w:val="en-GB"/>
        </w:rPr>
        <w:t>Appendix Table</w:t>
      </w:r>
      <w:r w:rsidR="00940AAB" w:rsidRPr="00A34060">
        <w:rPr>
          <w:rFonts w:cstheme="minorHAnsi"/>
          <w:szCs w:val="22"/>
          <w:lang w:val="en-GB"/>
        </w:rPr>
        <w:t xml:space="preserve"> </w:t>
      </w:r>
      <w:r w:rsidR="00B77CB8" w:rsidRPr="00A34060">
        <w:rPr>
          <w:rFonts w:cstheme="minorHAnsi"/>
          <w:szCs w:val="22"/>
          <w:lang w:val="en-GB"/>
        </w:rPr>
        <w:t>1</w:t>
      </w:r>
      <w:r w:rsidR="00F73FCA">
        <w:rPr>
          <w:rFonts w:cstheme="minorHAnsi"/>
          <w:szCs w:val="22"/>
          <w:lang w:val="en-GB"/>
        </w:rPr>
        <w:t xml:space="preserve"> and referred to as regions in the text</w:t>
      </w:r>
      <w:r w:rsidR="00940AAB" w:rsidRPr="00A34060">
        <w:rPr>
          <w:rFonts w:cstheme="minorHAnsi"/>
          <w:szCs w:val="22"/>
          <w:lang w:val="en-GB"/>
        </w:rPr>
        <w:t>)</w:t>
      </w:r>
      <w:r w:rsidRPr="00A34060">
        <w:rPr>
          <w:rFonts w:cstheme="minorHAnsi"/>
          <w:szCs w:val="22"/>
          <w:lang w:val="en-GB"/>
        </w:rPr>
        <w:t xml:space="preserve">. </w:t>
      </w:r>
      <w:r w:rsidR="00EE3731" w:rsidRPr="00A34060">
        <w:rPr>
          <w:rFonts w:cstheme="minorHAnsi"/>
          <w:szCs w:val="22"/>
          <w:lang w:val="en-GB"/>
        </w:rPr>
        <w:t xml:space="preserve">Our analysis focused on non-pregnant women of reproductive age and pre-school aged children because data on micronutrient status are most </w:t>
      </w:r>
      <w:r w:rsidR="003F2439" w:rsidRPr="00A34060">
        <w:rPr>
          <w:rFonts w:cstheme="minorHAnsi"/>
          <w:szCs w:val="22"/>
          <w:lang w:val="en-GB"/>
        </w:rPr>
        <w:t xml:space="preserve">often available for these population groups. </w:t>
      </w:r>
      <w:r w:rsidRPr="00A34060">
        <w:rPr>
          <w:rFonts w:cstheme="minorHAnsi"/>
          <w:szCs w:val="22"/>
          <w:lang w:val="en-GB"/>
        </w:rPr>
        <w:t xml:space="preserve">Our analysis included </w:t>
      </w:r>
      <w:r w:rsidR="006B3839" w:rsidRPr="00A34060">
        <w:rPr>
          <w:rFonts w:cstheme="minorHAnsi"/>
          <w:szCs w:val="22"/>
          <w:lang w:val="en-GB"/>
        </w:rPr>
        <w:t>the following</w:t>
      </w:r>
      <w:r w:rsidRPr="00A34060">
        <w:rPr>
          <w:rFonts w:cstheme="minorHAnsi"/>
          <w:szCs w:val="22"/>
          <w:lang w:val="en-GB"/>
        </w:rPr>
        <w:t xml:space="preserve"> </w:t>
      </w:r>
      <w:r w:rsidR="0054267D" w:rsidRPr="00A34060">
        <w:rPr>
          <w:rFonts w:cstheme="minorHAnsi"/>
          <w:szCs w:val="22"/>
          <w:lang w:val="en-GB"/>
        </w:rPr>
        <w:t>s</w:t>
      </w:r>
      <w:r w:rsidR="00243507" w:rsidRPr="00A34060">
        <w:rPr>
          <w:rFonts w:cstheme="minorHAnsi"/>
          <w:szCs w:val="22"/>
          <w:lang w:val="en-GB"/>
        </w:rPr>
        <w:t>i</w:t>
      </w:r>
      <w:r w:rsidR="0054267D" w:rsidRPr="00A34060">
        <w:rPr>
          <w:rFonts w:cstheme="minorHAnsi"/>
          <w:szCs w:val="22"/>
          <w:lang w:val="en-GB"/>
        </w:rPr>
        <w:t>x</w:t>
      </w:r>
      <w:r w:rsidR="00940AAB" w:rsidRPr="00A34060">
        <w:rPr>
          <w:rFonts w:cstheme="minorHAnsi"/>
          <w:szCs w:val="22"/>
          <w:lang w:val="en-GB"/>
        </w:rPr>
        <w:t xml:space="preserve"> </w:t>
      </w:r>
      <w:r w:rsidRPr="00A34060">
        <w:rPr>
          <w:rFonts w:cstheme="minorHAnsi"/>
          <w:szCs w:val="22"/>
          <w:lang w:val="en-GB"/>
        </w:rPr>
        <w:t>steps:</w:t>
      </w:r>
    </w:p>
    <w:p w14:paraId="4EC81587" w14:textId="3959972D" w:rsidR="007E2CE7" w:rsidRPr="00A34060" w:rsidRDefault="006B3839" w:rsidP="00A726CD">
      <w:pPr>
        <w:pStyle w:val="ListParagraph"/>
        <w:numPr>
          <w:ilvl w:val="0"/>
          <w:numId w:val="6"/>
        </w:numPr>
        <w:rPr>
          <w:rFonts w:cstheme="minorHAnsi"/>
          <w:szCs w:val="22"/>
          <w:lang w:val="en-GB"/>
        </w:rPr>
      </w:pPr>
      <w:r w:rsidRPr="00A34060">
        <w:rPr>
          <w:rFonts w:cstheme="minorHAnsi"/>
          <w:szCs w:val="22"/>
          <w:lang w:val="en-GB"/>
        </w:rPr>
        <w:t>Identification</w:t>
      </w:r>
      <w:r w:rsidR="005D50C3" w:rsidRPr="00A34060">
        <w:rPr>
          <w:rFonts w:cstheme="minorHAnsi"/>
          <w:szCs w:val="22"/>
          <w:lang w:val="en-GB"/>
        </w:rPr>
        <w:t>,</w:t>
      </w:r>
      <w:r w:rsidRPr="00A34060">
        <w:rPr>
          <w:rFonts w:cstheme="minorHAnsi"/>
          <w:szCs w:val="22"/>
          <w:lang w:val="en-GB"/>
        </w:rPr>
        <w:t xml:space="preserve"> access</w:t>
      </w:r>
      <w:r w:rsidR="005D50C3" w:rsidRPr="00A34060">
        <w:rPr>
          <w:rFonts w:cstheme="minorHAnsi"/>
          <w:szCs w:val="22"/>
          <w:lang w:val="en-GB"/>
        </w:rPr>
        <w:t xml:space="preserve"> and initial inclusion</w:t>
      </w:r>
      <w:r w:rsidRPr="00A34060">
        <w:rPr>
          <w:rFonts w:cstheme="minorHAnsi"/>
          <w:szCs w:val="22"/>
          <w:lang w:val="en-GB"/>
        </w:rPr>
        <w:t xml:space="preserve"> of population-based individual-level biomarker data containing at least two of </w:t>
      </w:r>
      <w:r w:rsidR="00B06816" w:rsidRPr="00A34060">
        <w:rPr>
          <w:rFonts w:cstheme="minorHAnsi"/>
          <w:szCs w:val="22"/>
          <w:lang w:val="en-GB"/>
        </w:rPr>
        <w:t>six sentinel</w:t>
      </w:r>
      <w:r w:rsidRPr="00A34060">
        <w:rPr>
          <w:rFonts w:cstheme="minorHAnsi"/>
          <w:szCs w:val="22"/>
          <w:lang w:val="en-GB"/>
        </w:rPr>
        <w:t xml:space="preserve"> micronutrients;</w:t>
      </w:r>
    </w:p>
    <w:p w14:paraId="64D7144D" w14:textId="5FC0ED00" w:rsidR="00A62F62" w:rsidRPr="00A34060" w:rsidRDefault="00A62F62" w:rsidP="00A726CD">
      <w:pPr>
        <w:pStyle w:val="ListParagraph"/>
        <w:numPr>
          <w:ilvl w:val="0"/>
          <w:numId w:val="6"/>
        </w:numPr>
        <w:rPr>
          <w:rFonts w:cstheme="minorHAnsi"/>
          <w:szCs w:val="22"/>
          <w:lang w:val="en-GB"/>
        </w:rPr>
      </w:pPr>
      <w:r w:rsidRPr="00A34060">
        <w:rPr>
          <w:rFonts w:cstheme="minorHAnsi"/>
          <w:szCs w:val="22"/>
          <w:lang w:val="en-GB"/>
        </w:rPr>
        <w:t xml:space="preserve">Adjustment of micronutrient </w:t>
      </w:r>
      <w:r w:rsidR="002F0753">
        <w:rPr>
          <w:rFonts w:cstheme="minorHAnsi"/>
          <w:szCs w:val="22"/>
          <w:lang w:val="en-GB"/>
        </w:rPr>
        <w:t xml:space="preserve">biomarker </w:t>
      </w:r>
      <w:r w:rsidRPr="00A34060">
        <w:rPr>
          <w:rFonts w:cstheme="minorHAnsi"/>
          <w:szCs w:val="22"/>
          <w:lang w:val="en-GB"/>
        </w:rPr>
        <w:t>concentrations for inflammation using the BRINDA approach</w:t>
      </w:r>
      <w:r w:rsidR="002F5D3F" w:rsidRPr="00A34060">
        <w:rPr>
          <w:rFonts w:cstheme="minorHAnsi"/>
          <w:szCs w:val="22"/>
          <w:lang w:val="en-GB"/>
        </w:rPr>
        <w:t xml:space="preserve"> and application of thresholds to identify individuals with micronutrient deficiencies</w:t>
      </w:r>
      <w:r w:rsidRPr="00A34060">
        <w:rPr>
          <w:rFonts w:cstheme="minorHAnsi"/>
          <w:szCs w:val="22"/>
          <w:lang w:val="en-GB"/>
        </w:rPr>
        <w:t>;</w:t>
      </w:r>
    </w:p>
    <w:p w14:paraId="56A08BFB" w14:textId="7695C325" w:rsidR="00A010E3" w:rsidRPr="00A34060" w:rsidRDefault="00A010E3" w:rsidP="00A010E3">
      <w:pPr>
        <w:pStyle w:val="ListParagraph"/>
        <w:numPr>
          <w:ilvl w:val="0"/>
          <w:numId w:val="6"/>
        </w:numPr>
        <w:rPr>
          <w:rFonts w:cstheme="minorHAnsi"/>
          <w:szCs w:val="22"/>
          <w:lang w:val="en-GB"/>
        </w:rPr>
      </w:pPr>
      <w:r w:rsidRPr="00A34060">
        <w:rPr>
          <w:rFonts w:cstheme="minorHAnsi"/>
          <w:szCs w:val="22"/>
          <w:lang w:val="en-GB"/>
        </w:rPr>
        <w:t xml:space="preserve">Identification of three core micronutrients for each population group, that is, micronutrients whose deficiencies often occur </w:t>
      </w:r>
      <w:proofErr w:type="gramStart"/>
      <w:r w:rsidRPr="00A34060">
        <w:rPr>
          <w:rFonts w:cstheme="minorHAnsi"/>
          <w:szCs w:val="22"/>
          <w:lang w:val="en-GB"/>
        </w:rPr>
        <w:t>alone</w:t>
      </w:r>
      <w:proofErr w:type="gramEnd"/>
      <w:r w:rsidRPr="00A34060">
        <w:rPr>
          <w:rFonts w:cstheme="minorHAnsi"/>
          <w:szCs w:val="22"/>
          <w:lang w:val="en-GB"/>
        </w:rPr>
        <w:t xml:space="preserve"> and which are more commonly measured;</w:t>
      </w:r>
    </w:p>
    <w:p w14:paraId="6A6C506F" w14:textId="55712B6A" w:rsidR="00B06816" w:rsidRPr="00A34060" w:rsidRDefault="005D50C3" w:rsidP="00A010E3">
      <w:pPr>
        <w:pStyle w:val="ListParagraph"/>
        <w:numPr>
          <w:ilvl w:val="0"/>
          <w:numId w:val="6"/>
        </w:numPr>
        <w:rPr>
          <w:rFonts w:cstheme="minorHAnsi"/>
          <w:szCs w:val="22"/>
          <w:lang w:val="en-GB"/>
        </w:rPr>
      </w:pPr>
      <w:r w:rsidRPr="00A34060">
        <w:rPr>
          <w:rFonts w:cstheme="minorHAnsi"/>
          <w:szCs w:val="22"/>
          <w:lang w:val="en-GB"/>
        </w:rPr>
        <w:t>Final i</w:t>
      </w:r>
      <w:r w:rsidR="00B06816" w:rsidRPr="00A34060">
        <w:rPr>
          <w:rFonts w:cstheme="minorHAnsi"/>
          <w:szCs w:val="22"/>
          <w:lang w:val="en-GB"/>
        </w:rPr>
        <w:t>nclusion of data sources</w:t>
      </w:r>
      <w:r w:rsidR="0054267D" w:rsidRPr="00A34060">
        <w:rPr>
          <w:rFonts w:cstheme="minorHAnsi"/>
          <w:szCs w:val="22"/>
          <w:lang w:val="en-GB"/>
        </w:rPr>
        <w:t xml:space="preserve"> identified in step 1</w:t>
      </w:r>
      <w:r w:rsidR="00B06816" w:rsidRPr="00A34060">
        <w:rPr>
          <w:rFonts w:cstheme="minorHAnsi"/>
          <w:szCs w:val="22"/>
          <w:lang w:val="en-GB"/>
        </w:rPr>
        <w:t xml:space="preserve"> that m</w:t>
      </w:r>
      <w:r w:rsidR="0054267D" w:rsidRPr="00A34060">
        <w:rPr>
          <w:rFonts w:cstheme="minorHAnsi"/>
          <w:szCs w:val="22"/>
          <w:lang w:val="en-GB"/>
        </w:rPr>
        <w:t>easure at least 2 of 3 core micronutrients;</w:t>
      </w:r>
    </w:p>
    <w:p w14:paraId="08C750CB" w14:textId="5377A8B7" w:rsidR="00FF0948" w:rsidRPr="00A34060" w:rsidRDefault="00FF0948" w:rsidP="00A726CD">
      <w:pPr>
        <w:pStyle w:val="ListParagraph"/>
        <w:numPr>
          <w:ilvl w:val="0"/>
          <w:numId w:val="6"/>
        </w:numPr>
        <w:rPr>
          <w:rFonts w:cstheme="minorHAnsi"/>
          <w:szCs w:val="22"/>
          <w:lang w:val="en-GB"/>
        </w:rPr>
      </w:pPr>
      <w:r w:rsidRPr="00A34060">
        <w:rPr>
          <w:rFonts w:cstheme="minorHAnsi"/>
          <w:szCs w:val="22"/>
          <w:lang w:val="en-GB"/>
        </w:rPr>
        <w:t xml:space="preserve">Applying a statistical model to estimate the prevalence of </w:t>
      </w:r>
      <w:r w:rsidR="00CE104B" w:rsidRPr="00A34060">
        <w:rPr>
          <w:rFonts w:cstheme="minorHAnsi"/>
          <w:szCs w:val="22"/>
          <w:lang w:val="en-GB"/>
        </w:rPr>
        <w:t xml:space="preserve">deficiency of </w:t>
      </w:r>
      <w:r w:rsidRPr="00A34060">
        <w:rPr>
          <w:rFonts w:cstheme="minorHAnsi"/>
          <w:szCs w:val="22"/>
          <w:lang w:val="en-GB"/>
        </w:rPr>
        <w:t xml:space="preserve">the unmeasured micronutrient when only two of the core micronutrients were measured; </w:t>
      </w:r>
      <w:r w:rsidR="00CE104B" w:rsidRPr="00A34060">
        <w:rPr>
          <w:rFonts w:cstheme="minorHAnsi"/>
          <w:szCs w:val="22"/>
          <w:lang w:val="en-GB"/>
        </w:rPr>
        <w:t>and</w:t>
      </w:r>
    </w:p>
    <w:p w14:paraId="6CEEBA86" w14:textId="03E7FACF" w:rsidR="007E2CE7" w:rsidRPr="00A34060" w:rsidRDefault="007E2CE7" w:rsidP="00A726CD">
      <w:pPr>
        <w:pStyle w:val="ListParagraph"/>
        <w:numPr>
          <w:ilvl w:val="0"/>
          <w:numId w:val="6"/>
        </w:numPr>
        <w:rPr>
          <w:rFonts w:cstheme="minorHAnsi"/>
          <w:szCs w:val="22"/>
          <w:lang w:val="en-GB"/>
        </w:rPr>
      </w:pPr>
      <w:r w:rsidRPr="00A34060">
        <w:rPr>
          <w:rFonts w:cstheme="minorHAnsi"/>
          <w:szCs w:val="22"/>
          <w:lang w:val="en-GB"/>
        </w:rPr>
        <w:t xml:space="preserve">Applying a statistical model to estimate </w:t>
      </w:r>
      <w:r w:rsidR="00CE104B" w:rsidRPr="00A34060">
        <w:rPr>
          <w:rFonts w:cstheme="minorHAnsi"/>
          <w:szCs w:val="22"/>
          <w:lang w:val="en-GB"/>
        </w:rPr>
        <w:t>global and regional prevalence of at least one of the core micronutrients in each population group</w:t>
      </w:r>
      <w:r w:rsidRPr="00A34060">
        <w:rPr>
          <w:rFonts w:cstheme="minorHAnsi"/>
          <w:szCs w:val="22"/>
          <w:lang w:val="en-GB"/>
        </w:rPr>
        <w:t xml:space="preserve">. </w:t>
      </w:r>
    </w:p>
    <w:p w14:paraId="0909DDE2" w14:textId="48E4C2F8" w:rsidR="00BC0C41" w:rsidRPr="00A34060" w:rsidRDefault="00BB3A67" w:rsidP="00A726CD">
      <w:pPr>
        <w:rPr>
          <w:rFonts w:cstheme="minorHAnsi"/>
          <w:szCs w:val="22"/>
          <w:lang w:val="en-GB"/>
        </w:rPr>
      </w:pPr>
      <w:r w:rsidRPr="00A34060">
        <w:rPr>
          <w:rFonts w:cstheme="minorHAnsi"/>
          <w:szCs w:val="22"/>
          <w:lang w:val="en-GB"/>
        </w:rPr>
        <w:t xml:space="preserve">These estimates have been documented following the Guidelines for Accurate and Transparent Health Estimates Reporting (GATHER) </w:t>
      </w:r>
      <w:r w:rsidR="00AA7D9C" w:rsidRPr="00A34060">
        <w:rPr>
          <w:rFonts w:cstheme="minorHAnsi"/>
          <w:szCs w:val="22"/>
          <w:lang w:val="en-GB"/>
        </w:rPr>
        <w:fldChar w:fldCharType="begin" w:fldLock="1"/>
      </w:r>
      <w:r w:rsidR="00AC7C6E" w:rsidRPr="00A34060">
        <w:rPr>
          <w:rFonts w:cstheme="minorHAnsi"/>
          <w:szCs w:val="22"/>
          <w:lang w:val="en-GB"/>
        </w:rPr>
        <w:instrText>ADDIN CSL_CITATION {"citationItems":[{"id":"ITEM-1","itemData":{"DOI":"10.1371/journal.pmed.1002056","ISSN":"1549-1676","abstract":"Measurements of health indicators are rarely available for every population and period of interest , and available data may not be comparable. The Guidelines for Accurate and Transparent Health Estimates Reporting (GATHER) define best reporting practices for studies that calculate health estimates for multiple populations (in time or space) using multiple information sources. Health estimates that fall within the scope of GATHER include all quantitative population level estimates (including global, regional, national, or subnational estimates) of health indicators, including indicators of health status, incidence and prevalence of diseases, injuries, and disability and functioning; and indicators of health determinants, including health behaviours and health exposures. GATHER comprises a checklist of 18 items that are essential for best reporting practice. A more detailed explanation and elaboration document, describing the interpretation and rationale of each reporting item along with examples of good reporting, is available on the GATHER website (gather-statement.org).","author":[{"dropping-particle":"","family":"Stevens","given":"Gretchen A.","non-dropping-particle":"","parse-names":false,"suffix":""},{"dropping-particle":"","family":"Alkema","given":"Leontine","non-dropping-particle":"","parse-names":false,"suffix":""},{"dropping-particle":"","family":"Black","given":"Robert E.","non-dropping-particle":"","parse-names":false,"suffix":""},{"dropping-particle":"","family":"Boerma","given":"J. Ties","non-dropping-particle":"","parse-names":false,"suffix":""},{"dropping-particle":"","family":"Collins","given":"Gary S.","non-dropping-particle":"","parse-names":false,"suffix":""},{"dropping-particle":"","family":"Ezzati","given":"Majid","non-dropping-particle":"","parse-names":false,"suffix":""},{"dropping-particle":"","family":"Grove","given":"John T.","non-dropping-particle":"","parse-names":false,"suffix":""},{"dropping-particle":"","family":"Hogan","given":"Daniel R.","non-dropping-particle":"","parse-names":false,"suffix":""},{"dropping-particle":"","family":"Hogan","given":"Margaret C.","non-dropping-particle":"","parse-names":false,"suffix":""},{"dropping-particle":"","family":"Horton","given":"Richard","non-dropping-particle":"","parse-names":false,"suffix":""},{"dropping-particle":"","family":"Lawn","given":"Joy E.","non-dropping-particle":"","parse-names":false,"suffix":""},{"dropping-particle":"","family":"Marušić","given":"Ana","non-dropping-particle":"","parse-names":false,"suffix":""},{"dropping-particle":"","family":"Mathers","given":"Colin D.","non-dropping-particle":"","parse-names":false,"suffix":""},{"dropping-particle":"","family":"Murray","given":"Christopher J. L.","non-dropping-particle":"","parse-names":false,"suffix":""},{"dropping-particle":"","family":"Rudan","given":"Igor","non-dropping-particle":"","parse-names":false,"suffix":""},{"dropping-particle":"","family":"Salomon","given":"Joshua A.","non-dropping-particle":"","parse-names":false,"suffix":""},{"dropping-particle":"","family":"Simpson","given":"Paul J.","non-dropping-particle":"","parse-names":false,"suffix":""},{"dropping-particle":"","family":"Vos","given":"Theo","non-dropping-particle":"","parse-names":false,"suffix":""},{"dropping-particle":"","family":"Welch","given":"Vivian","non-dropping-particle":"","parse-names":false,"suffix":""}],"container-title":"PLOS Medicine","id":"ITEM-1","issue":"6","issued":{"date-parts":[["2016","6","28"]]},"page":"e1002056","publisher":"Public Library of Science","title":"Guidelines for Accurate and Transparent Health Estimates Reporting: the GATHER statement","type":"article-journal","volume":"13"},"uris":["http://www.mendeley.com/documents/?uuid=a48e1a4b-945d-382c-a58d-f17ed49d6200"]}],"mendeley":{"formattedCitation":"(1)","plainTextFormattedCitation":"(1)","previouslyFormattedCitation":"(1)"},"properties":{"noteIndex":0},"schema":"https://github.com/citation-style-language/schema/raw/master/csl-citation.json"}</w:instrText>
      </w:r>
      <w:r w:rsidR="00AA7D9C" w:rsidRPr="00A34060">
        <w:rPr>
          <w:rFonts w:cstheme="minorHAnsi"/>
          <w:szCs w:val="22"/>
          <w:lang w:val="en-GB"/>
        </w:rPr>
        <w:fldChar w:fldCharType="separate"/>
      </w:r>
      <w:r w:rsidR="00384BCB" w:rsidRPr="00A34060">
        <w:rPr>
          <w:rFonts w:cstheme="minorHAnsi"/>
          <w:noProof/>
          <w:szCs w:val="22"/>
          <w:lang w:val="en-GB"/>
        </w:rPr>
        <w:t>(1)</w:t>
      </w:r>
      <w:r w:rsidR="00AA7D9C" w:rsidRPr="00A34060">
        <w:rPr>
          <w:rFonts w:cstheme="minorHAnsi"/>
          <w:szCs w:val="22"/>
          <w:lang w:val="en-GB"/>
        </w:rPr>
        <w:fldChar w:fldCharType="end"/>
      </w:r>
      <w:r w:rsidRPr="00A34060">
        <w:rPr>
          <w:rFonts w:cstheme="minorHAnsi"/>
          <w:szCs w:val="22"/>
          <w:lang w:val="en-GB"/>
        </w:rPr>
        <w:t>. The location</w:t>
      </w:r>
      <w:r w:rsidR="008A3B02" w:rsidRPr="00A34060">
        <w:rPr>
          <w:rFonts w:cstheme="minorHAnsi"/>
          <w:szCs w:val="22"/>
          <w:lang w:val="en-GB"/>
        </w:rPr>
        <w:t>s</w:t>
      </w:r>
      <w:r w:rsidRPr="00A34060">
        <w:rPr>
          <w:rFonts w:cstheme="minorHAnsi"/>
          <w:szCs w:val="22"/>
          <w:lang w:val="en-GB"/>
        </w:rPr>
        <w:t xml:space="preserve"> where GATHER reporting items are reported are given in</w:t>
      </w:r>
      <w:r w:rsidR="00192D51" w:rsidRPr="00A34060">
        <w:rPr>
          <w:rFonts w:cstheme="minorHAnsi"/>
          <w:szCs w:val="22"/>
          <w:lang w:val="en-GB"/>
        </w:rPr>
        <w:t xml:space="preserve"> </w:t>
      </w:r>
      <w:r w:rsidR="00DA2DD7">
        <w:rPr>
          <w:rFonts w:cstheme="minorHAnsi"/>
          <w:szCs w:val="22"/>
          <w:lang w:val="en-GB"/>
        </w:rPr>
        <w:t>Appendix Table</w:t>
      </w:r>
      <w:r w:rsidR="00192D51" w:rsidRPr="00A34060">
        <w:rPr>
          <w:rFonts w:cstheme="minorHAnsi"/>
          <w:szCs w:val="22"/>
          <w:lang w:val="en-GB"/>
        </w:rPr>
        <w:t xml:space="preserve"> </w:t>
      </w:r>
      <w:r w:rsidR="00932326" w:rsidRPr="00A34060">
        <w:rPr>
          <w:rFonts w:cstheme="minorHAnsi"/>
          <w:szCs w:val="22"/>
          <w:lang w:val="en-GB"/>
        </w:rPr>
        <w:t>2</w:t>
      </w:r>
      <w:r w:rsidRPr="00A34060">
        <w:rPr>
          <w:rFonts w:cstheme="minorHAnsi"/>
          <w:szCs w:val="22"/>
          <w:lang w:val="en-GB"/>
        </w:rPr>
        <w:t>.</w:t>
      </w:r>
    </w:p>
    <w:p w14:paraId="6F3FE471" w14:textId="012BC02F" w:rsidR="0066139F" w:rsidRPr="00A34060" w:rsidRDefault="0066139F" w:rsidP="00A726CD">
      <w:pPr>
        <w:rPr>
          <w:rFonts w:cstheme="minorHAnsi"/>
          <w:szCs w:val="22"/>
          <w:lang w:val="en-GB"/>
        </w:rPr>
      </w:pPr>
    </w:p>
    <w:p w14:paraId="49CD0E38" w14:textId="34D6EA4B" w:rsidR="0066139F" w:rsidRPr="00A34060" w:rsidRDefault="00DA2DD7" w:rsidP="03C7B32C">
      <w:pPr>
        <w:pStyle w:val="Heading3"/>
        <w:rPr>
          <w:rFonts w:cstheme="minorBidi"/>
          <w:noProof/>
          <w:lang w:val="en-GB"/>
        </w:rPr>
      </w:pPr>
      <w:bookmarkStart w:id="1" w:name="_Toc94512101"/>
      <w:r w:rsidRPr="03C7B32C">
        <w:rPr>
          <w:rStyle w:val="Heading3Char"/>
          <w:rFonts w:cstheme="minorBidi"/>
        </w:rPr>
        <w:t xml:space="preserve">Appendix </w:t>
      </w:r>
      <w:r w:rsidR="0066139F" w:rsidRPr="03C7B32C">
        <w:rPr>
          <w:rStyle w:val="Heading3Char"/>
          <w:rFonts w:cstheme="minorBidi"/>
        </w:rPr>
        <w:t>Table 1</w:t>
      </w:r>
      <w:r w:rsidR="0066139F" w:rsidRPr="03C7B32C">
        <w:rPr>
          <w:rFonts w:cstheme="minorBidi"/>
          <w:noProof/>
          <w:lang w:val="en-GB"/>
        </w:rPr>
        <w:t>.  Countries/territories in each geographic region or analysis grouping.</w:t>
      </w:r>
      <w:r w:rsidR="00A8640F" w:rsidRPr="03C7B32C">
        <w:rPr>
          <w:rStyle w:val="FootnoteReference"/>
          <w:rFonts w:cstheme="minorBidi"/>
          <w:noProof/>
          <w:lang w:val="en-GB"/>
        </w:rPr>
        <w:footnoteReference w:id="2"/>
      </w:r>
      <w:bookmarkEnd w:id="1"/>
    </w:p>
    <w:tbl>
      <w:tblPr>
        <w:tblW w:w="5000" w:type="pct"/>
        <w:tblLook w:val="04A0" w:firstRow="1" w:lastRow="0" w:firstColumn="1" w:lastColumn="0" w:noHBand="0" w:noVBand="1"/>
      </w:tblPr>
      <w:tblGrid>
        <w:gridCol w:w="2728"/>
        <w:gridCol w:w="7008"/>
      </w:tblGrid>
      <w:tr w:rsidR="0066139F" w:rsidRPr="00A34060" w14:paraId="3FFDFDF2" w14:textId="77777777" w:rsidTr="00231817">
        <w:trPr>
          <w:trHeight w:val="300"/>
          <w:tblHeader/>
        </w:trPr>
        <w:tc>
          <w:tcPr>
            <w:tcW w:w="90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A76950" w14:textId="77777777" w:rsidR="0066139F" w:rsidRPr="00A34060" w:rsidRDefault="0066139F" w:rsidP="00C94FBC">
            <w:pPr>
              <w:rPr>
                <w:rFonts w:cstheme="minorHAnsi"/>
                <w:b/>
                <w:bCs/>
                <w:color w:val="000000"/>
                <w:szCs w:val="22"/>
                <w:lang w:eastAsia="en-US"/>
              </w:rPr>
            </w:pPr>
            <w:r w:rsidRPr="00A34060">
              <w:rPr>
                <w:rFonts w:cstheme="minorHAnsi"/>
                <w:b/>
                <w:bCs/>
                <w:color w:val="000000"/>
                <w:szCs w:val="22"/>
                <w:lang w:eastAsia="en-US"/>
              </w:rPr>
              <w:t>Region or analysis grouping</w:t>
            </w:r>
          </w:p>
        </w:tc>
        <w:tc>
          <w:tcPr>
            <w:tcW w:w="40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FFC46" w14:textId="77777777" w:rsidR="0066139F" w:rsidRPr="00A34060" w:rsidRDefault="0066139F" w:rsidP="00C94FBC">
            <w:pPr>
              <w:rPr>
                <w:rFonts w:cstheme="minorHAnsi"/>
                <w:b/>
                <w:bCs/>
                <w:color w:val="000000"/>
                <w:szCs w:val="22"/>
                <w:lang w:eastAsia="en-US"/>
              </w:rPr>
            </w:pPr>
            <w:r w:rsidRPr="00A34060">
              <w:rPr>
                <w:rFonts w:cstheme="minorHAnsi"/>
                <w:b/>
                <w:bCs/>
                <w:color w:val="000000"/>
                <w:szCs w:val="22"/>
                <w:lang w:eastAsia="en-US"/>
              </w:rPr>
              <w:t>Countries/territories</w:t>
            </w:r>
          </w:p>
        </w:tc>
      </w:tr>
      <w:tr w:rsidR="0066139F" w:rsidRPr="00A34060" w14:paraId="13AF1C23" w14:textId="77777777" w:rsidTr="00231817">
        <w:trPr>
          <w:trHeight w:val="1200"/>
        </w:trPr>
        <w:tc>
          <w:tcPr>
            <w:tcW w:w="90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03F1B4" w14:textId="77777777" w:rsidR="0066139F" w:rsidRPr="00A34060" w:rsidRDefault="0066139F" w:rsidP="00C94FBC">
            <w:pPr>
              <w:rPr>
                <w:rFonts w:cstheme="minorHAnsi"/>
                <w:color w:val="000000"/>
                <w:szCs w:val="22"/>
                <w:lang w:eastAsia="en-US"/>
              </w:rPr>
            </w:pPr>
            <w:r w:rsidRPr="00A34060">
              <w:rPr>
                <w:rFonts w:cstheme="minorHAnsi"/>
                <w:color w:val="000000"/>
                <w:szCs w:val="22"/>
                <w:lang w:eastAsia="en-US"/>
              </w:rPr>
              <w:t>East Asia &amp; Pacific</w:t>
            </w:r>
          </w:p>
        </w:tc>
        <w:tc>
          <w:tcPr>
            <w:tcW w:w="4093" w:type="pct"/>
            <w:tcBorders>
              <w:top w:val="single" w:sz="4" w:space="0" w:color="auto"/>
              <w:left w:val="nil"/>
              <w:bottom w:val="single" w:sz="4" w:space="0" w:color="auto"/>
              <w:right w:val="single" w:sz="4" w:space="0" w:color="auto"/>
            </w:tcBorders>
            <w:shd w:val="clear" w:color="auto" w:fill="auto"/>
            <w:vAlign w:val="center"/>
            <w:hideMark/>
          </w:tcPr>
          <w:p w14:paraId="485C3020" w14:textId="77777777" w:rsidR="0066139F" w:rsidRPr="00A34060" w:rsidRDefault="0066139F" w:rsidP="00C94FBC">
            <w:pPr>
              <w:rPr>
                <w:rFonts w:cstheme="minorHAnsi"/>
                <w:color w:val="000000"/>
                <w:szCs w:val="22"/>
                <w:lang w:eastAsia="en-US"/>
              </w:rPr>
            </w:pPr>
            <w:r w:rsidRPr="00A34060">
              <w:rPr>
                <w:rFonts w:cstheme="minorHAnsi"/>
                <w:color w:val="000000"/>
                <w:szCs w:val="22"/>
                <w:lang w:eastAsia="en-US"/>
              </w:rPr>
              <w:t>Cambodia, China, Democratic People's Republic of Korea, Fiji, Indonesia, Kiribati, Lao People's Democratic Republic, Malaysia, Micronesia (Federated States of), Mongolia, Myanmar, Papua New Guinea, Philippines, Samoa, Solomon Islands, Thailand, Timor-Leste, Tonga, Vanuatu, Viet Nam</w:t>
            </w:r>
          </w:p>
        </w:tc>
      </w:tr>
      <w:tr w:rsidR="0066139F" w:rsidRPr="00A34060" w14:paraId="6BFA80F8" w14:textId="77777777" w:rsidTr="00231817">
        <w:trPr>
          <w:trHeight w:val="900"/>
        </w:trPr>
        <w:tc>
          <w:tcPr>
            <w:tcW w:w="907" w:type="pct"/>
            <w:tcBorders>
              <w:top w:val="nil"/>
              <w:left w:val="single" w:sz="4" w:space="0" w:color="auto"/>
              <w:bottom w:val="single" w:sz="4" w:space="0" w:color="auto"/>
              <w:right w:val="single" w:sz="4" w:space="0" w:color="auto"/>
            </w:tcBorders>
            <w:shd w:val="clear" w:color="auto" w:fill="auto"/>
            <w:vAlign w:val="center"/>
            <w:hideMark/>
          </w:tcPr>
          <w:p w14:paraId="3FD71C65" w14:textId="77777777" w:rsidR="0066139F" w:rsidRPr="00A34060" w:rsidRDefault="0066139F" w:rsidP="00C94FBC">
            <w:pPr>
              <w:rPr>
                <w:rFonts w:cstheme="minorHAnsi"/>
                <w:color w:val="000000"/>
                <w:szCs w:val="22"/>
                <w:lang w:eastAsia="en-US"/>
              </w:rPr>
            </w:pPr>
            <w:r w:rsidRPr="00A34060">
              <w:rPr>
                <w:rFonts w:cstheme="minorHAnsi"/>
                <w:color w:val="000000"/>
                <w:szCs w:val="22"/>
                <w:lang w:eastAsia="en-US"/>
              </w:rPr>
              <w:t>Europe &amp; Central Asia</w:t>
            </w:r>
          </w:p>
        </w:tc>
        <w:tc>
          <w:tcPr>
            <w:tcW w:w="4093" w:type="pct"/>
            <w:tcBorders>
              <w:top w:val="nil"/>
              <w:left w:val="nil"/>
              <w:bottom w:val="single" w:sz="4" w:space="0" w:color="auto"/>
              <w:right w:val="single" w:sz="4" w:space="0" w:color="auto"/>
            </w:tcBorders>
            <w:shd w:val="clear" w:color="auto" w:fill="auto"/>
            <w:vAlign w:val="center"/>
            <w:hideMark/>
          </w:tcPr>
          <w:p w14:paraId="3A691294" w14:textId="77777777" w:rsidR="0066139F" w:rsidRPr="00A34060" w:rsidRDefault="0066139F" w:rsidP="00C94FBC">
            <w:pPr>
              <w:rPr>
                <w:rFonts w:cstheme="minorHAnsi"/>
                <w:color w:val="000000"/>
                <w:szCs w:val="22"/>
                <w:lang w:eastAsia="en-US"/>
              </w:rPr>
            </w:pPr>
            <w:r w:rsidRPr="00A34060">
              <w:rPr>
                <w:rFonts w:cstheme="minorHAnsi"/>
                <w:color w:val="000000"/>
                <w:szCs w:val="22"/>
                <w:lang w:eastAsia="en-US"/>
              </w:rPr>
              <w:t xml:space="preserve">Albania, Armenia, Azerbaijan, Belarus, Bosnia and Herzegovina, Bulgaria, Georgia, Kazakhstan, Kyrgyzstan, Montenegro, Republic of Moldova, </w:t>
            </w:r>
            <w:r w:rsidRPr="00A34060">
              <w:rPr>
                <w:rFonts w:cstheme="minorHAnsi"/>
                <w:color w:val="000000"/>
                <w:szCs w:val="22"/>
                <w:lang w:eastAsia="en-US"/>
              </w:rPr>
              <w:lastRenderedPageBreak/>
              <w:t>Republic of North Macedonia, Romania, Russian Federation, Serbia, Tajikistan, Turkey, Turkmenistan, Ukraine, Uzbekistan</w:t>
            </w:r>
          </w:p>
        </w:tc>
      </w:tr>
      <w:tr w:rsidR="0066139F" w:rsidRPr="00A34060" w14:paraId="1E669E9E" w14:textId="77777777" w:rsidTr="00231817">
        <w:trPr>
          <w:trHeight w:val="2100"/>
        </w:trPr>
        <w:tc>
          <w:tcPr>
            <w:tcW w:w="907" w:type="pct"/>
            <w:tcBorders>
              <w:top w:val="nil"/>
              <w:left w:val="single" w:sz="4" w:space="0" w:color="auto"/>
              <w:bottom w:val="single" w:sz="4" w:space="0" w:color="auto"/>
              <w:right w:val="single" w:sz="4" w:space="0" w:color="auto"/>
            </w:tcBorders>
            <w:shd w:val="clear" w:color="auto" w:fill="auto"/>
            <w:vAlign w:val="center"/>
            <w:hideMark/>
          </w:tcPr>
          <w:p w14:paraId="043295B2" w14:textId="6D07542C" w:rsidR="0066139F" w:rsidRPr="00A34060" w:rsidRDefault="0066139F" w:rsidP="00C94FBC">
            <w:pPr>
              <w:rPr>
                <w:rFonts w:cstheme="minorHAnsi"/>
                <w:color w:val="000000"/>
                <w:szCs w:val="22"/>
                <w:lang w:eastAsia="en-US"/>
              </w:rPr>
            </w:pPr>
            <w:r w:rsidRPr="00A34060">
              <w:rPr>
                <w:rFonts w:cstheme="minorHAnsi"/>
                <w:color w:val="000000"/>
                <w:szCs w:val="22"/>
                <w:lang w:eastAsia="en-US"/>
              </w:rPr>
              <w:lastRenderedPageBreak/>
              <w:t>High Income</w:t>
            </w:r>
          </w:p>
        </w:tc>
        <w:tc>
          <w:tcPr>
            <w:tcW w:w="4093" w:type="pct"/>
            <w:tcBorders>
              <w:top w:val="nil"/>
              <w:left w:val="nil"/>
              <w:bottom w:val="single" w:sz="4" w:space="0" w:color="auto"/>
              <w:right w:val="single" w:sz="4" w:space="0" w:color="auto"/>
            </w:tcBorders>
            <w:shd w:val="clear" w:color="auto" w:fill="auto"/>
            <w:vAlign w:val="center"/>
            <w:hideMark/>
          </w:tcPr>
          <w:p w14:paraId="23A57AD9" w14:textId="77777777" w:rsidR="0066139F" w:rsidRPr="00A34060" w:rsidRDefault="0066139F" w:rsidP="00C94FBC">
            <w:pPr>
              <w:rPr>
                <w:rFonts w:cstheme="minorHAnsi"/>
                <w:color w:val="000000"/>
                <w:szCs w:val="22"/>
                <w:lang w:eastAsia="en-US"/>
              </w:rPr>
            </w:pPr>
            <w:r w:rsidRPr="00A34060">
              <w:rPr>
                <w:rFonts w:cstheme="minorHAnsi"/>
                <w:color w:val="000000"/>
                <w:szCs w:val="22"/>
                <w:lang w:eastAsia="en-US"/>
              </w:rPr>
              <w:t>Australia, Austria, Bahamas, Bahrain, Barbados, Belgium, Brunei Darussalam, Canada, Chile, Croatia, Cyprus, Czechia, Denmark, Estonia, Finland, France, Germany, Greece, Hungary, Iceland, Ireland, Israel, Italy, Japan, Kuwait, Latvia, Lithuania, Luxembourg, Malta, Netherlands, New Zealand, Norway, Oman, Poland, Portugal, Puerto Rico, Qatar, Republic of Korea, Saudi Arabia, Singapore, Slovakia, Slovenia, Spain, Sweden, Switzerland, Taiwan, China, Trinidad and Tobago, United Arab Emirates, United Kingdom, United States of America, Uruguay</w:t>
            </w:r>
          </w:p>
        </w:tc>
      </w:tr>
      <w:tr w:rsidR="0066139F" w:rsidRPr="00050AD8" w14:paraId="3B218E18" w14:textId="77777777" w:rsidTr="00231817">
        <w:trPr>
          <w:trHeight w:val="1200"/>
        </w:trPr>
        <w:tc>
          <w:tcPr>
            <w:tcW w:w="907" w:type="pct"/>
            <w:tcBorders>
              <w:top w:val="nil"/>
              <w:left w:val="single" w:sz="4" w:space="0" w:color="auto"/>
              <w:bottom w:val="single" w:sz="4" w:space="0" w:color="auto"/>
              <w:right w:val="single" w:sz="4" w:space="0" w:color="auto"/>
            </w:tcBorders>
            <w:shd w:val="clear" w:color="auto" w:fill="auto"/>
            <w:vAlign w:val="center"/>
            <w:hideMark/>
          </w:tcPr>
          <w:p w14:paraId="61DFC752" w14:textId="77777777" w:rsidR="0066139F" w:rsidRPr="00A34060" w:rsidRDefault="0066139F" w:rsidP="00C94FBC">
            <w:pPr>
              <w:rPr>
                <w:rFonts w:cstheme="minorHAnsi"/>
                <w:color w:val="000000"/>
                <w:szCs w:val="22"/>
                <w:lang w:eastAsia="en-US"/>
              </w:rPr>
            </w:pPr>
            <w:r w:rsidRPr="00A34060">
              <w:rPr>
                <w:rFonts w:cstheme="minorHAnsi"/>
                <w:color w:val="000000"/>
                <w:szCs w:val="22"/>
                <w:lang w:eastAsia="en-US"/>
              </w:rPr>
              <w:t>Latin America &amp; Caribbean</w:t>
            </w:r>
          </w:p>
        </w:tc>
        <w:tc>
          <w:tcPr>
            <w:tcW w:w="4093" w:type="pct"/>
            <w:tcBorders>
              <w:top w:val="nil"/>
              <w:left w:val="nil"/>
              <w:bottom w:val="single" w:sz="4" w:space="0" w:color="auto"/>
              <w:right w:val="single" w:sz="4" w:space="0" w:color="auto"/>
            </w:tcBorders>
            <w:shd w:val="clear" w:color="auto" w:fill="auto"/>
            <w:vAlign w:val="center"/>
            <w:hideMark/>
          </w:tcPr>
          <w:p w14:paraId="60EE9045" w14:textId="5193B0D9" w:rsidR="0066139F" w:rsidRPr="00A34060" w:rsidRDefault="0066139F" w:rsidP="00C94FBC">
            <w:pPr>
              <w:rPr>
                <w:rFonts w:cstheme="minorHAnsi"/>
                <w:color w:val="000000"/>
                <w:szCs w:val="22"/>
                <w:lang w:val="es-MX" w:eastAsia="en-US"/>
              </w:rPr>
            </w:pPr>
            <w:r w:rsidRPr="00A34060">
              <w:rPr>
                <w:rFonts w:cstheme="minorHAnsi"/>
                <w:color w:val="000000"/>
                <w:szCs w:val="22"/>
                <w:lang w:val="es-MX" w:eastAsia="en-US"/>
              </w:rPr>
              <w:t xml:space="preserve">Argentina, Belize, Bolivia, Brazil, Colombia, Costa Rica, Cuba, Dominican Republic, Ecuador, El Salvador, Grenada, Guatemala, Guyana, Haiti, Honduras, Jamaica, Mexico, Nicaragua, Panama, Paraguay, Peru, Saint Lucia, Saint Vincent and the Grenadines, Suriname, Venezuela </w:t>
            </w:r>
          </w:p>
        </w:tc>
      </w:tr>
      <w:tr w:rsidR="0066139F" w:rsidRPr="00A34060" w14:paraId="0E3923D2" w14:textId="77777777" w:rsidTr="00231817">
        <w:trPr>
          <w:trHeight w:val="600"/>
        </w:trPr>
        <w:tc>
          <w:tcPr>
            <w:tcW w:w="907" w:type="pct"/>
            <w:tcBorders>
              <w:top w:val="nil"/>
              <w:left w:val="single" w:sz="4" w:space="0" w:color="auto"/>
              <w:bottom w:val="single" w:sz="4" w:space="0" w:color="auto"/>
              <w:right w:val="single" w:sz="4" w:space="0" w:color="auto"/>
            </w:tcBorders>
            <w:shd w:val="clear" w:color="auto" w:fill="auto"/>
            <w:vAlign w:val="center"/>
            <w:hideMark/>
          </w:tcPr>
          <w:p w14:paraId="1154FF32" w14:textId="77777777" w:rsidR="0066139F" w:rsidRPr="00A34060" w:rsidRDefault="0066139F" w:rsidP="00C94FBC">
            <w:pPr>
              <w:rPr>
                <w:rFonts w:cstheme="minorHAnsi"/>
                <w:color w:val="000000"/>
                <w:szCs w:val="22"/>
                <w:lang w:eastAsia="en-US"/>
              </w:rPr>
            </w:pPr>
            <w:r w:rsidRPr="00A34060">
              <w:rPr>
                <w:rFonts w:cstheme="minorHAnsi"/>
                <w:color w:val="000000"/>
                <w:szCs w:val="22"/>
                <w:lang w:eastAsia="en-US"/>
              </w:rPr>
              <w:t>Middle East &amp; North Africa</w:t>
            </w:r>
          </w:p>
        </w:tc>
        <w:tc>
          <w:tcPr>
            <w:tcW w:w="4093" w:type="pct"/>
            <w:tcBorders>
              <w:top w:val="nil"/>
              <w:left w:val="nil"/>
              <w:bottom w:val="single" w:sz="4" w:space="0" w:color="auto"/>
              <w:right w:val="single" w:sz="4" w:space="0" w:color="auto"/>
            </w:tcBorders>
            <w:shd w:val="clear" w:color="auto" w:fill="auto"/>
            <w:vAlign w:val="center"/>
            <w:hideMark/>
          </w:tcPr>
          <w:p w14:paraId="04CED7CA" w14:textId="77777777" w:rsidR="0066139F" w:rsidRPr="00A34060" w:rsidRDefault="0066139F" w:rsidP="00C94FBC">
            <w:pPr>
              <w:rPr>
                <w:rFonts w:cstheme="minorHAnsi"/>
                <w:color w:val="000000"/>
                <w:szCs w:val="22"/>
                <w:lang w:eastAsia="en-US"/>
              </w:rPr>
            </w:pPr>
            <w:r w:rsidRPr="00A34060">
              <w:rPr>
                <w:rFonts w:cstheme="minorHAnsi"/>
                <w:color w:val="000000"/>
                <w:szCs w:val="22"/>
                <w:lang w:eastAsia="en-US"/>
              </w:rPr>
              <w:t>Algeria, Djibouti, Egypt, Iran (Islamic Republic of), Iraq, Jordan, Lebanon, Libya, Morocco, Occupied Palestinian Territory, Syrian Arab Republic, Tunisia, Yemen</w:t>
            </w:r>
          </w:p>
        </w:tc>
      </w:tr>
      <w:tr w:rsidR="0066139F" w:rsidRPr="00A34060" w14:paraId="21A13A17" w14:textId="77777777" w:rsidTr="00231817">
        <w:trPr>
          <w:trHeight w:val="300"/>
        </w:trPr>
        <w:tc>
          <w:tcPr>
            <w:tcW w:w="907" w:type="pct"/>
            <w:tcBorders>
              <w:top w:val="nil"/>
              <w:left w:val="single" w:sz="4" w:space="0" w:color="auto"/>
              <w:bottom w:val="single" w:sz="4" w:space="0" w:color="auto"/>
              <w:right w:val="single" w:sz="4" w:space="0" w:color="auto"/>
            </w:tcBorders>
            <w:shd w:val="clear" w:color="auto" w:fill="auto"/>
            <w:vAlign w:val="center"/>
            <w:hideMark/>
          </w:tcPr>
          <w:p w14:paraId="411FF50C" w14:textId="77777777" w:rsidR="0066139F" w:rsidRPr="00A34060" w:rsidRDefault="0066139F" w:rsidP="00C94FBC">
            <w:pPr>
              <w:rPr>
                <w:rFonts w:cstheme="minorHAnsi"/>
                <w:color w:val="000000"/>
                <w:szCs w:val="22"/>
                <w:lang w:eastAsia="en-US"/>
              </w:rPr>
            </w:pPr>
            <w:r w:rsidRPr="00A34060">
              <w:rPr>
                <w:rFonts w:cstheme="minorHAnsi"/>
                <w:color w:val="000000"/>
                <w:szCs w:val="22"/>
                <w:lang w:eastAsia="en-US"/>
              </w:rPr>
              <w:t>South Asia</w:t>
            </w:r>
          </w:p>
        </w:tc>
        <w:tc>
          <w:tcPr>
            <w:tcW w:w="4093" w:type="pct"/>
            <w:tcBorders>
              <w:top w:val="nil"/>
              <w:left w:val="nil"/>
              <w:bottom w:val="single" w:sz="4" w:space="0" w:color="auto"/>
              <w:right w:val="single" w:sz="4" w:space="0" w:color="auto"/>
            </w:tcBorders>
            <w:shd w:val="clear" w:color="auto" w:fill="auto"/>
            <w:vAlign w:val="center"/>
            <w:hideMark/>
          </w:tcPr>
          <w:p w14:paraId="0208AB53" w14:textId="77777777" w:rsidR="0066139F" w:rsidRPr="00A34060" w:rsidRDefault="0066139F" w:rsidP="00C94FBC">
            <w:pPr>
              <w:rPr>
                <w:rFonts w:cstheme="minorHAnsi"/>
                <w:color w:val="000000"/>
                <w:szCs w:val="22"/>
                <w:lang w:eastAsia="en-US"/>
              </w:rPr>
            </w:pPr>
            <w:r w:rsidRPr="00A34060">
              <w:rPr>
                <w:rFonts w:cstheme="minorHAnsi"/>
                <w:color w:val="000000"/>
                <w:szCs w:val="22"/>
                <w:lang w:eastAsia="en-US"/>
              </w:rPr>
              <w:t>Afghanistan, Bangladesh, Bhutan, India, Maldives, Nepal, Pakistan, Sri Lanka</w:t>
            </w:r>
          </w:p>
        </w:tc>
      </w:tr>
      <w:tr w:rsidR="0066139F" w:rsidRPr="00A34060" w14:paraId="7C8B11EC" w14:textId="77777777" w:rsidTr="00231817">
        <w:trPr>
          <w:trHeight w:val="2100"/>
        </w:trPr>
        <w:tc>
          <w:tcPr>
            <w:tcW w:w="907" w:type="pct"/>
            <w:tcBorders>
              <w:top w:val="nil"/>
              <w:left w:val="single" w:sz="4" w:space="0" w:color="auto"/>
              <w:bottom w:val="single" w:sz="4" w:space="0" w:color="auto"/>
              <w:right w:val="single" w:sz="4" w:space="0" w:color="auto"/>
            </w:tcBorders>
            <w:shd w:val="clear" w:color="auto" w:fill="auto"/>
            <w:vAlign w:val="center"/>
            <w:hideMark/>
          </w:tcPr>
          <w:p w14:paraId="413E3AE8" w14:textId="77777777" w:rsidR="0066139F" w:rsidRPr="00A34060" w:rsidRDefault="0066139F" w:rsidP="00C94FBC">
            <w:pPr>
              <w:rPr>
                <w:rFonts w:cstheme="minorHAnsi"/>
                <w:color w:val="000000"/>
                <w:szCs w:val="22"/>
                <w:lang w:eastAsia="en-US"/>
              </w:rPr>
            </w:pPr>
            <w:r w:rsidRPr="00A34060">
              <w:rPr>
                <w:rFonts w:cstheme="minorHAnsi"/>
                <w:color w:val="000000"/>
                <w:szCs w:val="22"/>
                <w:lang w:eastAsia="en-US"/>
              </w:rPr>
              <w:t>Sub-Saharan Africa</w:t>
            </w:r>
          </w:p>
        </w:tc>
        <w:tc>
          <w:tcPr>
            <w:tcW w:w="4093" w:type="pct"/>
            <w:tcBorders>
              <w:top w:val="nil"/>
              <w:left w:val="nil"/>
              <w:bottom w:val="single" w:sz="4" w:space="0" w:color="auto"/>
              <w:right w:val="single" w:sz="4" w:space="0" w:color="auto"/>
            </w:tcBorders>
            <w:shd w:val="clear" w:color="auto" w:fill="auto"/>
            <w:vAlign w:val="center"/>
            <w:hideMark/>
          </w:tcPr>
          <w:p w14:paraId="0B66A9C1" w14:textId="77777777" w:rsidR="0066139F" w:rsidRPr="00A34060" w:rsidRDefault="0066139F" w:rsidP="00C94FBC">
            <w:pPr>
              <w:rPr>
                <w:rFonts w:cstheme="minorHAnsi"/>
                <w:color w:val="000000"/>
                <w:szCs w:val="22"/>
                <w:lang w:eastAsia="en-US"/>
              </w:rPr>
            </w:pPr>
            <w:r w:rsidRPr="00A34060">
              <w:rPr>
                <w:rFonts w:cstheme="minorHAnsi"/>
                <w:color w:val="000000"/>
                <w:szCs w:val="22"/>
                <w:lang w:eastAsia="en-US"/>
              </w:rPr>
              <w:t>Angola, Benin, Botswana, Burkina Faso, Burundi, Cabo Verde, Cameroon, Central African Republic, Chad, Comoros, Congo, Côte d'Ivoire, Democratic Republic of the Congo, Equatorial Guinea, Eritrea, Eswatini, Ethiopia, Gabon, Gambia, Ghana, Guinea, Guinea-Bissau, Kenya, Lesotho, Liberia, Madagascar, Malawi, Mali, Mauritania, Mauritius, Mozambique, Namibia, Niger, Nigeria, Rwanda, Sao Tome and Principe, Senegal, Sierra Leone, Somalia, South Africa, South Sudan, Sudan, Togo, Uganda, United Republic of Tanzania, Zambia, Zimbabwe</w:t>
            </w:r>
          </w:p>
        </w:tc>
      </w:tr>
    </w:tbl>
    <w:p w14:paraId="7E3B8F81" w14:textId="77777777" w:rsidR="0066139F" w:rsidRPr="00A34060" w:rsidRDefault="0066139F" w:rsidP="0066139F">
      <w:pPr>
        <w:rPr>
          <w:rFonts w:cstheme="minorHAnsi"/>
        </w:rPr>
      </w:pPr>
    </w:p>
    <w:p w14:paraId="1F49D627" w14:textId="77777777" w:rsidR="00D359F9" w:rsidRDefault="00D359F9" w:rsidP="14402C93">
      <w:pPr>
        <w:spacing w:after="200" w:line="276" w:lineRule="auto"/>
        <w:rPr>
          <w:rStyle w:val="Heading3Char"/>
          <w:rFonts w:cstheme="minorBidi"/>
        </w:rPr>
      </w:pPr>
      <w:r w:rsidRPr="14402C93">
        <w:rPr>
          <w:rStyle w:val="Heading3Char"/>
          <w:rFonts w:cstheme="minorBidi"/>
        </w:rPr>
        <w:br w:type="page"/>
      </w:r>
    </w:p>
    <w:p w14:paraId="3F684049" w14:textId="19AAF905" w:rsidR="0066139F" w:rsidRPr="00A34060" w:rsidRDefault="03C7B32C" w:rsidP="03C7B32C">
      <w:pPr>
        <w:rPr>
          <w:rFonts w:cstheme="minorBidi"/>
          <w:lang w:val="en-GB"/>
        </w:rPr>
      </w:pPr>
      <w:bookmarkStart w:id="2" w:name="_Toc94512102"/>
      <w:r w:rsidRPr="03C7B32C">
        <w:rPr>
          <w:rStyle w:val="Heading3Char"/>
          <w:rFonts w:cstheme="minorBidi"/>
        </w:rPr>
        <w:lastRenderedPageBreak/>
        <w:t xml:space="preserve">Appendix Table 2. Locations of GATHER reporting items for </w:t>
      </w:r>
      <w:r w:rsidRPr="03C7B32C">
        <w:rPr>
          <w:rStyle w:val="Heading3Char"/>
          <w:rFonts w:cstheme="minorBidi"/>
          <w:i/>
          <w:iCs/>
        </w:rPr>
        <w:t>Revealing the prevalence of “hidden hunger”: global and regional estimates of micronutrient deficiencies among preschool-age children and non-pregnant women of reproductive age</w:t>
      </w:r>
      <w:r w:rsidRPr="03C7B32C">
        <w:rPr>
          <w:rStyle w:val="Heading3Char"/>
          <w:rFonts w:cstheme="minorBidi"/>
        </w:rPr>
        <w:t>.</w:t>
      </w:r>
      <w:bookmarkEnd w:id="2"/>
    </w:p>
    <w:tbl>
      <w:tblPr>
        <w:tblStyle w:val="LightGrid"/>
        <w:tblW w:w="10456" w:type="dxa"/>
        <w:tblInd w:w="0" w:type="dxa"/>
        <w:tblLayout w:type="fixed"/>
        <w:tblLook w:val="04A0" w:firstRow="1" w:lastRow="0" w:firstColumn="1" w:lastColumn="0" w:noHBand="0" w:noVBand="1"/>
      </w:tblPr>
      <w:tblGrid>
        <w:gridCol w:w="817"/>
        <w:gridCol w:w="7211"/>
        <w:gridCol w:w="2428"/>
      </w:tblGrid>
      <w:tr w:rsidR="0066139F" w:rsidRPr="00A34060" w14:paraId="5FAF78E4" w14:textId="77777777" w:rsidTr="006613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7" w:type="dxa"/>
            <w:hideMark/>
          </w:tcPr>
          <w:p w14:paraId="1D7713BA" w14:textId="77777777" w:rsidR="0066139F" w:rsidRPr="00A34060" w:rsidRDefault="0066139F" w:rsidP="00C94FBC">
            <w:pPr>
              <w:rPr>
                <w:rFonts w:asciiTheme="minorHAnsi" w:eastAsiaTheme="majorEastAsia" w:hAnsiTheme="minorHAnsi" w:cstheme="minorHAnsi"/>
                <w:lang w:val="en-GB"/>
              </w:rPr>
            </w:pPr>
            <w:r w:rsidRPr="00A34060">
              <w:rPr>
                <w:rFonts w:asciiTheme="minorHAnsi" w:hAnsiTheme="minorHAnsi" w:cstheme="minorHAnsi"/>
                <w:lang w:val="en-GB"/>
              </w:rPr>
              <w:t>Item #</w:t>
            </w:r>
          </w:p>
        </w:tc>
        <w:tc>
          <w:tcPr>
            <w:tcW w:w="7211" w:type="dxa"/>
            <w:hideMark/>
          </w:tcPr>
          <w:p w14:paraId="7C3C8CED" w14:textId="77777777" w:rsidR="0066139F" w:rsidRPr="00A34060" w:rsidRDefault="0066139F" w:rsidP="00C94FB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A34060">
              <w:rPr>
                <w:rFonts w:asciiTheme="minorHAnsi" w:eastAsiaTheme="majorEastAsia" w:hAnsiTheme="minorHAnsi" w:cstheme="minorHAnsi"/>
                <w:b w:val="0"/>
                <w:bCs w:val="0"/>
                <w:lang w:val="en-GB"/>
              </w:rPr>
              <w:br w:type="page"/>
            </w:r>
            <w:r w:rsidRPr="00A34060">
              <w:rPr>
                <w:rFonts w:asciiTheme="minorHAnsi" w:hAnsiTheme="minorHAnsi" w:cstheme="minorHAnsi"/>
                <w:lang w:val="en-GB"/>
              </w:rPr>
              <w:t>Checklist item</w:t>
            </w:r>
          </w:p>
        </w:tc>
        <w:tc>
          <w:tcPr>
            <w:tcW w:w="2428" w:type="dxa"/>
            <w:hideMark/>
          </w:tcPr>
          <w:p w14:paraId="39F74F71" w14:textId="6FBD5AC8" w:rsidR="0066139F" w:rsidRPr="00A34060" w:rsidRDefault="0066139F" w:rsidP="00C94FBC">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A34060">
              <w:rPr>
                <w:rFonts w:asciiTheme="minorHAnsi" w:hAnsiTheme="minorHAnsi" w:cstheme="minorHAnsi"/>
                <w:lang w:val="en-GB"/>
              </w:rPr>
              <w:t>Location reported</w:t>
            </w:r>
          </w:p>
        </w:tc>
      </w:tr>
      <w:tr w:rsidR="0066139F" w:rsidRPr="00A34060" w14:paraId="2D2F9B44" w14:textId="77777777" w:rsidTr="00C94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hideMark/>
          </w:tcPr>
          <w:p w14:paraId="69BDB0AC" w14:textId="77777777" w:rsidR="0066139F" w:rsidRPr="00A34060" w:rsidRDefault="0066139F" w:rsidP="00C94FBC">
            <w:pPr>
              <w:rPr>
                <w:rFonts w:asciiTheme="minorHAnsi" w:hAnsiTheme="minorHAnsi" w:cstheme="minorHAnsi"/>
                <w:bCs w:val="0"/>
                <w:lang w:val="en-GB"/>
              </w:rPr>
            </w:pPr>
            <w:r w:rsidRPr="00A34060">
              <w:rPr>
                <w:rFonts w:asciiTheme="minorHAnsi" w:hAnsiTheme="minorHAnsi" w:cstheme="minorHAnsi"/>
                <w:bCs w:val="0"/>
                <w:lang w:val="en-GB"/>
              </w:rPr>
              <w:t>Objectives and funding</w:t>
            </w:r>
          </w:p>
        </w:tc>
      </w:tr>
      <w:tr w:rsidR="0066139F" w:rsidRPr="00A34060" w14:paraId="6AD55B55" w14:textId="77777777" w:rsidTr="00C94F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hideMark/>
          </w:tcPr>
          <w:p w14:paraId="16643EF2" w14:textId="77777777" w:rsidR="0066139F" w:rsidRPr="00A34060" w:rsidRDefault="0066139F" w:rsidP="00C94FBC">
            <w:pPr>
              <w:rPr>
                <w:rFonts w:asciiTheme="minorHAnsi" w:hAnsiTheme="minorHAnsi" w:cstheme="minorHAnsi"/>
                <w:lang w:val="en-GB"/>
              </w:rPr>
            </w:pPr>
            <w:r w:rsidRPr="00A34060">
              <w:rPr>
                <w:rFonts w:asciiTheme="minorHAnsi" w:hAnsiTheme="minorHAnsi" w:cstheme="minorHAnsi"/>
                <w:lang w:val="en-GB"/>
              </w:rPr>
              <w:t>1</w:t>
            </w:r>
          </w:p>
        </w:tc>
        <w:tc>
          <w:tcPr>
            <w:tcW w:w="7211" w:type="dxa"/>
            <w:hideMark/>
          </w:tcPr>
          <w:p w14:paraId="1ECF8915" w14:textId="77777777" w:rsidR="0066139F" w:rsidRPr="00A34060" w:rsidRDefault="0066139F" w:rsidP="00C94FBC">
            <w:pPr>
              <w:cnfStyle w:val="000000010000" w:firstRow="0" w:lastRow="0" w:firstColumn="0" w:lastColumn="0" w:oddVBand="0" w:evenVBand="0" w:oddHBand="0" w:evenHBand="1" w:firstRowFirstColumn="0" w:firstRowLastColumn="0" w:lastRowFirstColumn="0" w:lastRowLastColumn="0"/>
              <w:rPr>
                <w:rFonts w:cstheme="minorHAnsi"/>
                <w:lang w:val="en-GB"/>
              </w:rPr>
            </w:pPr>
            <w:r w:rsidRPr="00A34060">
              <w:rPr>
                <w:rFonts w:cstheme="minorHAnsi"/>
                <w:lang w:val="en-GB"/>
              </w:rPr>
              <w:t>Define the indicator(s), populations (including age, sex, and geographic entities), and time period(s) for which estimates were made.</w:t>
            </w:r>
          </w:p>
        </w:tc>
        <w:tc>
          <w:tcPr>
            <w:tcW w:w="2428" w:type="dxa"/>
          </w:tcPr>
          <w:p w14:paraId="1ACAA2D4" w14:textId="72BDE681" w:rsidR="0066139F" w:rsidRPr="00A34060" w:rsidRDefault="00B12A46" w:rsidP="00C94FBC">
            <w:pPr>
              <w:cnfStyle w:val="000000010000" w:firstRow="0" w:lastRow="0" w:firstColumn="0" w:lastColumn="0" w:oddVBand="0" w:evenVBand="0" w:oddHBand="0" w:evenHBand="1" w:firstRowFirstColumn="0" w:firstRowLastColumn="0" w:lastRowFirstColumn="0" w:lastRowLastColumn="0"/>
              <w:rPr>
                <w:rFonts w:cstheme="minorHAnsi"/>
                <w:lang w:val="en-GB"/>
              </w:rPr>
            </w:pPr>
            <w:r>
              <w:rPr>
                <w:rFonts w:cstheme="minorHAnsi"/>
                <w:lang w:val="en-GB"/>
              </w:rPr>
              <w:t>Appendix s</w:t>
            </w:r>
            <w:r w:rsidR="0066139F" w:rsidRPr="00A34060">
              <w:rPr>
                <w:rFonts w:cstheme="minorHAnsi"/>
                <w:lang w:val="en-GB"/>
              </w:rPr>
              <w:t>ection 1</w:t>
            </w:r>
          </w:p>
        </w:tc>
      </w:tr>
      <w:tr w:rsidR="0066139F" w:rsidRPr="00A34060" w14:paraId="19909F1C" w14:textId="77777777" w:rsidTr="00C94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hideMark/>
          </w:tcPr>
          <w:p w14:paraId="161DAE30" w14:textId="77777777" w:rsidR="0066139F" w:rsidRPr="00A34060" w:rsidRDefault="0066139F" w:rsidP="00C94FBC">
            <w:pPr>
              <w:rPr>
                <w:rFonts w:asciiTheme="minorHAnsi" w:hAnsiTheme="minorHAnsi" w:cstheme="minorHAnsi"/>
                <w:lang w:val="en-GB"/>
              </w:rPr>
            </w:pPr>
            <w:r w:rsidRPr="00A34060">
              <w:rPr>
                <w:rFonts w:asciiTheme="minorHAnsi" w:hAnsiTheme="minorHAnsi" w:cstheme="minorHAnsi"/>
                <w:lang w:val="en-GB"/>
              </w:rPr>
              <w:t>2</w:t>
            </w:r>
          </w:p>
        </w:tc>
        <w:tc>
          <w:tcPr>
            <w:tcW w:w="7211" w:type="dxa"/>
            <w:shd w:val="clear" w:color="auto" w:fill="auto"/>
            <w:hideMark/>
          </w:tcPr>
          <w:p w14:paraId="0BB026E8" w14:textId="77777777" w:rsidR="0066139F" w:rsidRPr="00A34060" w:rsidRDefault="0066139F" w:rsidP="00C94FBC">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A34060">
              <w:rPr>
                <w:rFonts w:cstheme="minorHAnsi"/>
                <w:lang w:val="en-GB"/>
              </w:rPr>
              <w:t>List the funding sources for the work.</w:t>
            </w:r>
          </w:p>
        </w:tc>
        <w:tc>
          <w:tcPr>
            <w:tcW w:w="2428" w:type="dxa"/>
            <w:shd w:val="clear" w:color="auto" w:fill="auto"/>
          </w:tcPr>
          <w:p w14:paraId="7FD13FFC" w14:textId="3E87720F" w:rsidR="0066139F" w:rsidRPr="00A34060" w:rsidRDefault="0066139F" w:rsidP="00C94FBC">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A34060">
              <w:rPr>
                <w:rFonts w:cstheme="minorHAnsi"/>
                <w:lang w:val="en-GB"/>
              </w:rPr>
              <w:t>A</w:t>
            </w:r>
            <w:r w:rsidR="007E31E0">
              <w:rPr>
                <w:rFonts w:cstheme="minorHAnsi"/>
                <w:lang w:val="en-GB"/>
              </w:rPr>
              <w:t>bstract</w:t>
            </w:r>
          </w:p>
        </w:tc>
      </w:tr>
      <w:tr w:rsidR="0066139F" w:rsidRPr="00A34060" w14:paraId="6CB7E8A5" w14:textId="77777777" w:rsidTr="00C94F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shd w:val="clear" w:color="auto" w:fill="BFBFBF" w:themeFill="background1" w:themeFillShade="BF"/>
            <w:hideMark/>
          </w:tcPr>
          <w:p w14:paraId="5C34B2B0" w14:textId="77777777" w:rsidR="0066139F" w:rsidRPr="00A34060" w:rsidRDefault="0066139F" w:rsidP="00C94FBC">
            <w:pPr>
              <w:rPr>
                <w:rFonts w:asciiTheme="minorHAnsi" w:hAnsiTheme="minorHAnsi" w:cstheme="minorHAnsi"/>
                <w:b w:val="0"/>
                <w:lang w:val="en-GB"/>
              </w:rPr>
            </w:pPr>
            <w:r w:rsidRPr="00A34060">
              <w:rPr>
                <w:rFonts w:asciiTheme="minorHAnsi" w:hAnsiTheme="minorHAnsi" w:cstheme="minorHAnsi"/>
                <w:lang w:val="en-GB"/>
              </w:rPr>
              <w:t>Data Inputs</w:t>
            </w:r>
          </w:p>
        </w:tc>
      </w:tr>
      <w:tr w:rsidR="0066139F" w:rsidRPr="00A34060" w14:paraId="49BA3216" w14:textId="77777777" w:rsidTr="00C94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shd w:val="clear" w:color="auto" w:fill="D9D9D9" w:themeFill="background1" w:themeFillShade="D9"/>
            <w:hideMark/>
          </w:tcPr>
          <w:p w14:paraId="6664F28E" w14:textId="77777777" w:rsidR="0066139F" w:rsidRPr="00A34060" w:rsidRDefault="0066139F" w:rsidP="00C94FBC">
            <w:pPr>
              <w:rPr>
                <w:rFonts w:asciiTheme="minorHAnsi" w:hAnsiTheme="minorHAnsi" w:cstheme="minorHAnsi"/>
                <w:b w:val="0"/>
                <w:bCs w:val="0"/>
                <w:i/>
                <w:iCs/>
                <w:lang w:val="en-GB"/>
              </w:rPr>
            </w:pPr>
            <w:r w:rsidRPr="00A34060">
              <w:rPr>
                <w:rFonts w:asciiTheme="minorHAnsi" w:hAnsiTheme="minorHAnsi" w:cstheme="minorHAnsi"/>
                <w:b w:val="0"/>
                <w:bCs w:val="0"/>
                <w:i/>
                <w:iCs/>
                <w:lang w:val="en-GB"/>
              </w:rPr>
              <w:t xml:space="preserve">   For all data inputs from multiple sources that are synthesized as part of the study:</w:t>
            </w:r>
          </w:p>
        </w:tc>
      </w:tr>
      <w:tr w:rsidR="0066139F" w:rsidRPr="00A34060" w14:paraId="64229816" w14:textId="77777777" w:rsidTr="00C94F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hideMark/>
          </w:tcPr>
          <w:p w14:paraId="0720638B" w14:textId="77777777" w:rsidR="0066139F" w:rsidRPr="00A34060" w:rsidRDefault="0066139F" w:rsidP="00C94FBC">
            <w:pPr>
              <w:rPr>
                <w:rFonts w:asciiTheme="minorHAnsi" w:hAnsiTheme="minorHAnsi" w:cstheme="minorHAnsi"/>
                <w:lang w:val="en-GB"/>
              </w:rPr>
            </w:pPr>
            <w:r w:rsidRPr="00A34060">
              <w:rPr>
                <w:rFonts w:asciiTheme="minorHAnsi" w:hAnsiTheme="minorHAnsi" w:cstheme="minorHAnsi"/>
                <w:lang w:val="en-GB"/>
              </w:rPr>
              <w:t>3</w:t>
            </w:r>
          </w:p>
        </w:tc>
        <w:tc>
          <w:tcPr>
            <w:tcW w:w="7211" w:type="dxa"/>
            <w:hideMark/>
          </w:tcPr>
          <w:p w14:paraId="00976E0B" w14:textId="77777777" w:rsidR="0066139F" w:rsidRPr="00A34060" w:rsidRDefault="0066139F" w:rsidP="00C94FBC">
            <w:pPr>
              <w:cnfStyle w:val="000000010000" w:firstRow="0" w:lastRow="0" w:firstColumn="0" w:lastColumn="0" w:oddVBand="0" w:evenVBand="0" w:oddHBand="0" w:evenHBand="1" w:firstRowFirstColumn="0" w:firstRowLastColumn="0" w:lastRowFirstColumn="0" w:lastRowLastColumn="0"/>
              <w:rPr>
                <w:rFonts w:cstheme="minorHAnsi"/>
                <w:lang w:val="en-GB"/>
              </w:rPr>
            </w:pPr>
            <w:r w:rsidRPr="00A34060">
              <w:rPr>
                <w:rFonts w:cstheme="minorHAnsi"/>
                <w:lang w:val="en-GB"/>
              </w:rPr>
              <w:t xml:space="preserve">Describe how the data were identified and how the data were accessed. </w:t>
            </w:r>
          </w:p>
        </w:tc>
        <w:tc>
          <w:tcPr>
            <w:tcW w:w="2428" w:type="dxa"/>
          </w:tcPr>
          <w:p w14:paraId="4C65455B" w14:textId="02BBCF7D" w:rsidR="0066139F" w:rsidRPr="00A34060" w:rsidRDefault="00B12A46" w:rsidP="00C94FBC">
            <w:pPr>
              <w:cnfStyle w:val="000000010000" w:firstRow="0" w:lastRow="0" w:firstColumn="0" w:lastColumn="0" w:oddVBand="0" w:evenVBand="0" w:oddHBand="0" w:evenHBand="1" w:firstRowFirstColumn="0" w:firstRowLastColumn="0" w:lastRowFirstColumn="0" w:lastRowLastColumn="0"/>
              <w:rPr>
                <w:rFonts w:cstheme="minorHAnsi"/>
                <w:lang w:val="en-GB"/>
              </w:rPr>
            </w:pPr>
            <w:r>
              <w:rPr>
                <w:rFonts w:cstheme="minorHAnsi"/>
                <w:lang w:val="en-GB"/>
              </w:rPr>
              <w:t>Appendix s</w:t>
            </w:r>
            <w:r w:rsidR="0066139F" w:rsidRPr="00A34060">
              <w:rPr>
                <w:rFonts w:cstheme="minorHAnsi"/>
                <w:lang w:val="en-GB"/>
              </w:rPr>
              <w:t>ection 2</w:t>
            </w:r>
          </w:p>
        </w:tc>
      </w:tr>
      <w:tr w:rsidR="0066139F" w:rsidRPr="00A34060" w14:paraId="05700AC2" w14:textId="77777777" w:rsidTr="00C94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FFFFFF" w:themeFill="background1"/>
            <w:hideMark/>
          </w:tcPr>
          <w:p w14:paraId="1E317C1B" w14:textId="77777777" w:rsidR="0066139F" w:rsidRPr="00A34060" w:rsidRDefault="0066139F" w:rsidP="00C94FBC">
            <w:pPr>
              <w:rPr>
                <w:rFonts w:asciiTheme="minorHAnsi" w:hAnsiTheme="minorHAnsi" w:cstheme="minorHAnsi"/>
                <w:lang w:val="en-GB"/>
              </w:rPr>
            </w:pPr>
            <w:r w:rsidRPr="00A34060">
              <w:rPr>
                <w:rFonts w:asciiTheme="minorHAnsi" w:hAnsiTheme="minorHAnsi" w:cstheme="minorHAnsi"/>
                <w:lang w:val="en-GB"/>
              </w:rPr>
              <w:t>4</w:t>
            </w:r>
          </w:p>
        </w:tc>
        <w:tc>
          <w:tcPr>
            <w:tcW w:w="7211" w:type="dxa"/>
            <w:shd w:val="clear" w:color="auto" w:fill="FFFFFF" w:themeFill="background1"/>
            <w:hideMark/>
          </w:tcPr>
          <w:p w14:paraId="6B72D1CD" w14:textId="77777777" w:rsidR="0066139F" w:rsidRPr="00A34060" w:rsidRDefault="0066139F" w:rsidP="00C94FBC">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A34060">
              <w:rPr>
                <w:rFonts w:cstheme="minorHAnsi"/>
                <w:lang w:val="en-GB"/>
              </w:rPr>
              <w:t>Specify the inclusion and exclusion criteria. Identify all ad-hoc exclusions.</w:t>
            </w:r>
          </w:p>
        </w:tc>
        <w:tc>
          <w:tcPr>
            <w:tcW w:w="2428" w:type="dxa"/>
            <w:shd w:val="clear" w:color="auto" w:fill="FFFFFF" w:themeFill="background1"/>
          </w:tcPr>
          <w:p w14:paraId="2EE795F1" w14:textId="3E47184E" w:rsidR="0066139F" w:rsidRPr="00A34060" w:rsidRDefault="00B12A46" w:rsidP="00C94FBC">
            <w:pP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Appendix s</w:t>
            </w:r>
            <w:r w:rsidR="0066139F" w:rsidRPr="00A34060">
              <w:rPr>
                <w:rFonts w:cstheme="minorHAnsi"/>
                <w:lang w:val="en-GB"/>
              </w:rPr>
              <w:t>ection</w:t>
            </w:r>
            <w:r w:rsidR="00553B96" w:rsidRPr="00A34060">
              <w:rPr>
                <w:rFonts w:cstheme="minorHAnsi"/>
                <w:lang w:val="en-GB"/>
              </w:rPr>
              <w:t>s</w:t>
            </w:r>
            <w:r w:rsidR="0066139F" w:rsidRPr="00A34060">
              <w:rPr>
                <w:rFonts w:cstheme="minorHAnsi"/>
                <w:lang w:val="en-GB"/>
              </w:rPr>
              <w:t xml:space="preserve"> 2</w:t>
            </w:r>
            <w:r w:rsidR="00553B96" w:rsidRPr="00A34060">
              <w:rPr>
                <w:rFonts w:cstheme="minorHAnsi"/>
                <w:lang w:val="en-GB"/>
              </w:rPr>
              <w:t xml:space="preserve"> and 5</w:t>
            </w:r>
          </w:p>
        </w:tc>
      </w:tr>
      <w:tr w:rsidR="0066139F" w:rsidRPr="00A34060" w14:paraId="375068B0" w14:textId="77777777" w:rsidTr="00C94F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hideMark/>
          </w:tcPr>
          <w:p w14:paraId="36595D8A" w14:textId="77777777" w:rsidR="0066139F" w:rsidRPr="00A34060" w:rsidRDefault="0066139F" w:rsidP="00C94FBC">
            <w:pPr>
              <w:rPr>
                <w:rFonts w:asciiTheme="minorHAnsi" w:hAnsiTheme="minorHAnsi" w:cstheme="minorHAnsi"/>
                <w:lang w:val="en-GB"/>
              </w:rPr>
            </w:pPr>
            <w:r w:rsidRPr="00A34060">
              <w:rPr>
                <w:rFonts w:asciiTheme="minorHAnsi" w:hAnsiTheme="minorHAnsi" w:cstheme="minorHAnsi"/>
                <w:lang w:val="en-GB"/>
              </w:rPr>
              <w:t>5</w:t>
            </w:r>
          </w:p>
        </w:tc>
        <w:tc>
          <w:tcPr>
            <w:tcW w:w="7211" w:type="dxa"/>
            <w:hideMark/>
          </w:tcPr>
          <w:p w14:paraId="1D663F4B" w14:textId="77777777" w:rsidR="0066139F" w:rsidRPr="00A34060" w:rsidRDefault="0066139F" w:rsidP="00C94FBC">
            <w:pPr>
              <w:cnfStyle w:val="000000010000" w:firstRow="0" w:lastRow="0" w:firstColumn="0" w:lastColumn="0" w:oddVBand="0" w:evenVBand="0" w:oddHBand="0" w:evenHBand="1" w:firstRowFirstColumn="0" w:firstRowLastColumn="0" w:lastRowFirstColumn="0" w:lastRowLastColumn="0"/>
              <w:rPr>
                <w:rFonts w:cstheme="minorHAnsi"/>
                <w:lang w:val="en-GB"/>
              </w:rPr>
            </w:pPr>
            <w:r w:rsidRPr="00A34060">
              <w:rPr>
                <w:rFonts w:cstheme="minorHAnsi"/>
                <w:lang w:val="en-GB"/>
              </w:rPr>
              <w:t xml:space="preserve">Provide information on all included data sources and their main characteristics. For each data source used, report reference information or contact name/institution, population represented, data collection method, year(s) of data collection, sex and age range, diagnostic criteria or measurement method, and sample size, as relevant. </w:t>
            </w:r>
          </w:p>
        </w:tc>
        <w:tc>
          <w:tcPr>
            <w:tcW w:w="2428" w:type="dxa"/>
          </w:tcPr>
          <w:p w14:paraId="7696D0A6" w14:textId="0A4950BA" w:rsidR="0066139F" w:rsidRPr="00A34060" w:rsidRDefault="00B12A46" w:rsidP="00C94FBC">
            <w:pPr>
              <w:cnfStyle w:val="000000010000" w:firstRow="0" w:lastRow="0" w:firstColumn="0" w:lastColumn="0" w:oddVBand="0" w:evenVBand="0" w:oddHBand="0" w:evenHBand="1" w:firstRowFirstColumn="0" w:firstRowLastColumn="0" w:lastRowFirstColumn="0" w:lastRowLastColumn="0"/>
              <w:rPr>
                <w:rFonts w:cstheme="minorHAnsi"/>
                <w:lang w:val="en-GB"/>
              </w:rPr>
            </w:pPr>
            <w:r>
              <w:rPr>
                <w:rFonts w:cstheme="minorHAnsi"/>
                <w:lang w:val="en-GB"/>
              </w:rPr>
              <w:t>Appendix s</w:t>
            </w:r>
            <w:r w:rsidR="00553B96" w:rsidRPr="00A34060">
              <w:rPr>
                <w:rFonts w:cstheme="minorHAnsi"/>
                <w:lang w:val="en-GB"/>
              </w:rPr>
              <w:t xml:space="preserve">ection </w:t>
            </w:r>
            <w:r w:rsidR="00F73FCA">
              <w:rPr>
                <w:rFonts w:cstheme="minorHAnsi"/>
                <w:lang w:val="en-GB"/>
              </w:rPr>
              <w:t>5</w:t>
            </w:r>
            <w:r w:rsidR="00EB7A64">
              <w:rPr>
                <w:rFonts w:cstheme="minorHAnsi"/>
                <w:lang w:val="en-GB"/>
              </w:rPr>
              <w:t xml:space="preserve">, </w:t>
            </w:r>
            <w:r w:rsidR="00EB7A64" w:rsidRPr="00ED1C96">
              <w:rPr>
                <w:rFonts w:cstheme="minorHAnsi"/>
                <w:lang w:val="en-GB"/>
              </w:rPr>
              <w:t>https://github.com/GAINAlliance/hiddenhunger</w:t>
            </w:r>
          </w:p>
          <w:p w14:paraId="12CF572F" w14:textId="77777777" w:rsidR="0066139F" w:rsidRPr="00A34060" w:rsidRDefault="0066139F" w:rsidP="00C94FBC">
            <w:pPr>
              <w:cnfStyle w:val="000000010000" w:firstRow="0" w:lastRow="0" w:firstColumn="0" w:lastColumn="0" w:oddVBand="0" w:evenVBand="0" w:oddHBand="0" w:evenHBand="1" w:firstRowFirstColumn="0" w:firstRowLastColumn="0" w:lastRowFirstColumn="0" w:lastRowLastColumn="0"/>
              <w:rPr>
                <w:rFonts w:cstheme="minorHAnsi"/>
                <w:highlight w:val="yellow"/>
                <w:lang w:val="en-GB"/>
              </w:rPr>
            </w:pPr>
            <w:r w:rsidRPr="00A34060">
              <w:rPr>
                <w:rFonts w:cstheme="minorHAnsi"/>
                <w:highlight w:val="yellow"/>
                <w:lang w:val="en-GB"/>
              </w:rPr>
              <w:t xml:space="preserve"> </w:t>
            </w:r>
          </w:p>
        </w:tc>
      </w:tr>
      <w:tr w:rsidR="0066139F" w:rsidRPr="00A34060" w14:paraId="07FF165A" w14:textId="77777777" w:rsidTr="00C94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hideMark/>
          </w:tcPr>
          <w:p w14:paraId="22CCEDC6" w14:textId="77777777" w:rsidR="0066139F" w:rsidRPr="00A34060" w:rsidRDefault="0066139F" w:rsidP="00C94FBC">
            <w:pPr>
              <w:rPr>
                <w:rFonts w:asciiTheme="minorHAnsi" w:hAnsiTheme="minorHAnsi" w:cstheme="minorHAnsi"/>
                <w:lang w:val="en-GB"/>
              </w:rPr>
            </w:pPr>
            <w:r w:rsidRPr="00A34060">
              <w:rPr>
                <w:rFonts w:asciiTheme="minorHAnsi" w:hAnsiTheme="minorHAnsi" w:cstheme="minorHAnsi"/>
                <w:lang w:val="en-GB"/>
              </w:rPr>
              <w:t>6</w:t>
            </w:r>
          </w:p>
        </w:tc>
        <w:tc>
          <w:tcPr>
            <w:tcW w:w="7211" w:type="dxa"/>
            <w:shd w:val="clear" w:color="auto" w:fill="auto"/>
            <w:hideMark/>
          </w:tcPr>
          <w:p w14:paraId="2ACA837F" w14:textId="77777777" w:rsidR="0066139F" w:rsidRPr="00A34060" w:rsidRDefault="0066139F" w:rsidP="00C94FBC">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A34060">
              <w:rPr>
                <w:rFonts w:cstheme="minorHAnsi"/>
                <w:lang w:val="en-GB"/>
              </w:rPr>
              <w:t>Identify and describe any categories of input data that have potentially important biases (e.g., based on characteristics listed in item 5).</w:t>
            </w:r>
          </w:p>
        </w:tc>
        <w:tc>
          <w:tcPr>
            <w:tcW w:w="2428" w:type="dxa"/>
            <w:shd w:val="clear" w:color="auto" w:fill="auto"/>
          </w:tcPr>
          <w:p w14:paraId="36236C50" w14:textId="4FA9182A" w:rsidR="0066139F" w:rsidRPr="00A34060" w:rsidRDefault="00B12A46" w:rsidP="00C94FBC">
            <w:pP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Appendix s</w:t>
            </w:r>
            <w:r w:rsidR="0066139F" w:rsidRPr="00A34060">
              <w:rPr>
                <w:rFonts w:cstheme="minorHAnsi"/>
                <w:lang w:val="en-GB"/>
              </w:rPr>
              <w:t>ection 3</w:t>
            </w:r>
          </w:p>
        </w:tc>
      </w:tr>
      <w:tr w:rsidR="0066139F" w:rsidRPr="00A34060" w14:paraId="5C0EF637" w14:textId="77777777" w:rsidTr="00C94F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shd w:val="clear" w:color="auto" w:fill="D9D9D9" w:themeFill="background1" w:themeFillShade="D9"/>
            <w:hideMark/>
          </w:tcPr>
          <w:p w14:paraId="600933A4" w14:textId="77777777" w:rsidR="0066139F" w:rsidRPr="00A34060" w:rsidRDefault="0066139F" w:rsidP="00C94FBC">
            <w:pPr>
              <w:rPr>
                <w:rFonts w:asciiTheme="minorHAnsi" w:hAnsiTheme="minorHAnsi" w:cstheme="minorHAnsi"/>
                <w:b w:val="0"/>
                <w:bCs w:val="0"/>
                <w:i/>
                <w:iCs/>
                <w:lang w:val="en-GB"/>
              </w:rPr>
            </w:pPr>
            <w:r w:rsidRPr="00A34060">
              <w:rPr>
                <w:rFonts w:asciiTheme="minorHAnsi" w:hAnsiTheme="minorHAnsi" w:cstheme="minorHAnsi"/>
                <w:b w:val="0"/>
                <w:bCs w:val="0"/>
                <w:i/>
                <w:iCs/>
                <w:lang w:val="en-GB"/>
              </w:rPr>
              <w:t xml:space="preserve">   For data inputs that contribute to the analysis but were not synthesized as part of the study:</w:t>
            </w:r>
          </w:p>
        </w:tc>
      </w:tr>
      <w:tr w:rsidR="0066139F" w:rsidRPr="00A34060" w14:paraId="36D517E9" w14:textId="77777777" w:rsidTr="00C94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hideMark/>
          </w:tcPr>
          <w:p w14:paraId="45087B70" w14:textId="77777777" w:rsidR="0066139F" w:rsidRPr="00A34060" w:rsidRDefault="0066139F" w:rsidP="00C94FBC">
            <w:pPr>
              <w:rPr>
                <w:rFonts w:asciiTheme="minorHAnsi" w:hAnsiTheme="minorHAnsi" w:cstheme="minorHAnsi"/>
                <w:lang w:val="en-GB"/>
              </w:rPr>
            </w:pPr>
            <w:r w:rsidRPr="00A34060">
              <w:rPr>
                <w:rFonts w:asciiTheme="minorHAnsi" w:hAnsiTheme="minorHAnsi" w:cstheme="minorHAnsi"/>
                <w:lang w:val="en-GB"/>
              </w:rPr>
              <w:t>7</w:t>
            </w:r>
          </w:p>
        </w:tc>
        <w:tc>
          <w:tcPr>
            <w:tcW w:w="7211" w:type="dxa"/>
            <w:shd w:val="clear" w:color="auto" w:fill="auto"/>
            <w:hideMark/>
          </w:tcPr>
          <w:p w14:paraId="71746142" w14:textId="77777777" w:rsidR="0066139F" w:rsidRPr="00A34060" w:rsidRDefault="0066139F" w:rsidP="00C94FBC">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A34060">
              <w:rPr>
                <w:rFonts w:cstheme="minorHAnsi"/>
                <w:lang w:val="en-GB"/>
              </w:rPr>
              <w:t xml:space="preserve">Describe and give sources for any other data inputs. </w:t>
            </w:r>
          </w:p>
        </w:tc>
        <w:tc>
          <w:tcPr>
            <w:tcW w:w="2428" w:type="dxa"/>
            <w:shd w:val="clear" w:color="auto" w:fill="auto"/>
          </w:tcPr>
          <w:p w14:paraId="18C41E8F" w14:textId="729FBB2C" w:rsidR="0066139F" w:rsidRPr="00A34060" w:rsidRDefault="00B12A46" w:rsidP="00C94FBC">
            <w:pP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Appendix s</w:t>
            </w:r>
            <w:r w:rsidR="0066139F" w:rsidRPr="00A34060">
              <w:rPr>
                <w:rFonts w:cstheme="minorHAnsi"/>
                <w:lang w:val="en-GB"/>
              </w:rPr>
              <w:t xml:space="preserve">ections </w:t>
            </w:r>
            <w:r w:rsidR="00553B96" w:rsidRPr="00A34060">
              <w:rPr>
                <w:rFonts w:cstheme="minorHAnsi"/>
                <w:lang w:val="en-GB"/>
              </w:rPr>
              <w:t>6-7</w:t>
            </w:r>
          </w:p>
        </w:tc>
      </w:tr>
      <w:tr w:rsidR="0066139F" w:rsidRPr="00A34060" w14:paraId="1968DA68" w14:textId="77777777" w:rsidTr="00C94F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shd w:val="clear" w:color="auto" w:fill="D9D9D9" w:themeFill="background1" w:themeFillShade="D9"/>
            <w:hideMark/>
          </w:tcPr>
          <w:p w14:paraId="280315D2" w14:textId="77777777" w:rsidR="0066139F" w:rsidRPr="00A34060" w:rsidRDefault="0066139F" w:rsidP="00C94FBC">
            <w:pPr>
              <w:rPr>
                <w:rFonts w:asciiTheme="minorHAnsi" w:hAnsiTheme="minorHAnsi" w:cstheme="minorHAnsi"/>
                <w:b w:val="0"/>
                <w:bCs w:val="0"/>
                <w:i/>
                <w:iCs/>
                <w:lang w:val="en-GB"/>
              </w:rPr>
            </w:pPr>
            <w:r w:rsidRPr="00A34060">
              <w:rPr>
                <w:rFonts w:asciiTheme="minorHAnsi" w:hAnsiTheme="minorHAnsi" w:cstheme="minorHAnsi"/>
                <w:b w:val="0"/>
                <w:bCs w:val="0"/>
                <w:i/>
                <w:iCs/>
                <w:lang w:val="en-GB"/>
              </w:rPr>
              <w:t xml:space="preserve">   For all data inputs:</w:t>
            </w:r>
          </w:p>
        </w:tc>
      </w:tr>
      <w:tr w:rsidR="0066139F" w:rsidRPr="00A34060" w14:paraId="1A1F73E0" w14:textId="77777777" w:rsidTr="00C94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hideMark/>
          </w:tcPr>
          <w:p w14:paraId="668F7556" w14:textId="77777777" w:rsidR="0066139F" w:rsidRPr="00A34060" w:rsidRDefault="0066139F" w:rsidP="00C94FBC">
            <w:pPr>
              <w:rPr>
                <w:rFonts w:asciiTheme="minorHAnsi" w:hAnsiTheme="minorHAnsi" w:cstheme="minorHAnsi"/>
                <w:lang w:val="en-GB"/>
              </w:rPr>
            </w:pPr>
            <w:r w:rsidRPr="00A34060">
              <w:rPr>
                <w:rFonts w:asciiTheme="minorHAnsi" w:hAnsiTheme="minorHAnsi" w:cstheme="minorHAnsi"/>
                <w:lang w:val="en-GB"/>
              </w:rPr>
              <w:t>8</w:t>
            </w:r>
          </w:p>
        </w:tc>
        <w:tc>
          <w:tcPr>
            <w:tcW w:w="7211" w:type="dxa"/>
            <w:shd w:val="clear" w:color="auto" w:fill="auto"/>
            <w:hideMark/>
          </w:tcPr>
          <w:p w14:paraId="28954EDE" w14:textId="77777777" w:rsidR="0066139F" w:rsidRPr="00A34060" w:rsidRDefault="0066139F" w:rsidP="00C94FBC">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A34060">
              <w:rPr>
                <w:rFonts w:cstheme="minorHAnsi"/>
                <w:lang w:val="en-GB"/>
              </w:rPr>
              <w:t>Provide all data inputs in a file format from which data can be efficiently extracted (e.g., a spreadsheet rather than a PDF), including all relevant meta-data listed in item 5. For any data inputs that cannot be shared because of ethical or legal reasons, such as third-party ownership, provide a contact name or the name of the institution that retains the right to the data.</w:t>
            </w:r>
          </w:p>
        </w:tc>
        <w:tc>
          <w:tcPr>
            <w:tcW w:w="2428" w:type="dxa"/>
            <w:shd w:val="clear" w:color="auto" w:fill="auto"/>
          </w:tcPr>
          <w:p w14:paraId="02FF6056" w14:textId="1416B747" w:rsidR="0066139F" w:rsidRPr="00A34060" w:rsidRDefault="00ED1C96" w:rsidP="00C94FBC">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ED1C96">
              <w:rPr>
                <w:rFonts w:cstheme="minorHAnsi"/>
                <w:lang w:val="en-GB"/>
              </w:rPr>
              <w:t>https://github.com/GAINAlliance/hiddenhunger</w:t>
            </w:r>
          </w:p>
        </w:tc>
      </w:tr>
      <w:tr w:rsidR="0066139F" w:rsidRPr="00A34060" w14:paraId="6002FA80" w14:textId="77777777" w:rsidTr="0066139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456" w:type="dxa"/>
            <w:gridSpan w:val="3"/>
            <w:shd w:val="clear" w:color="auto" w:fill="BFBFBF" w:themeFill="background1" w:themeFillShade="BF"/>
            <w:hideMark/>
          </w:tcPr>
          <w:p w14:paraId="43AD076F" w14:textId="77777777" w:rsidR="0066139F" w:rsidRPr="00A34060" w:rsidRDefault="0066139F" w:rsidP="00553B96">
            <w:pPr>
              <w:keepNext/>
              <w:rPr>
                <w:rFonts w:asciiTheme="minorHAnsi" w:hAnsiTheme="minorHAnsi" w:cstheme="minorHAnsi"/>
                <w:lang w:val="en-GB"/>
              </w:rPr>
            </w:pPr>
            <w:r w:rsidRPr="00A34060">
              <w:rPr>
                <w:rFonts w:asciiTheme="minorHAnsi" w:hAnsiTheme="minorHAnsi" w:cstheme="minorHAnsi"/>
                <w:lang w:val="en-GB"/>
              </w:rPr>
              <w:t>Data analysis</w:t>
            </w:r>
          </w:p>
        </w:tc>
      </w:tr>
      <w:tr w:rsidR="0066139F" w:rsidRPr="00A34060" w14:paraId="44C0E0A0" w14:textId="77777777" w:rsidTr="006613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17" w:type="dxa"/>
            <w:shd w:val="clear" w:color="auto" w:fill="auto"/>
            <w:hideMark/>
          </w:tcPr>
          <w:p w14:paraId="6D50DDC9" w14:textId="77777777" w:rsidR="0066139F" w:rsidRPr="00A34060" w:rsidRDefault="0066139F" w:rsidP="00553B96">
            <w:pPr>
              <w:keepNext/>
              <w:rPr>
                <w:rFonts w:asciiTheme="minorHAnsi" w:hAnsiTheme="minorHAnsi" w:cstheme="minorHAnsi"/>
                <w:lang w:val="en-GB"/>
              </w:rPr>
            </w:pPr>
            <w:r w:rsidRPr="00A34060">
              <w:rPr>
                <w:rFonts w:asciiTheme="minorHAnsi" w:hAnsiTheme="minorHAnsi" w:cstheme="minorHAnsi"/>
                <w:lang w:val="en-GB"/>
              </w:rPr>
              <w:t>9</w:t>
            </w:r>
          </w:p>
        </w:tc>
        <w:tc>
          <w:tcPr>
            <w:tcW w:w="7211" w:type="dxa"/>
            <w:shd w:val="clear" w:color="auto" w:fill="auto"/>
            <w:hideMark/>
          </w:tcPr>
          <w:p w14:paraId="52594754" w14:textId="77777777" w:rsidR="0066139F" w:rsidRPr="00A34060" w:rsidRDefault="0066139F" w:rsidP="00553B96">
            <w:pPr>
              <w:keepNext/>
              <w:cnfStyle w:val="000000100000" w:firstRow="0" w:lastRow="0" w:firstColumn="0" w:lastColumn="0" w:oddVBand="0" w:evenVBand="0" w:oddHBand="1" w:evenHBand="0" w:firstRowFirstColumn="0" w:firstRowLastColumn="0" w:lastRowFirstColumn="0" w:lastRowLastColumn="0"/>
              <w:rPr>
                <w:rFonts w:cstheme="minorHAnsi"/>
                <w:lang w:val="en-GB"/>
              </w:rPr>
            </w:pPr>
            <w:r w:rsidRPr="00A34060">
              <w:rPr>
                <w:rFonts w:cstheme="minorHAnsi"/>
                <w:lang w:val="en-GB"/>
              </w:rPr>
              <w:t xml:space="preserve">Provide a conceptual overview of the data analysis method. A diagram may be helpful. </w:t>
            </w:r>
          </w:p>
        </w:tc>
        <w:tc>
          <w:tcPr>
            <w:tcW w:w="2428" w:type="dxa"/>
            <w:shd w:val="clear" w:color="auto" w:fill="auto"/>
          </w:tcPr>
          <w:p w14:paraId="46123D27" w14:textId="4072376D" w:rsidR="0066139F" w:rsidRPr="00A34060" w:rsidRDefault="00B12A46" w:rsidP="00553B96">
            <w:pPr>
              <w:keepNext/>
              <w:cnfStyle w:val="000000100000" w:firstRow="0" w:lastRow="0" w:firstColumn="0" w:lastColumn="0" w:oddVBand="0" w:evenVBand="0" w:oddHBand="1" w:evenHBand="0" w:firstRowFirstColumn="0" w:firstRowLastColumn="0" w:lastRowFirstColumn="0" w:lastRowLastColumn="0"/>
              <w:rPr>
                <w:rFonts w:cstheme="minorHAnsi"/>
                <w:highlight w:val="yellow"/>
                <w:lang w:val="en-GB"/>
              </w:rPr>
            </w:pPr>
            <w:r>
              <w:rPr>
                <w:rFonts w:cstheme="minorHAnsi"/>
                <w:lang w:val="en-GB"/>
              </w:rPr>
              <w:t>Appendix s</w:t>
            </w:r>
            <w:r w:rsidR="0066139F" w:rsidRPr="00A34060">
              <w:rPr>
                <w:rFonts w:cstheme="minorHAnsi"/>
                <w:lang w:val="en-GB"/>
              </w:rPr>
              <w:t>ection 1</w:t>
            </w:r>
          </w:p>
        </w:tc>
      </w:tr>
      <w:tr w:rsidR="0066139F" w:rsidRPr="00A34060" w14:paraId="5C440214" w14:textId="77777777" w:rsidTr="00C94F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hideMark/>
          </w:tcPr>
          <w:p w14:paraId="367643B3" w14:textId="77777777" w:rsidR="0066139F" w:rsidRPr="00A34060" w:rsidRDefault="0066139F" w:rsidP="00C94FBC">
            <w:pPr>
              <w:rPr>
                <w:rFonts w:asciiTheme="minorHAnsi" w:hAnsiTheme="minorHAnsi" w:cstheme="minorHAnsi"/>
                <w:lang w:val="en-GB"/>
              </w:rPr>
            </w:pPr>
            <w:r w:rsidRPr="00A34060">
              <w:rPr>
                <w:rFonts w:asciiTheme="minorHAnsi" w:hAnsiTheme="minorHAnsi" w:cstheme="minorHAnsi"/>
                <w:lang w:val="en-GB"/>
              </w:rPr>
              <w:t>10</w:t>
            </w:r>
          </w:p>
        </w:tc>
        <w:tc>
          <w:tcPr>
            <w:tcW w:w="7211" w:type="dxa"/>
            <w:shd w:val="clear" w:color="auto" w:fill="auto"/>
            <w:hideMark/>
          </w:tcPr>
          <w:p w14:paraId="7210013E" w14:textId="77777777" w:rsidR="0066139F" w:rsidRPr="00A34060" w:rsidRDefault="0066139F" w:rsidP="00C94FBC">
            <w:pPr>
              <w:cnfStyle w:val="000000010000" w:firstRow="0" w:lastRow="0" w:firstColumn="0" w:lastColumn="0" w:oddVBand="0" w:evenVBand="0" w:oddHBand="0" w:evenHBand="1" w:firstRowFirstColumn="0" w:firstRowLastColumn="0" w:lastRowFirstColumn="0" w:lastRowLastColumn="0"/>
              <w:rPr>
                <w:rFonts w:cstheme="minorHAnsi"/>
                <w:lang w:val="en-GB"/>
              </w:rPr>
            </w:pPr>
            <w:r w:rsidRPr="00A34060">
              <w:rPr>
                <w:rFonts w:cstheme="minorHAnsi"/>
                <w:lang w:val="en-GB"/>
              </w:rPr>
              <w:t xml:space="preserve">Provide a detailed description of all steps of the analysis, including mathematical formulae. This description should cover, as relevant, data </w:t>
            </w:r>
            <w:r w:rsidRPr="00A34060">
              <w:rPr>
                <w:rFonts w:cstheme="minorHAnsi"/>
                <w:lang w:val="en-GB"/>
              </w:rPr>
              <w:lastRenderedPageBreak/>
              <w:t xml:space="preserve">cleaning, data pre-processing, data adjustments and weighting of data sources, and mathematical or statistical model(s). </w:t>
            </w:r>
          </w:p>
        </w:tc>
        <w:tc>
          <w:tcPr>
            <w:tcW w:w="2428" w:type="dxa"/>
            <w:shd w:val="clear" w:color="auto" w:fill="auto"/>
          </w:tcPr>
          <w:p w14:paraId="6B0C91D8" w14:textId="1FFD2A91" w:rsidR="0066139F" w:rsidRPr="00A34060" w:rsidRDefault="00B12A46" w:rsidP="00C94FBC">
            <w:pPr>
              <w:cnfStyle w:val="000000010000" w:firstRow="0" w:lastRow="0" w:firstColumn="0" w:lastColumn="0" w:oddVBand="0" w:evenVBand="0" w:oddHBand="0" w:evenHBand="1" w:firstRowFirstColumn="0" w:firstRowLastColumn="0" w:lastRowFirstColumn="0" w:lastRowLastColumn="0"/>
              <w:rPr>
                <w:rFonts w:cstheme="minorHAnsi"/>
                <w:highlight w:val="yellow"/>
                <w:lang w:val="en-GB"/>
              </w:rPr>
            </w:pPr>
            <w:r>
              <w:rPr>
                <w:rFonts w:cstheme="minorHAnsi"/>
                <w:lang w:val="en-GB"/>
              </w:rPr>
              <w:lastRenderedPageBreak/>
              <w:t>Appendix s</w:t>
            </w:r>
            <w:r w:rsidR="0066139F" w:rsidRPr="00A34060">
              <w:rPr>
                <w:rFonts w:cstheme="minorHAnsi"/>
                <w:lang w:val="en-GB"/>
              </w:rPr>
              <w:t xml:space="preserve">ections </w:t>
            </w:r>
            <w:r w:rsidR="00553B96" w:rsidRPr="00A34060">
              <w:rPr>
                <w:rFonts w:cstheme="minorHAnsi"/>
                <w:lang w:val="en-GB"/>
              </w:rPr>
              <w:t>3, 6, 7</w:t>
            </w:r>
          </w:p>
        </w:tc>
      </w:tr>
      <w:tr w:rsidR="0066139F" w:rsidRPr="00A34060" w14:paraId="72F4AB2A" w14:textId="77777777" w:rsidTr="00C94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hideMark/>
          </w:tcPr>
          <w:p w14:paraId="3810A7C9" w14:textId="77777777" w:rsidR="0066139F" w:rsidRPr="00A34060" w:rsidRDefault="0066139F" w:rsidP="00C94FBC">
            <w:pPr>
              <w:rPr>
                <w:rFonts w:asciiTheme="minorHAnsi" w:hAnsiTheme="minorHAnsi" w:cstheme="minorHAnsi"/>
                <w:lang w:val="en-GB"/>
              </w:rPr>
            </w:pPr>
            <w:r w:rsidRPr="00A34060">
              <w:rPr>
                <w:rFonts w:asciiTheme="minorHAnsi" w:hAnsiTheme="minorHAnsi" w:cstheme="minorHAnsi"/>
                <w:lang w:val="en-GB"/>
              </w:rPr>
              <w:t>11</w:t>
            </w:r>
          </w:p>
        </w:tc>
        <w:tc>
          <w:tcPr>
            <w:tcW w:w="7211" w:type="dxa"/>
            <w:shd w:val="clear" w:color="auto" w:fill="auto"/>
            <w:hideMark/>
          </w:tcPr>
          <w:p w14:paraId="7201A0C9" w14:textId="77777777" w:rsidR="0066139F" w:rsidRPr="00A34060" w:rsidRDefault="0066139F" w:rsidP="00C94FBC">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A34060">
              <w:rPr>
                <w:rFonts w:cstheme="minorHAnsi"/>
                <w:lang w:val="en-GB"/>
              </w:rPr>
              <w:t>Describe how candidate models were evaluated and how the final model(s) were selected.</w:t>
            </w:r>
          </w:p>
        </w:tc>
        <w:tc>
          <w:tcPr>
            <w:tcW w:w="2428" w:type="dxa"/>
            <w:shd w:val="clear" w:color="auto" w:fill="auto"/>
          </w:tcPr>
          <w:p w14:paraId="438225E5" w14:textId="6C5A35F3" w:rsidR="0066139F" w:rsidRPr="00A34060" w:rsidRDefault="00B12A46" w:rsidP="00C94FBC">
            <w:pP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Appendix s</w:t>
            </w:r>
            <w:r w:rsidR="0066139F" w:rsidRPr="00A34060">
              <w:rPr>
                <w:rFonts w:cstheme="minorHAnsi"/>
                <w:lang w:val="en-GB"/>
              </w:rPr>
              <w:t>ection</w:t>
            </w:r>
            <w:r w:rsidR="00553B96" w:rsidRPr="00A34060">
              <w:rPr>
                <w:rFonts w:cstheme="minorHAnsi"/>
                <w:lang w:val="en-GB"/>
              </w:rPr>
              <w:t>s</w:t>
            </w:r>
            <w:r w:rsidR="0066139F" w:rsidRPr="00A34060">
              <w:rPr>
                <w:rFonts w:cstheme="minorHAnsi"/>
                <w:lang w:val="en-GB"/>
              </w:rPr>
              <w:t xml:space="preserve"> </w:t>
            </w:r>
            <w:r w:rsidR="00553B96" w:rsidRPr="00A34060">
              <w:rPr>
                <w:rFonts w:cstheme="minorHAnsi"/>
                <w:lang w:val="en-GB"/>
              </w:rPr>
              <w:t>6-7</w:t>
            </w:r>
          </w:p>
        </w:tc>
      </w:tr>
      <w:tr w:rsidR="0066139F" w:rsidRPr="00A34060" w14:paraId="64B8D9C4" w14:textId="77777777" w:rsidTr="00C94F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hideMark/>
          </w:tcPr>
          <w:p w14:paraId="2F575675" w14:textId="77777777" w:rsidR="0066139F" w:rsidRPr="00A34060" w:rsidRDefault="0066139F" w:rsidP="00C94FBC">
            <w:pPr>
              <w:rPr>
                <w:rFonts w:asciiTheme="minorHAnsi" w:hAnsiTheme="minorHAnsi" w:cstheme="minorHAnsi"/>
                <w:lang w:val="en-GB"/>
              </w:rPr>
            </w:pPr>
            <w:r w:rsidRPr="00A34060">
              <w:rPr>
                <w:rFonts w:asciiTheme="minorHAnsi" w:hAnsiTheme="minorHAnsi" w:cstheme="minorHAnsi"/>
                <w:lang w:val="en-GB"/>
              </w:rPr>
              <w:t>12</w:t>
            </w:r>
          </w:p>
        </w:tc>
        <w:tc>
          <w:tcPr>
            <w:tcW w:w="7211" w:type="dxa"/>
            <w:shd w:val="clear" w:color="auto" w:fill="auto"/>
            <w:hideMark/>
          </w:tcPr>
          <w:p w14:paraId="449C8512" w14:textId="77777777" w:rsidR="0066139F" w:rsidRPr="00A34060" w:rsidRDefault="0066139F" w:rsidP="00C94FBC">
            <w:pPr>
              <w:cnfStyle w:val="000000010000" w:firstRow="0" w:lastRow="0" w:firstColumn="0" w:lastColumn="0" w:oddVBand="0" w:evenVBand="0" w:oddHBand="0" w:evenHBand="1" w:firstRowFirstColumn="0" w:firstRowLastColumn="0" w:lastRowFirstColumn="0" w:lastRowLastColumn="0"/>
              <w:rPr>
                <w:rFonts w:cstheme="minorHAnsi"/>
                <w:lang w:val="en-GB"/>
              </w:rPr>
            </w:pPr>
            <w:r w:rsidRPr="00A34060">
              <w:rPr>
                <w:rFonts w:cstheme="minorHAnsi"/>
                <w:lang w:val="en-GB"/>
              </w:rPr>
              <w:t>Provide the results of an evaluation of model performance, if done, as well as the results of any relevant sensitivity analysis.</w:t>
            </w:r>
          </w:p>
        </w:tc>
        <w:tc>
          <w:tcPr>
            <w:tcW w:w="2428" w:type="dxa"/>
            <w:shd w:val="clear" w:color="auto" w:fill="auto"/>
          </w:tcPr>
          <w:p w14:paraId="43A9D0B7" w14:textId="06D60A38" w:rsidR="0066139F" w:rsidRPr="00A34060" w:rsidRDefault="00B12A46" w:rsidP="00C94FBC">
            <w:pPr>
              <w:cnfStyle w:val="000000010000" w:firstRow="0" w:lastRow="0" w:firstColumn="0" w:lastColumn="0" w:oddVBand="0" w:evenVBand="0" w:oddHBand="0" w:evenHBand="1" w:firstRowFirstColumn="0" w:firstRowLastColumn="0" w:lastRowFirstColumn="0" w:lastRowLastColumn="0"/>
              <w:rPr>
                <w:rFonts w:cstheme="minorHAnsi"/>
                <w:lang w:val="en-GB"/>
              </w:rPr>
            </w:pPr>
            <w:r>
              <w:rPr>
                <w:rFonts w:cstheme="minorHAnsi"/>
                <w:lang w:val="en-GB"/>
              </w:rPr>
              <w:t>Appendix s</w:t>
            </w:r>
            <w:r w:rsidR="0066139F" w:rsidRPr="00A34060">
              <w:rPr>
                <w:rFonts w:cstheme="minorHAnsi"/>
                <w:lang w:val="en-GB"/>
              </w:rPr>
              <w:t>ection</w:t>
            </w:r>
            <w:r w:rsidR="00553B96" w:rsidRPr="00A34060">
              <w:rPr>
                <w:rFonts w:cstheme="minorHAnsi"/>
                <w:lang w:val="en-GB"/>
              </w:rPr>
              <w:t>s 6-7</w:t>
            </w:r>
          </w:p>
        </w:tc>
      </w:tr>
      <w:tr w:rsidR="0066139F" w:rsidRPr="00A34060" w14:paraId="0D9CF89F" w14:textId="77777777" w:rsidTr="00C94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hideMark/>
          </w:tcPr>
          <w:p w14:paraId="22871384" w14:textId="77777777" w:rsidR="0066139F" w:rsidRPr="00A34060" w:rsidRDefault="0066139F" w:rsidP="00C94FBC">
            <w:pPr>
              <w:rPr>
                <w:rFonts w:asciiTheme="minorHAnsi" w:hAnsiTheme="minorHAnsi" w:cstheme="minorHAnsi"/>
                <w:lang w:val="en-GB"/>
              </w:rPr>
            </w:pPr>
            <w:r w:rsidRPr="00A34060">
              <w:rPr>
                <w:rFonts w:asciiTheme="minorHAnsi" w:hAnsiTheme="minorHAnsi" w:cstheme="minorHAnsi"/>
                <w:lang w:val="en-GB"/>
              </w:rPr>
              <w:t>13</w:t>
            </w:r>
          </w:p>
        </w:tc>
        <w:tc>
          <w:tcPr>
            <w:tcW w:w="7211" w:type="dxa"/>
            <w:shd w:val="clear" w:color="auto" w:fill="auto"/>
            <w:hideMark/>
          </w:tcPr>
          <w:p w14:paraId="3304643A" w14:textId="77777777" w:rsidR="0066139F" w:rsidRPr="00A34060" w:rsidRDefault="0066139F" w:rsidP="00C94FBC">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A34060">
              <w:rPr>
                <w:rFonts w:cstheme="minorHAnsi"/>
                <w:lang w:val="en-GB"/>
              </w:rPr>
              <w:t>Describe methods for calculating uncertainty of the estimates. State which sources of uncertainty were, and were not, accounted for in the uncertainty analysis.</w:t>
            </w:r>
          </w:p>
        </w:tc>
        <w:tc>
          <w:tcPr>
            <w:tcW w:w="2428" w:type="dxa"/>
            <w:shd w:val="clear" w:color="auto" w:fill="auto"/>
          </w:tcPr>
          <w:p w14:paraId="4A85E487" w14:textId="23E4A759" w:rsidR="0066139F" w:rsidRPr="00A34060" w:rsidRDefault="00B12A46" w:rsidP="00C94FBC">
            <w:pP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Appendix s</w:t>
            </w:r>
            <w:r w:rsidR="0066139F" w:rsidRPr="00A34060">
              <w:rPr>
                <w:rFonts w:cstheme="minorHAnsi"/>
                <w:lang w:val="en-GB"/>
              </w:rPr>
              <w:t>ection</w:t>
            </w:r>
            <w:r w:rsidR="00553B96" w:rsidRPr="00A34060">
              <w:rPr>
                <w:rFonts w:cstheme="minorHAnsi"/>
                <w:lang w:val="en-GB"/>
              </w:rPr>
              <w:t>s 6-7</w:t>
            </w:r>
          </w:p>
        </w:tc>
      </w:tr>
      <w:tr w:rsidR="0066139F" w:rsidRPr="00A34060" w14:paraId="0C5208D9" w14:textId="77777777" w:rsidTr="00C94F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hideMark/>
          </w:tcPr>
          <w:p w14:paraId="59FA9C9D" w14:textId="77777777" w:rsidR="0066139F" w:rsidRPr="00A34060" w:rsidRDefault="0066139F" w:rsidP="00C94FBC">
            <w:pPr>
              <w:rPr>
                <w:rFonts w:asciiTheme="minorHAnsi" w:hAnsiTheme="minorHAnsi" w:cstheme="minorHAnsi"/>
                <w:lang w:val="en-GB"/>
              </w:rPr>
            </w:pPr>
            <w:r w:rsidRPr="00A34060">
              <w:rPr>
                <w:rFonts w:asciiTheme="minorHAnsi" w:hAnsiTheme="minorHAnsi" w:cstheme="minorHAnsi"/>
                <w:lang w:val="en-GB"/>
              </w:rPr>
              <w:t>14</w:t>
            </w:r>
          </w:p>
        </w:tc>
        <w:tc>
          <w:tcPr>
            <w:tcW w:w="7211" w:type="dxa"/>
            <w:shd w:val="clear" w:color="auto" w:fill="auto"/>
            <w:hideMark/>
          </w:tcPr>
          <w:p w14:paraId="7E571D5B" w14:textId="77777777" w:rsidR="0066139F" w:rsidRPr="00A34060" w:rsidRDefault="0066139F" w:rsidP="00C94FBC">
            <w:pPr>
              <w:cnfStyle w:val="000000010000" w:firstRow="0" w:lastRow="0" w:firstColumn="0" w:lastColumn="0" w:oddVBand="0" w:evenVBand="0" w:oddHBand="0" w:evenHBand="1" w:firstRowFirstColumn="0" w:firstRowLastColumn="0" w:lastRowFirstColumn="0" w:lastRowLastColumn="0"/>
              <w:rPr>
                <w:rFonts w:cstheme="minorHAnsi"/>
                <w:lang w:val="en-GB"/>
              </w:rPr>
            </w:pPr>
            <w:r w:rsidRPr="00A34060">
              <w:rPr>
                <w:rFonts w:cstheme="minorHAnsi"/>
                <w:lang w:val="en-GB"/>
              </w:rPr>
              <w:t>State how analytic or statistical source code used to generate estimates can be accessed.</w:t>
            </w:r>
          </w:p>
        </w:tc>
        <w:tc>
          <w:tcPr>
            <w:tcW w:w="2428" w:type="dxa"/>
            <w:shd w:val="clear" w:color="auto" w:fill="auto"/>
          </w:tcPr>
          <w:p w14:paraId="6F0E2298" w14:textId="011A84AB" w:rsidR="0066139F" w:rsidRPr="00A34060" w:rsidRDefault="00ED1C96" w:rsidP="00C94FBC">
            <w:pPr>
              <w:cnfStyle w:val="000000010000" w:firstRow="0" w:lastRow="0" w:firstColumn="0" w:lastColumn="0" w:oddVBand="0" w:evenVBand="0" w:oddHBand="0" w:evenHBand="1" w:firstRowFirstColumn="0" w:firstRowLastColumn="0" w:lastRowFirstColumn="0" w:lastRowLastColumn="0"/>
              <w:rPr>
                <w:rFonts w:cstheme="minorHAnsi"/>
                <w:highlight w:val="yellow"/>
                <w:lang w:val="en-GB"/>
              </w:rPr>
            </w:pPr>
            <w:r w:rsidRPr="00ED1C96">
              <w:rPr>
                <w:rFonts w:cstheme="minorHAnsi"/>
                <w:lang w:val="en-GB"/>
              </w:rPr>
              <w:t>https://github.com/GAINAlliance/hiddenhunger</w:t>
            </w:r>
          </w:p>
        </w:tc>
      </w:tr>
      <w:tr w:rsidR="0066139F" w:rsidRPr="00A34060" w14:paraId="665CBA67" w14:textId="77777777" w:rsidTr="00C94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hideMark/>
          </w:tcPr>
          <w:p w14:paraId="422A2866" w14:textId="77777777" w:rsidR="0066139F" w:rsidRPr="00A34060" w:rsidRDefault="0066139F" w:rsidP="00C94FBC">
            <w:pPr>
              <w:rPr>
                <w:rFonts w:asciiTheme="minorHAnsi" w:hAnsiTheme="minorHAnsi" w:cstheme="minorHAnsi"/>
                <w:b w:val="0"/>
                <w:lang w:val="en-GB"/>
              </w:rPr>
            </w:pPr>
            <w:r w:rsidRPr="00A34060">
              <w:rPr>
                <w:rFonts w:asciiTheme="minorHAnsi" w:hAnsiTheme="minorHAnsi" w:cstheme="minorHAnsi"/>
                <w:lang w:val="en-GB"/>
              </w:rPr>
              <w:t>Results and Discussion</w:t>
            </w:r>
          </w:p>
        </w:tc>
      </w:tr>
      <w:tr w:rsidR="0066139F" w:rsidRPr="00A34060" w14:paraId="1DEC1C0A" w14:textId="77777777" w:rsidTr="00C94F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hideMark/>
          </w:tcPr>
          <w:p w14:paraId="0E67EA19" w14:textId="77777777" w:rsidR="0066139F" w:rsidRPr="00A34060" w:rsidRDefault="0066139F" w:rsidP="00C94FBC">
            <w:pPr>
              <w:rPr>
                <w:rFonts w:asciiTheme="minorHAnsi" w:hAnsiTheme="minorHAnsi" w:cstheme="minorHAnsi"/>
                <w:lang w:val="en-GB"/>
              </w:rPr>
            </w:pPr>
            <w:r w:rsidRPr="00A34060">
              <w:rPr>
                <w:rFonts w:asciiTheme="minorHAnsi" w:hAnsiTheme="minorHAnsi" w:cstheme="minorHAnsi"/>
                <w:lang w:val="en-GB"/>
              </w:rPr>
              <w:t>15</w:t>
            </w:r>
          </w:p>
        </w:tc>
        <w:tc>
          <w:tcPr>
            <w:tcW w:w="7211" w:type="dxa"/>
            <w:shd w:val="clear" w:color="auto" w:fill="auto"/>
            <w:hideMark/>
          </w:tcPr>
          <w:p w14:paraId="438C6B0B" w14:textId="77777777" w:rsidR="0066139F" w:rsidRPr="00A34060" w:rsidRDefault="0066139F" w:rsidP="00C94FBC">
            <w:pPr>
              <w:cnfStyle w:val="000000010000" w:firstRow="0" w:lastRow="0" w:firstColumn="0" w:lastColumn="0" w:oddVBand="0" w:evenVBand="0" w:oddHBand="0" w:evenHBand="1" w:firstRowFirstColumn="0" w:firstRowLastColumn="0" w:lastRowFirstColumn="0" w:lastRowLastColumn="0"/>
              <w:rPr>
                <w:rFonts w:cstheme="minorHAnsi"/>
                <w:lang w:val="en-GB"/>
              </w:rPr>
            </w:pPr>
            <w:r w:rsidRPr="00A34060">
              <w:rPr>
                <w:rFonts w:cstheme="minorHAnsi"/>
                <w:lang w:val="en-GB"/>
              </w:rPr>
              <w:t>Provide published estimates in a file format from which data can be efficiently extracted.</w:t>
            </w:r>
          </w:p>
        </w:tc>
        <w:tc>
          <w:tcPr>
            <w:tcW w:w="2428" w:type="dxa"/>
            <w:shd w:val="clear" w:color="auto" w:fill="auto"/>
          </w:tcPr>
          <w:p w14:paraId="7CF3540B" w14:textId="4C624B63" w:rsidR="0066139F" w:rsidRPr="00A34060" w:rsidRDefault="00ED1C96" w:rsidP="00C94FBC">
            <w:pPr>
              <w:cnfStyle w:val="000000010000" w:firstRow="0" w:lastRow="0" w:firstColumn="0" w:lastColumn="0" w:oddVBand="0" w:evenVBand="0" w:oddHBand="0" w:evenHBand="1" w:firstRowFirstColumn="0" w:firstRowLastColumn="0" w:lastRowFirstColumn="0" w:lastRowLastColumn="0"/>
              <w:rPr>
                <w:rFonts w:cstheme="minorHAnsi"/>
                <w:highlight w:val="yellow"/>
                <w:lang w:val="en-GB"/>
              </w:rPr>
            </w:pPr>
            <w:r w:rsidRPr="00ED1C96">
              <w:rPr>
                <w:rFonts w:cstheme="minorHAnsi"/>
                <w:lang w:val="en-GB"/>
              </w:rPr>
              <w:t>https://github.com/GAINAlliance/hiddenhunger</w:t>
            </w:r>
          </w:p>
        </w:tc>
      </w:tr>
      <w:tr w:rsidR="0066139F" w:rsidRPr="00A34060" w14:paraId="5CD6E700" w14:textId="77777777" w:rsidTr="00C94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hideMark/>
          </w:tcPr>
          <w:p w14:paraId="05FC70CC" w14:textId="77777777" w:rsidR="0066139F" w:rsidRPr="00A34060" w:rsidRDefault="0066139F" w:rsidP="00C94FBC">
            <w:pPr>
              <w:rPr>
                <w:rFonts w:asciiTheme="minorHAnsi" w:hAnsiTheme="minorHAnsi" w:cstheme="minorHAnsi"/>
                <w:lang w:val="en-GB"/>
              </w:rPr>
            </w:pPr>
            <w:r w:rsidRPr="00A34060">
              <w:rPr>
                <w:rFonts w:asciiTheme="minorHAnsi" w:hAnsiTheme="minorHAnsi" w:cstheme="minorHAnsi"/>
                <w:lang w:val="en-GB"/>
              </w:rPr>
              <w:t>16</w:t>
            </w:r>
          </w:p>
        </w:tc>
        <w:tc>
          <w:tcPr>
            <w:tcW w:w="7211" w:type="dxa"/>
            <w:shd w:val="clear" w:color="auto" w:fill="auto"/>
            <w:hideMark/>
          </w:tcPr>
          <w:p w14:paraId="407FE853" w14:textId="77777777" w:rsidR="0066139F" w:rsidRPr="00A34060" w:rsidRDefault="0066139F" w:rsidP="00C94FBC">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A34060">
              <w:rPr>
                <w:rFonts w:cstheme="minorHAnsi"/>
                <w:lang w:val="en-GB"/>
              </w:rPr>
              <w:t>Report a quantitative measure of the uncertainty of the estimates (e.g. uncertainty intervals).</w:t>
            </w:r>
          </w:p>
        </w:tc>
        <w:tc>
          <w:tcPr>
            <w:tcW w:w="2428" w:type="dxa"/>
            <w:shd w:val="clear" w:color="auto" w:fill="auto"/>
          </w:tcPr>
          <w:p w14:paraId="0600840F" w14:textId="11225FC0" w:rsidR="0066139F" w:rsidRPr="00A34060" w:rsidRDefault="00DE4ECF" w:rsidP="00C94FBC">
            <w:pPr>
              <w:cnfStyle w:val="000000100000" w:firstRow="0" w:lastRow="0" w:firstColumn="0" w:lastColumn="0" w:oddVBand="0" w:evenVBand="0" w:oddHBand="1" w:evenHBand="0" w:firstRowFirstColumn="0" w:firstRowLastColumn="0" w:lastRowFirstColumn="0" w:lastRowLastColumn="0"/>
              <w:rPr>
                <w:rFonts w:cstheme="minorHAnsi"/>
                <w:highlight w:val="yellow"/>
                <w:lang w:val="en-GB"/>
              </w:rPr>
            </w:pPr>
            <w:r w:rsidRPr="00DE4ECF">
              <w:rPr>
                <w:rFonts w:cstheme="minorHAnsi"/>
                <w:lang w:val="en-GB"/>
              </w:rPr>
              <w:t>Table 4</w:t>
            </w:r>
          </w:p>
        </w:tc>
      </w:tr>
      <w:tr w:rsidR="0066139F" w:rsidRPr="00A34060" w14:paraId="7571088D" w14:textId="77777777" w:rsidTr="00C94F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hideMark/>
          </w:tcPr>
          <w:p w14:paraId="3B68C3A4" w14:textId="77777777" w:rsidR="0066139F" w:rsidRPr="00A34060" w:rsidRDefault="0066139F" w:rsidP="00C94FBC">
            <w:pPr>
              <w:rPr>
                <w:rFonts w:asciiTheme="minorHAnsi" w:hAnsiTheme="minorHAnsi" w:cstheme="minorHAnsi"/>
                <w:lang w:val="en-GB"/>
              </w:rPr>
            </w:pPr>
            <w:r w:rsidRPr="00A34060">
              <w:rPr>
                <w:rFonts w:asciiTheme="minorHAnsi" w:hAnsiTheme="minorHAnsi" w:cstheme="minorHAnsi"/>
                <w:lang w:val="en-GB"/>
              </w:rPr>
              <w:t>17</w:t>
            </w:r>
          </w:p>
        </w:tc>
        <w:tc>
          <w:tcPr>
            <w:tcW w:w="7211" w:type="dxa"/>
            <w:shd w:val="clear" w:color="auto" w:fill="auto"/>
            <w:hideMark/>
          </w:tcPr>
          <w:p w14:paraId="3D263FD9" w14:textId="77777777" w:rsidR="0066139F" w:rsidRPr="00A34060" w:rsidRDefault="0066139F" w:rsidP="00C94FBC">
            <w:pPr>
              <w:cnfStyle w:val="000000010000" w:firstRow="0" w:lastRow="0" w:firstColumn="0" w:lastColumn="0" w:oddVBand="0" w:evenVBand="0" w:oddHBand="0" w:evenHBand="1" w:firstRowFirstColumn="0" w:firstRowLastColumn="0" w:lastRowFirstColumn="0" w:lastRowLastColumn="0"/>
              <w:rPr>
                <w:rFonts w:cstheme="minorHAnsi"/>
                <w:lang w:val="en-GB"/>
              </w:rPr>
            </w:pPr>
            <w:r w:rsidRPr="00A34060">
              <w:rPr>
                <w:rFonts w:cstheme="minorHAnsi"/>
                <w:lang w:val="en-GB"/>
              </w:rPr>
              <w:t>Interpret results in light of existing evidence. If updating a previous set of estimates, describe the reasons for changes in estimates.</w:t>
            </w:r>
          </w:p>
        </w:tc>
        <w:tc>
          <w:tcPr>
            <w:tcW w:w="2428" w:type="dxa"/>
            <w:shd w:val="clear" w:color="auto" w:fill="auto"/>
          </w:tcPr>
          <w:p w14:paraId="7F6C366E" w14:textId="76FF0BEA" w:rsidR="0066139F" w:rsidRPr="00A34060" w:rsidRDefault="00DE4ECF" w:rsidP="00C94FBC">
            <w:pPr>
              <w:cnfStyle w:val="000000010000" w:firstRow="0" w:lastRow="0" w:firstColumn="0" w:lastColumn="0" w:oddVBand="0" w:evenVBand="0" w:oddHBand="0" w:evenHBand="1" w:firstRowFirstColumn="0" w:firstRowLastColumn="0" w:lastRowFirstColumn="0" w:lastRowLastColumn="0"/>
              <w:rPr>
                <w:rFonts w:cstheme="minorHAnsi"/>
                <w:lang w:val="en-GB"/>
              </w:rPr>
            </w:pPr>
            <w:r>
              <w:rPr>
                <w:rFonts w:cstheme="minorHAnsi"/>
                <w:lang w:val="en-GB"/>
              </w:rPr>
              <w:t>Paragraph 1 of discussion</w:t>
            </w:r>
          </w:p>
        </w:tc>
      </w:tr>
      <w:tr w:rsidR="0066139F" w:rsidRPr="00A34060" w14:paraId="2612472A" w14:textId="77777777" w:rsidTr="00C94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hideMark/>
          </w:tcPr>
          <w:p w14:paraId="0C620D53" w14:textId="77777777" w:rsidR="0066139F" w:rsidRPr="00A34060" w:rsidRDefault="0066139F" w:rsidP="00C94FBC">
            <w:pPr>
              <w:rPr>
                <w:rFonts w:asciiTheme="minorHAnsi" w:hAnsiTheme="minorHAnsi" w:cstheme="minorHAnsi"/>
                <w:lang w:val="en-GB"/>
              </w:rPr>
            </w:pPr>
            <w:r w:rsidRPr="00A34060">
              <w:rPr>
                <w:rFonts w:asciiTheme="minorHAnsi" w:hAnsiTheme="minorHAnsi" w:cstheme="minorHAnsi"/>
                <w:lang w:val="en-GB"/>
              </w:rPr>
              <w:t>18</w:t>
            </w:r>
          </w:p>
        </w:tc>
        <w:tc>
          <w:tcPr>
            <w:tcW w:w="7211" w:type="dxa"/>
            <w:shd w:val="clear" w:color="auto" w:fill="auto"/>
            <w:hideMark/>
          </w:tcPr>
          <w:p w14:paraId="28A5E59F" w14:textId="77777777" w:rsidR="0066139F" w:rsidRPr="00A34060" w:rsidRDefault="0066139F" w:rsidP="00C94FBC">
            <w:pPr>
              <w:cnfStyle w:val="000000100000" w:firstRow="0" w:lastRow="0" w:firstColumn="0" w:lastColumn="0" w:oddVBand="0" w:evenVBand="0" w:oddHBand="1" w:evenHBand="0" w:firstRowFirstColumn="0" w:firstRowLastColumn="0" w:lastRowFirstColumn="0" w:lastRowLastColumn="0"/>
              <w:rPr>
                <w:rFonts w:cstheme="minorHAnsi"/>
                <w:lang w:val="en-GB"/>
              </w:rPr>
            </w:pPr>
            <w:r w:rsidRPr="00A34060">
              <w:rPr>
                <w:rFonts w:cstheme="minorHAnsi"/>
                <w:lang w:val="en-GB"/>
              </w:rPr>
              <w:t>Discuss limitations of the estimates. Include a discussion of any modelling assumptions or data limitations that affect interpretation of the estimates.</w:t>
            </w:r>
          </w:p>
        </w:tc>
        <w:tc>
          <w:tcPr>
            <w:tcW w:w="2428" w:type="dxa"/>
            <w:shd w:val="clear" w:color="auto" w:fill="auto"/>
          </w:tcPr>
          <w:p w14:paraId="7F66CEA3" w14:textId="4A4333E5" w:rsidR="0066139F" w:rsidRPr="00A34060" w:rsidRDefault="00DE4ECF" w:rsidP="00C94FBC">
            <w:pPr>
              <w:cnfStyle w:val="000000100000" w:firstRow="0" w:lastRow="0" w:firstColumn="0" w:lastColumn="0" w:oddVBand="0" w:evenVBand="0" w:oddHBand="1" w:evenHBand="0" w:firstRowFirstColumn="0" w:firstRowLastColumn="0" w:lastRowFirstColumn="0" w:lastRowLastColumn="0"/>
              <w:rPr>
                <w:rFonts w:cstheme="minorHAnsi"/>
                <w:lang w:val="en-GB"/>
              </w:rPr>
            </w:pPr>
            <w:r>
              <w:rPr>
                <w:rFonts w:cstheme="minorHAnsi"/>
                <w:lang w:val="en-GB"/>
              </w:rPr>
              <w:t>Paragraph 4 of discussion</w:t>
            </w:r>
          </w:p>
        </w:tc>
      </w:tr>
    </w:tbl>
    <w:p w14:paraId="2640EB27" w14:textId="77777777" w:rsidR="0066139F" w:rsidRPr="00A34060" w:rsidRDefault="0066139F" w:rsidP="0066139F">
      <w:pPr>
        <w:autoSpaceDE w:val="0"/>
        <w:autoSpaceDN w:val="0"/>
        <w:adjustRightInd w:val="0"/>
        <w:rPr>
          <w:rFonts w:cstheme="minorHAnsi"/>
          <w:szCs w:val="22"/>
          <w:lang w:val="en-GB"/>
        </w:rPr>
      </w:pPr>
    </w:p>
    <w:p w14:paraId="6D1330CC" w14:textId="0605A7CE" w:rsidR="002A4AF9" w:rsidRPr="00A34060" w:rsidRDefault="03C7B32C" w:rsidP="0003642E">
      <w:pPr>
        <w:pStyle w:val="Heading1"/>
        <w:rPr>
          <w:color w:val="FF0000"/>
          <w:lang w:val="en-GB"/>
        </w:rPr>
      </w:pPr>
      <w:bookmarkStart w:id="3" w:name="_Toc94512103"/>
      <w:r w:rsidRPr="03C7B32C">
        <w:rPr>
          <w:lang w:val="en-GB"/>
        </w:rPr>
        <w:t>2.  Data identification, access and initial inclusion</w:t>
      </w:r>
      <w:bookmarkEnd w:id="3"/>
    </w:p>
    <w:p w14:paraId="6A0165CB" w14:textId="07BDB7E1" w:rsidR="005F1777" w:rsidRPr="00A34060" w:rsidRDefault="03C7B32C" w:rsidP="03C7B32C">
      <w:pPr>
        <w:autoSpaceDE w:val="0"/>
        <w:autoSpaceDN w:val="0"/>
        <w:adjustRightInd w:val="0"/>
        <w:rPr>
          <w:rFonts w:cstheme="minorBidi"/>
        </w:rPr>
      </w:pPr>
      <w:r w:rsidRPr="03C7B32C">
        <w:rPr>
          <w:rFonts w:cstheme="minorBidi"/>
          <w:lang w:val="en-GB"/>
        </w:rPr>
        <w:t>Following advice from the Advisory Panel to USAID Advancing Nutrition, an initial set of six sentinel micronutrients were selected for which (1) biomarkers are commonly collected at the population level along with other micronutrient biomarkers within the same individuals, (2) the consequences of deficiency can be severe and long-term, and (3) prevalence of deficiency is high in many countries. The micronutrients selected as sentinel micronutrients were iron, vitamin A, zinc, vitamin B</w:t>
      </w:r>
      <w:r w:rsidRPr="03C7B32C">
        <w:rPr>
          <w:rFonts w:cstheme="minorBidi"/>
          <w:vertAlign w:val="subscript"/>
          <w:lang w:val="en-GB"/>
        </w:rPr>
        <w:t>12</w:t>
      </w:r>
      <w:r w:rsidRPr="03C7B32C">
        <w:rPr>
          <w:rFonts w:cstheme="minorBidi"/>
          <w:lang w:val="en-GB"/>
        </w:rPr>
        <w:t>, folate, and vitamin D.</w:t>
      </w:r>
      <w:r w:rsidRPr="03C7B32C">
        <w:rPr>
          <w:rFonts w:cstheme="minorBidi"/>
        </w:rPr>
        <w:t xml:space="preserve"> Iodine was excluded because it is not typically measured along with other micronutrient status biomarkers within the same individuals. </w:t>
      </w:r>
      <w:r w:rsidRPr="03C7B32C">
        <w:rPr>
          <w:rFonts w:cstheme="minorBidi"/>
          <w:lang w:val="en-GB"/>
        </w:rPr>
        <w:t>Population-level biomarker data are collected in population-based household surveys, in which blood samples are collected from a randomly selected sample of a population (hereafter called nutrition surveys). These nutrition surveys were the primary data source for this analysis.</w:t>
      </w:r>
    </w:p>
    <w:p w14:paraId="05C25326" w14:textId="77777777" w:rsidR="005F1777" w:rsidRPr="00A34060" w:rsidRDefault="005F1777" w:rsidP="00C47972">
      <w:pPr>
        <w:rPr>
          <w:rFonts w:cstheme="minorHAnsi"/>
          <w:szCs w:val="22"/>
          <w:lang w:val="en-GB"/>
        </w:rPr>
      </w:pPr>
    </w:p>
    <w:p w14:paraId="6D1330CE" w14:textId="1443F9A0" w:rsidR="002A4AF9" w:rsidRPr="00A34060" w:rsidRDefault="0009674E" w:rsidP="03C7B32C">
      <w:pPr>
        <w:rPr>
          <w:rFonts w:cstheme="minorBidi"/>
          <w:lang w:val="en-GB"/>
        </w:rPr>
      </w:pPr>
      <w:r w:rsidRPr="03C7B32C">
        <w:rPr>
          <w:rFonts w:cstheme="minorBidi"/>
          <w:lang w:val="en-GB"/>
        </w:rPr>
        <w:lastRenderedPageBreak/>
        <w:t>The aim of this analysis is to determine the prevalence of at least on</w:t>
      </w:r>
      <w:r w:rsidR="00895C2B" w:rsidRPr="03C7B32C">
        <w:rPr>
          <w:rFonts w:cstheme="minorBidi"/>
          <w:lang w:val="en-GB"/>
        </w:rPr>
        <w:t>e</w:t>
      </w:r>
      <w:r w:rsidRPr="03C7B32C">
        <w:rPr>
          <w:rFonts w:cstheme="minorBidi"/>
          <w:lang w:val="en-GB"/>
        </w:rPr>
        <w:t xml:space="preserve"> micronutrient deficiency, which requires information on the overlap among multiple micronutrient deficiencies at the individual level.  Such data are not typically reported </w:t>
      </w:r>
      <w:r w:rsidR="000E52D2" w:rsidRPr="03C7B32C">
        <w:rPr>
          <w:rFonts w:cstheme="minorBidi"/>
          <w:lang w:val="en-GB"/>
        </w:rPr>
        <w:t xml:space="preserve">together with the results of </w:t>
      </w:r>
      <w:r w:rsidR="0043535B" w:rsidRPr="03C7B32C">
        <w:rPr>
          <w:rFonts w:cstheme="minorBidi"/>
          <w:lang w:val="en-GB"/>
        </w:rPr>
        <w:t xml:space="preserve">nutrition surveys, which </w:t>
      </w:r>
      <w:r w:rsidR="00386A08" w:rsidRPr="03C7B32C">
        <w:rPr>
          <w:rFonts w:cstheme="minorBidi"/>
          <w:lang w:val="en-GB"/>
        </w:rPr>
        <w:t xml:space="preserve">are </w:t>
      </w:r>
      <w:r w:rsidR="000158A2" w:rsidRPr="03C7B32C">
        <w:rPr>
          <w:rFonts w:cstheme="minorBidi"/>
          <w:lang w:val="en-GB"/>
        </w:rPr>
        <w:t xml:space="preserve">generally </w:t>
      </w:r>
      <w:r w:rsidR="00386A08" w:rsidRPr="03C7B32C">
        <w:rPr>
          <w:rFonts w:cstheme="minorBidi"/>
          <w:lang w:val="en-GB"/>
        </w:rPr>
        <w:t>limited to</w:t>
      </w:r>
      <w:r w:rsidR="00B82405" w:rsidRPr="03C7B32C">
        <w:rPr>
          <w:rFonts w:cstheme="minorBidi"/>
          <w:lang w:val="en-GB"/>
        </w:rPr>
        <w:t xml:space="preserve"> reporting</w:t>
      </w:r>
      <w:r w:rsidR="0043535B" w:rsidRPr="03C7B32C">
        <w:rPr>
          <w:rFonts w:cstheme="minorBidi"/>
          <w:lang w:val="en-GB"/>
        </w:rPr>
        <w:t xml:space="preserve"> the prevalence of each micronutrient deficiency separately</w:t>
      </w:r>
      <w:r w:rsidR="000E52D2" w:rsidRPr="03C7B32C">
        <w:rPr>
          <w:rFonts w:cstheme="minorBidi"/>
          <w:lang w:val="en-GB"/>
        </w:rPr>
        <w:t xml:space="preserve">. </w:t>
      </w:r>
      <w:r w:rsidR="00844744" w:rsidRPr="03C7B32C">
        <w:rPr>
          <w:rFonts w:cstheme="minorBidi"/>
          <w:lang w:val="en-GB"/>
        </w:rPr>
        <w:t>Therefore, o</w:t>
      </w:r>
      <w:r w:rsidR="00702B6E" w:rsidRPr="03C7B32C">
        <w:rPr>
          <w:rFonts w:cstheme="minorBidi"/>
          <w:lang w:val="en-GB"/>
        </w:rPr>
        <w:t xml:space="preserve">ur data search and access strategy </w:t>
      </w:r>
      <w:proofErr w:type="gramStart"/>
      <w:r w:rsidR="00844744" w:rsidRPr="03C7B32C">
        <w:rPr>
          <w:rFonts w:cstheme="minorBidi"/>
          <w:lang w:val="en-GB"/>
        </w:rPr>
        <w:t>was</w:t>
      </w:r>
      <w:proofErr w:type="gramEnd"/>
      <w:r w:rsidR="00844744" w:rsidRPr="03C7B32C">
        <w:rPr>
          <w:rFonts w:cstheme="minorBidi"/>
          <w:lang w:val="en-GB"/>
        </w:rPr>
        <w:t xml:space="preserve"> designed to </w:t>
      </w:r>
      <w:r w:rsidR="00702B6E" w:rsidRPr="03C7B32C">
        <w:rPr>
          <w:rFonts w:cstheme="minorBidi"/>
          <w:lang w:val="en-GB"/>
        </w:rPr>
        <w:t>obtain</w:t>
      </w:r>
      <w:r w:rsidR="00844744" w:rsidRPr="03C7B32C">
        <w:rPr>
          <w:rFonts w:cstheme="minorBidi"/>
          <w:lang w:val="en-GB"/>
        </w:rPr>
        <w:t xml:space="preserve"> access to individual-level nutrition survey databases</w:t>
      </w:r>
      <w:r w:rsidR="00C5721F" w:rsidRPr="03C7B32C">
        <w:rPr>
          <w:rFonts w:cstheme="minorBidi"/>
          <w:lang w:val="en-GB"/>
        </w:rPr>
        <w:t>, while ensuring that the sources were representative of the population at the national level or at least three first-level administrative divisions within the country. Our primary source of data was datasets already compiled by the BRINDA collaboration</w:t>
      </w:r>
      <w:r w:rsidR="00C5721F" w:rsidRPr="00197A04">
        <w:rPr>
          <w:rStyle w:val="FootnoteReference"/>
        </w:rPr>
        <w:footnoteReference w:id="3"/>
      </w:r>
      <w:r w:rsidR="00C5721F" w:rsidRPr="03C7B32C">
        <w:rPr>
          <w:rFonts w:cstheme="minorBidi"/>
          <w:lang w:val="en-GB"/>
        </w:rPr>
        <w:t xml:space="preserve">, which were all assessed for inclusion. A supplemental search was conducted to identify </w:t>
      </w:r>
      <w:r w:rsidR="00AF43AE" w:rsidRPr="03C7B32C">
        <w:rPr>
          <w:rFonts w:cstheme="minorBidi"/>
          <w:lang w:val="en-GB"/>
        </w:rPr>
        <w:t xml:space="preserve">additional </w:t>
      </w:r>
      <w:r w:rsidR="00C5721F" w:rsidRPr="03C7B32C">
        <w:rPr>
          <w:rFonts w:cstheme="minorBidi"/>
          <w:lang w:val="en-GB"/>
        </w:rPr>
        <w:t xml:space="preserve">datasets, particularly recent nationally representative datasets from countries with large populations. We searched “micronutrient deficiencies” and “country name” for the 50 most populous countries in Google and Google Scholar and reviewed the first 10 results from each search, sorted by relevance. </w:t>
      </w:r>
      <w:r w:rsidR="00F97F55" w:rsidRPr="03C7B32C">
        <w:rPr>
          <w:rFonts w:cstheme="minorBidi"/>
          <w:lang w:val="en-GB"/>
        </w:rPr>
        <w:t>W</w:t>
      </w:r>
      <w:r w:rsidR="00C5721F" w:rsidRPr="03C7B32C">
        <w:rPr>
          <w:rFonts w:cstheme="minorBidi"/>
          <w:lang w:val="en-GB"/>
        </w:rPr>
        <w:t xml:space="preserve">e reviewed the </w:t>
      </w:r>
      <w:r w:rsidR="00E2440F" w:rsidRPr="03C7B32C">
        <w:rPr>
          <w:rFonts w:cstheme="minorBidi"/>
          <w:lang w:val="en-GB"/>
        </w:rPr>
        <w:t xml:space="preserve">Micronutrients Database of the </w:t>
      </w:r>
      <w:r w:rsidR="00C5721F" w:rsidRPr="03C7B32C">
        <w:rPr>
          <w:rFonts w:cstheme="minorBidi"/>
          <w:lang w:val="en-GB"/>
        </w:rPr>
        <w:t>WHO Vitamin and Mineral Nutrition Information System</w:t>
      </w:r>
      <w:r w:rsidR="00F97F55" w:rsidRPr="03C7B32C">
        <w:rPr>
          <w:rFonts w:cstheme="minorBidi"/>
          <w:lang w:val="en-GB"/>
        </w:rPr>
        <w:t xml:space="preserve"> and reached out to our network of collaborators and the </w:t>
      </w:r>
      <w:r w:rsidR="00DC12AD" w:rsidRPr="03C7B32C">
        <w:rPr>
          <w:rFonts w:cstheme="minorBidi"/>
          <w:lang w:val="en-GB"/>
        </w:rPr>
        <w:t xml:space="preserve">expert advisory group supporting this analysis for </w:t>
      </w:r>
      <w:r w:rsidR="001A495D" w:rsidRPr="03C7B32C">
        <w:rPr>
          <w:rFonts w:cstheme="minorBidi"/>
          <w:lang w:val="en-GB"/>
        </w:rPr>
        <w:t>additional</w:t>
      </w:r>
      <w:r w:rsidR="00DC12AD" w:rsidRPr="03C7B32C">
        <w:rPr>
          <w:rFonts w:cstheme="minorBidi"/>
          <w:lang w:val="en-GB"/>
        </w:rPr>
        <w:t xml:space="preserve"> data sets</w:t>
      </w:r>
      <w:r w:rsidR="00C5721F" w:rsidRPr="03C7B32C">
        <w:rPr>
          <w:rFonts w:cstheme="minorBidi"/>
          <w:lang w:val="en-GB"/>
        </w:rPr>
        <w:t>. We requested access to all additional qualifying datasets identified from this supplemental search process.</w:t>
      </w:r>
    </w:p>
    <w:p w14:paraId="31D32A3E" w14:textId="77777777" w:rsidR="005F1777" w:rsidRPr="00A34060" w:rsidRDefault="005F1777" w:rsidP="00A726CD">
      <w:pPr>
        <w:autoSpaceDE w:val="0"/>
        <w:autoSpaceDN w:val="0"/>
        <w:adjustRightInd w:val="0"/>
        <w:rPr>
          <w:rFonts w:cstheme="minorHAnsi"/>
          <w:szCs w:val="22"/>
          <w:lang w:val="en-GB"/>
        </w:rPr>
      </w:pPr>
    </w:p>
    <w:p w14:paraId="6D1330D0" w14:textId="03865876" w:rsidR="002A4AF9" w:rsidRPr="00A34060" w:rsidRDefault="002A4AF9" w:rsidP="00A726CD">
      <w:pPr>
        <w:autoSpaceDE w:val="0"/>
        <w:autoSpaceDN w:val="0"/>
        <w:adjustRightInd w:val="0"/>
        <w:rPr>
          <w:rFonts w:cstheme="minorHAnsi"/>
          <w:szCs w:val="22"/>
          <w:lang w:val="en-GB"/>
        </w:rPr>
      </w:pPr>
      <w:r w:rsidRPr="00A34060">
        <w:rPr>
          <w:rFonts w:cstheme="minorHAnsi"/>
          <w:szCs w:val="22"/>
          <w:lang w:val="en-GB"/>
        </w:rPr>
        <w:t xml:space="preserve">We </w:t>
      </w:r>
      <w:r w:rsidR="00C81C44" w:rsidRPr="00A34060">
        <w:rPr>
          <w:rFonts w:cstheme="minorHAnsi"/>
          <w:szCs w:val="22"/>
          <w:lang w:val="en-GB"/>
        </w:rPr>
        <w:t xml:space="preserve">initially </w:t>
      </w:r>
      <w:r w:rsidRPr="00A34060">
        <w:rPr>
          <w:rFonts w:cstheme="minorHAnsi"/>
          <w:szCs w:val="22"/>
          <w:lang w:val="en-GB"/>
        </w:rPr>
        <w:t>included data sources if:</w:t>
      </w:r>
    </w:p>
    <w:p w14:paraId="75943DB6" w14:textId="45C6AD1E" w:rsidR="00C065F9" w:rsidRDefault="03C7B32C" w:rsidP="03C7B32C">
      <w:pPr>
        <w:pStyle w:val="ListParagraph"/>
        <w:numPr>
          <w:ilvl w:val="0"/>
          <w:numId w:val="2"/>
        </w:numPr>
        <w:autoSpaceDE w:val="0"/>
        <w:autoSpaceDN w:val="0"/>
        <w:adjustRightInd w:val="0"/>
        <w:rPr>
          <w:rFonts w:cstheme="minorBidi"/>
          <w:lang w:val="en-GB"/>
        </w:rPr>
      </w:pPr>
      <w:r w:rsidRPr="03C7B32C">
        <w:rPr>
          <w:rFonts w:cstheme="minorBidi"/>
          <w:lang w:val="en-GB"/>
        </w:rPr>
        <w:t xml:space="preserve">Plasma or serum (hereafter referred to as serum) concentrations of biomarkers of at least two of six sentinel micronutrients—serum ferritin, serum retinol or retinol-binding protein </w:t>
      </w:r>
      <w:r w:rsidR="00B168BE">
        <w:rPr>
          <w:rFonts w:cstheme="minorBidi"/>
          <w:lang w:val="en-GB"/>
        </w:rPr>
        <w:t>(RBP</w:t>
      </w:r>
      <w:r w:rsidRPr="03C7B32C">
        <w:rPr>
          <w:rFonts w:cstheme="minorBidi"/>
          <w:lang w:val="en-GB"/>
        </w:rPr>
        <w:t>),</w:t>
      </w:r>
      <w:r w:rsidR="00B168BE">
        <w:rPr>
          <w:rFonts w:cstheme="minorBidi"/>
          <w:lang w:val="en-GB"/>
        </w:rPr>
        <w:t xml:space="preserve"> </w:t>
      </w:r>
      <w:r w:rsidRPr="03C7B32C">
        <w:rPr>
          <w:rFonts w:cstheme="minorBidi"/>
          <w:lang w:val="en-GB"/>
        </w:rPr>
        <w:t>serum zinc, serum folate or red blood cell (RBC) folate, serum vitamin B</w:t>
      </w:r>
      <w:r w:rsidRPr="03C7B32C">
        <w:rPr>
          <w:rFonts w:cstheme="minorBidi"/>
          <w:vertAlign w:val="subscript"/>
          <w:lang w:val="en-GB"/>
        </w:rPr>
        <w:t>12</w:t>
      </w:r>
      <w:r w:rsidRPr="03C7B32C">
        <w:rPr>
          <w:rFonts w:cstheme="minorBidi"/>
          <w:lang w:val="en-GB"/>
        </w:rPr>
        <w:t>, and serum 25(OH)D—were measured in children aged 6-59 months or non-pregnant women aged 15-49 years;</w:t>
      </w:r>
    </w:p>
    <w:p w14:paraId="0226B345" w14:textId="6763F98E" w:rsidR="003115AB" w:rsidRPr="00A34060" w:rsidRDefault="003115AB" w:rsidP="00C065F9">
      <w:pPr>
        <w:pStyle w:val="ListParagraph"/>
        <w:numPr>
          <w:ilvl w:val="0"/>
          <w:numId w:val="2"/>
        </w:numPr>
        <w:autoSpaceDE w:val="0"/>
        <w:autoSpaceDN w:val="0"/>
        <w:adjustRightInd w:val="0"/>
        <w:rPr>
          <w:rFonts w:cstheme="minorHAnsi"/>
          <w:szCs w:val="22"/>
          <w:lang w:val="en-GB"/>
        </w:rPr>
      </w:pPr>
      <w:r w:rsidRPr="00A34060">
        <w:rPr>
          <w:rFonts w:cstheme="minorHAnsi"/>
          <w:szCs w:val="22"/>
          <w:lang w:val="en-GB"/>
        </w:rPr>
        <w:t>C-reactive protein</w:t>
      </w:r>
      <w:r>
        <w:rPr>
          <w:rFonts w:cstheme="minorHAnsi"/>
          <w:szCs w:val="22"/>
          <w:lang w:val="en-GB"/>
        </w:rPr>
        <w:t xml:space="preserve"> (CRP) or </w:t>
      </w:r>
      <w:r w:rsidRPr="00A34060">
        <w:rPr>
          <w:rFonts w:cstheme="minorHAnsi"/>
          <w:szCs w:val="22"/>
          <w:lang w:val="en-GB"/>
        </w:rPr>
        <w:t>α-1-acid-glycoprotein</w:t>
      </w:r>
      <w:r>
        <w:rPr>
          <w:rFonts w:cstheme="minorHAnsi"/>
          <w:szCs w:val="22"/>
          <w:lang w:val="en-GB"/>
        </w:rPr>
        <w:t xml:space="preserve"> (AGP) was measured in the same population;</w:t>
      </w:r>
    </w:p>
    <w:p w14:paraId="39C1E092" w14:textId="007DBD97" w:rsidR="00C065F9" w:rsidRPr="00A34060" w:rsidRDefault="00C065F9" w:rsidP="00C065F9">
      <w:pPr>
        <w:pStyle w:val="ListParagraph"/>
        <w:numPr>
          <w:ilvl w:val="0"/>
          <w:numId w:val="2"/>
        </w:numPr>
        <w:autoSpaceDE w:val="0"/>
        <w:autoSpaceDN w:val="0"/>
        <w:adjustRightInd w:val="0"/>
        <w:rPr>
          <w:rFonts w:cstheme="minorHAnsi"/>
          <w:szCs w:val="22"/>
          <w:lang w:val="en-GB"/>
        </w:rPr>
      </w:pPr>
      <w:r w:rsidRPr="00A34060">
        <w:rPr>
          <w:rFonts w:cstheme="minorHAnsi"/>
          <w:szCs w:val="22"/>
          <w:lang w:val="en-GB"/>
        </w:rPr>
        <w:t xml:space="preserve">a probabilistic sampling method with a defined sampling frame was used and data were representative of at least three </w:t>
      </w:r>
      <w:r w:rsidR="00BD4EBC" w:rsidRPr="00A34060">
        <w:rPr>
          <w:rFonts w:cstheme="minorHAnsi"/>
          <w:szCs w:val="22"/>
          <w:lang w:val="en-GB"/>
        </w:rPr>
        <w:t>first administrative units</w:t>
      </w:r>
      <w:r w:rsidRPr="00A34060">
        <w:rPr>
          <w:rFonts w:cstheme="minorHAnsi"/>
          <w:szCs w:val="22"/>
          <w:lang w:val="en-GB"/>
        </w:rPr>
        <w:t xml:space="preserve"> within a country;</w:t>
      </w:r>
    </w:p>
    <w:p w14:paraId="5DD10A51" w14:textId="36147A84" w:rsidR="00C065F9" w:rsidRPr="00A34060" w:rsidRDefault="00C065F9" w:rsidP="00C065F9">
      <w:pPr>
        <w:pStyle w:val="ListParagraph"/>
        <w:numPr>
          <w:ilvl w:val="0"/>
          <w:numId w:val="2"/>
        </w:numPr>
        <w:autoSpaceDE w:val="0"/>
        <w:autoSpaceDN w:val="0"/>
        <w:adjustRightInd w:val="0"/>
        <w:rPr>
          <w:rFonts w:cstheme="minorHAnsi"/>
          <w:szCs w:val="22"/>
          <w:lang w:val="en-GB"/>
        </w:rPr>
      </w:pPr>
      <w:r w:rsidRPr="00A34060">
        <w:rPr>
          <w:rFonts w:cstheme="minorHAnsi"/>
          <w:szCs w:val="22"/>
          <w:lang w:val="en-GB"/>
        </w:rPr>
        <w:t xml:space="preserve">data were collected in or after </w:t>
      </w:r>
      <w:r w:rsidR="00F035A9" w:rsidRPr="00A34060">
        <w:rPr>
          <w:rFonts w:cstheme="minorHAnsi"/>
          <w:szCs w:val="22"/>
          <w:lang w:val="en-GB"/>
        </w:rPr>
        <w:t>200</w:t>
      </w:r>
      <w:r w:rsidRPr="00A34060">
        <w:rPr>
          <w:rFonts w:cstheme="minorHAnsi"/>
          <w:szCs w:val="22"/>
          <w:lang w:val="en-GB"/>
        </w:rPr>
        <w:t xml:space="preserve">5; </w:t>
      </w:r>
      <w:r w:rsidR="001B478C" w:rsidRPr="00A34060">
        <w:rPr>
          <w:rFonts w:cstheme="minorHAnsi"/>
          <w:szCs w:val="22"/>
          <w:lang w:val="en-GB"/>
        </w:rPr>
        <w:t>and</w:t>
      </w:r>
    </w:p>
    <w:p w14:paraId="4AACF72A" w14:textId="5B7936B7" w:rsidR="001B478C" w:rsidRPr="00A34060" w:rsidRDefault="001B478C" w:rsidP="00C065F9">
      <w:pPr>
        <w:pStyle w:val="ListParagraph"/>
        <w:numPr>
          <w:ilvl w:val="0"/>
          <w:numId w:val="2"/>
        </w:numPr>
        <w:autoSpaceDE w:val="0"/>
        <w:autoSpaceDN w:val="0"/>
        <w:adjustRightInd w:val="0"/>
        <w:rPr>
          <w:rFonts w:cstheme="minorHAnsi"/>
          <w:szCs w:val="22"/>
          <w:lang w:val="en-GB"/>
        </w:rPr>
      </w:pPr>
      <w:r w:rsidRPr="00A34060">
        <w:rPr>
          <w:rFonts w:cstheme="minorHAnsi"/>
          <w:szCs w:val="22"/>
          <w:lang w:val="en-GB"/>
        </w:rPr>
        <w:t xml:space="preserve">we were able to obtain </w:t>
      </w:r>
      <w:r w:rsidR="009E4AF7">
        <w:rPr>
          <w:rFonts w:cstheme="minorHAnsi"/>
          <w:szCs w:val="22"/>
          <w:lang w:val="en-GB"/>
        </w:rPr>
        <w:t xml:space="preserve">anonymized </w:t>
      </w:r>
      <w:r w:rsidRPr="00A34060">
        <w:rPr>
          <w:rFonts w:cstheme="minorHAnsi"/>
          <w:szCs w:val="22"/>
          <w:lang w:val="en-GB"/>
        </w:rPr>
        <w:t>individual-level data for reanalysis.</w:t>
      </w:r>
    </w:p>
    <w:p w14:paraId="4B8ACB20" w14:textId="77777777" w:rsidR="00872883" w:rsidRPr="00A34060" w:rsidRDefault="00872883" w:rsidP="0003642E">
      <w:pPr>
        <w:autoSpaceDE w:val="0"/>
        <w:autoSpaceDN w:val="0"/>
        <w:adjustRightInd w:val="0"/>
        <w:rPr>
          <w:rFonts w:cstheme="minorHAnsi"/>
          <w:szCs w:val="22"/>
          <w:lang w:val="en-GB"/>
        </w:rPr>
      </w:pPr>
    </w:p>
    <w:p w14:paraId="54638043" w14:textId="32328C82" w:rsidR="00B0632A" w:rsidRPr="005A1303" w:rsidRDefault="03C7B32C" w:rsidP="03C7B32C">
      <w:pPr>
        <w:autoSpaceDE w:val="0"/>
        <w:autoSpaceDN w:val="0"/>
        <w:adjustRightInd w:val="0"/>
        <w:rPr>
          <w:rFonts w:cstheme="minorBidi"/>
        </w:rPr>
      </w:pPr>
      <w:r w:rsidRPr="03C7B32C">
        <w:rPr>
          <w:rFonts w:cstheme="minorBidi"/>
          <w:lang w:val="en-GB"/>
        </w:rPr>
        <w:t xml:space="preserve">From the individual-level data, we included data on children aged 6 to 59 months and non-pregnant women aged 15 to 49 years. Measurement of </w:t>
      </w:r>
      <w:r w:rsidR="00047F71">
        <w:rPr>
          <w:rFonts w:cstheme="minorBidi"/>
          <w:lang w:val="en-GB"/>
        </w:rPr>
        <w:t>biomarkers of</w:t>
      </w:r>
      <w:r w:rsidRPr="03C7B32C">
        <w:rPr>
          <w:rFonts w:cstheme="minorBidi"/>
          <w:lang w:val="en-GB"/>
        </w:rPr>
        <w:t xml:space="preserve"> micronutrient status in children younger than 6 months of age is not common in surveys because it requires a blood sample. For this reason, most data sources excluded infants younger than 6 months by design. Some surveys that were designed to capture children under 5 years of age included some children who were 60 months of age; we included the measurements on </w:t>
      </w:r>
      <w:r w:rsidRPr="03C7B32C">
        <w:rPr>
          <w:rFonts w:cstheme="minorBidi"/>
          <w:lang w:val="en-GB"/>
        </w:rPr>
        <w:lastRenderedPageBreak/>
        <w:t>60-month-old children. Some data sources did not cover the full target age range. We included these data as long as any children 6-59 months or non-pregnant women aged 15-49 years were included in the study/survey sample. Age ranges for each included data source are reported in Section 5. We included data collected in or after 2005, in order to maximize inclusion of recent surveys in low-and-middle income countries, without including older data from high-income countries.</w:t>
      </w:r>
    </w:p>
    <w:p w14:paraId="08C7A639" w14:textId="77777777" w:rsidR="009338AD" w:rsidRPr="00A34060" w:rsidRDefault="009338AD" w:rsidP="0003642E">
      <w:pPr>
        <w:autoSpaceDE w:val="0"/>
        <w:autoSpaceDN w:val="0"/>
        <w:adjustRightInd w:val="0"/>
        <w:rPr>
          <w:rFonts w:cstheme="minorHAnsi"/>
          <w:szCs w:val="22"/>
          <w:lang w:val="en-GB"/>
        </w:rPr>
      </w:pPr>
    </w:p>
    <w:p w14:paraId="050D5FA2" w14:textId="24793836" w:rsidR="004D7BAA" w:rsidRPr="00A34060" w:rsidRDefault="00E62F6E" w:rsidP="004D7BAA">
      <w:pPr>
        <w:autoSpaceDE w:val="0"/>
        <w:autoSpaceDN w:val="0"/>
        <w:adjustRightInd w:val="0"/>
        <w:rPr>
          <w:rFonts w:cstheme="minorHAnsi"/>
          <w:szCs w:val="22"/>
          <w:lang w:val="en-GB"/>
        </w:rPr>
      </w:pPr>
      <w:r w:rsidRPr="00A34060">
        <w:rPr>
          <w:rFonts w:cstheme="minorHAnsi"/>
          <w:szCs w:val="22"/>
          <w:lang w:val="en-GB"/>
        </w:rPr>
        <w:t xml:space="preserve">All </w:t>
      </w:r>
      <w:r w:rsidR="00516F0A">
        <w:rPr>
          <w:rFonts w:cstheme="minorHAnsi"/>
          <w:szCs w:val="22"/>
          <w:lang w:val="en-GB"/>
        </w:rPr>
        <w:t>biomarker</w:t>
      </w:r>
      <w:r w:rsidRPr="00A34060">
        <w:rPr>
          <w:rFonts w:cstheme="minorHAnsi"/>
          <w:szCs w:val="22"/>
          <w:lang w:val="en-GB"/>
        </w:rPr>
        <w:t xml:space="preserve"> data were </w:t>
      </w:r>
      <w:r w:rsidR="007475D3" w:rsidRPr="00A34060">
        <w:rPr>
          <w:rFonts w:cstheme="minorHAnsi"/>
          <w:szCs w:val="22"/>
          <w:lang w:val="en-GB"/>
        </w:rPr>
        <w:t>converted</w:t>
      </w:r>
      <w:r w:rsidRPr="00A34060">
        <w:rPr>
          <w:rFonts w:cstheme="minorHAnsi"/>
          <w:szCs w:val="22"/>
          <w:lang w:val="en-GB"/>
        </w:rPr>
        <w:t xml:space="preserve"> to SI units. </w:t>
      </w:r>
      <w:r w:rsidR="000F0B91" w:rsidRPr="00A34060">
        <w:rPr>
          <w:rFonts w:cstheme="minorHAnsi"/>
          <w:szCs w:val="22"/>
          <w:lang w:val="en-GB"/>
        </w:rPr>
        <w:t>To identify possible error co</w:t>
      </w:r>
      <w:r w:rsidR="0004240B" w:rsidRPr="00A34060">
        <w:rPr>
          <w:rFonts w:cstheme="minorHAnsi"/>
          <w:szCs w:val="22"/>
          <w:lang w:val="en-GB"/>
        </w:rPr>
        <w:t xml:space="preserve">des or other </w:t>
      </w:r>
      <w:r w:rsidR="00401410">
        <w:rPr>
          <w:rFonts w:cstheme="minorHAnsi"/>
          <w:szCs w:val="22"/>
          <w:lang w:val="en-GB"/>
        </w:rPr>
        <w:t>data quality issues</w:t>
      </w:r>
      <w:r w:rsidR="0004240B" w:rsidRPr="00A34060">
        <w:rPr>
          <w:rFonts w:cstheme="minorHAnsi"/>
          <w:szCs w:val="22"/>
          <w:lang w:val="en-GB"/>
        </w:rPr>
        <w:t xml:space="preserve">, discrete histograms </w:t>
      </w:r>
      <w:r w:rsidR="00401410">
        <w:rPr>
          <w:rFonts w:cstheme="minorHAnsi"/>
          <w:szCs w:val="22"/>
          <w:lang w:val="en-GB"/>
        </w:rPr>
        <w:t>of</w:t>
      </w:r>
      <w:r w:rsidR="0004240B" w:rsidRPr="00A34060">
        <w:rPr>
          <w:rFonts w:cstheme="minorHAnsi"/>
          <w:szCs w:val="22"/>
          <w:lang w:val="en-GB"/>
        </w:rPr>
        <w:t xml:space="preserve"> </w:t>
      </w:r>
      <w:r w:rsidR="00401410">
        <w:rPr>
          <w:rFonts w:cstheme="minorHAnsi"/>
          <w:szCs w:val="22"/>
          <w:lang w:val="en-GB"/>
        </w:rPr>
        <w:t xml:space="preserve">biomarker </w:t>
      </w:r>
      <w:r w:rsidR="005214B7" w:rsidRPr="00A34060">
        <w:rPr>
          <w:rFonts w:cstheme="minorHAnsi"/>
          <w:szCs w:val="22"/>
          <w:lang w:val="en-GB"/>
        </w:rPr>
        <w:t>or inflammation marker</w:t>
      </w:r>
      <w:r w:rsidR="00401410">
        <w:rPr>
          <w:rFonts w:cstheme="minorHAnsi"/>
          <w:szCs w:val="22"/>
          <w:lang w:val="en-GB"/>
        </w:rPr>
        <w:t xml:space="preserve"> values</w:t>
      </w:r>
      <w:r w:rsidR="005214B7" w:rsidRPr="00A34060">
        <w:rPr>
          <w:rFonts w:cstheme="minorHAnsi"/>
          <w:szCs w:val="22"/>
          <w:lang w:val="en-GB"/>
        </w:rPr>
        <w:t xml:space="preserve"> and were </w:t>
      </w:r>
      <w:r w:rsidR="00401410">
        <w:rPr>
          <w:rFonts w:cstheme="minorHAnsi"/>
          <w:szCs w:val="22"/>
          <w:lang w:val="en-GB"/>
        </w:rPr>
        <w:t xml:space="preserve">visually </w:t>
      </w:r>
      <w:r w:rsidR="005214B7" w:rsidRPr="00A34060">
        <w:rPr>
          <w:rFonts w:cstheme="minorHAnsi"/>
          <w:szCs w:val="22"/>
          <w:lang w:val="en-GB"/>
        </w:rPr>
        <w:t xml:space="preserve">inspected. </w:t>
      </w:r>
      <w:r w:rsidR="004D7BAA" w:rsidRPr="00A34060">
        <w:rPr>
          <w:rFonts w:cstheme="minorHAnsi"/>
          <w:szCs w:val="22"/>
          <w:lang w:val="en-GB"/>
        </w:rPr>
        <w:t>Based on these inspections, we excluded the following data:</w:t>
      </w:r>
    </w:p>
    <w:p w14:paraId="572BC2AE" w14:textId="297FBE5C" w:rsidR="004D7BAA" w:rsidRPr="00A34060" w:rsidRDefault="00965C46" w:rsidP="00F168C0">
      <w:pPr>
        <w:pStyle w:val="ListParagraph"/>
        <w:numPr>
          <w:ilvl w:val="0"/>
          <w:numId w:val="9"/>
        </w:numPr>
        <w:autoSpaceDE w:val="0"/>
        <w:autoSpaceDN w:val="0"/>
        <w:adjustRightInd w:val="0"/>
        <w:rPr>
          <w:rFonts w:cstheme="minorHAnsi"/>
          <w:szCs w:val="22"/>
          <w:lang w:val="en-GB"/>
        </w:rPr>
      </w:pPr>
      <w:r w:rsidRPr="00A34060">
        <w:rPr>
          <w:rFonts w:cstheme="minorHAnsi"/>
          <w:szCs w:val="22"/>
          <w:lang w:val="en-GB"/>
        </w:rPr>
        <w:t xml:space="preserve">serum folate data, Pakistan 2011 </w:t>
      </w:r>
      <w:r w:rsidR="005877C2" w:rsidRPr="00A34060">
        <w:rPr>
          <w:rFonts w:cstheme="minorHAnsi"/>
          <w:szCs w:val="22"/>
          <w:lang w:val="en-GB"/>
        </w:rPr>
        <w:t>non-pregnant women</w:t>
      </w:r>
      <w:r w:rsidR="00CF5C39" w:rsidRPr="00A34060">
        <w:rPr>
          <w:rFonts w:cstheme="minorHAnsi"/>
          <w:szCs w:val="22"/>
          <w:lang w:val="en-GB"/>
        </w:rPr>
        <w:t xml:space="preserve">: </w:t>
      </w:r>
      <w:r w:rsidR="00C22B62" w:rsidRPr="00A34060">
        <w:rPr>
          <w:rFonts w:cstheme="minorHAnsi"/>
          <w:szCs w:val="22"/>
          <w:lang w:val="en-GB"/>
        </w:rPr>
        <w:t>40% of observations were at the lower</w:t>
      </w:r>
      <w:r w:rsidR="000B4EFC" w:rsidRPr="00A34060">
        <w:rPr>
          <w:rFonts w:cstheme="minorHAnsi"/>
          <w:szCs w:val="22"/>
          <w:lang w:val="en-GB"/>
        </w:rPr>
        <w:t xml:space="preserve"> (1.42)</w:t>
      </w:r>
      <w:r w:rsidR="00C22B62" w:rsidRPr="00A34060">
        <w:rPr>
          <w:rFonts w:cstheme="minorHAnsi"/>
          <w:szCs w:val="22"/>
          <w:lang w:val="en-GB"/>
        </w:rPr>
        <w:t xml:space="preserve"> or upper </w:t>
      </w:r>
      <w:r w:rsidR="000B4EFC" w:rsidRPr="00A34060">
        <w:rPr>
          <w:rFonts w:cstheme="minorHAnsi"/>
          <w:szCs w:val="22"/>
          <w:lang w:val="en-GB"/>
        </w:rPr>
        <w:t xml:space="preserve">(45.3) bounds of the distribution. </w:t>
      </w:r>
    </w:p>
    <w:p w14:paraId="3FBB8B07" w14:textId="6DBF12D9" w:rsidR="00AA34C8" w:rsidRPr="00A34060" w:rsidRDefault="0051438B" w:rsidP="00F168C0">
      <w:pPr>
        <w:pStyle w:val="ListParagraph"/>
        <w:numPr>
          <w:ilvl w:val="0"/>
          <w:numId w:val="9"/>
        </w:numPr>
        <w:autoSpaceDE w:val="0"/>
        <w:autoSpaceDN w:val="0"/>
        <w:adjustRightInd w:val="0"/>
        <w:rPr>
          <w:rFonts w:cstheme="minorHAnsi"/>
          <w:szCs w:val="22"/>
          <w:lang w:val="en-GB"/>
        </w:rPr>
      </w:pPr>
      <w:r w:rsidRPr="00A34060">
        <w:rPr>
          <w:rFonts w:cstheme="minorHAnsi"/>
          <w:szCs w:val="22"/>
          <w:lang w:val="en-GB"/>
        </w:rPr>
        <w:t>s</w:t>
      </w:r>
      <w:r w:rsidR="00AA34C8" w:rsidRPr="00A34060">
        <w:rPr>
          <w:rFonts w:cstheme="minorHAnsi"/>
          <w:szCs w:val="22"/>
          <w:lang w:val="en-GB"/>
        </w:rPr>
        <w:t>erum B</w:t>
      </w:r>
      <w:r w:rsidR="00AA34C8" w:rsidRPr="00A34060">
        <w:rPr>
          <w:rFonts w:cstheme="minorHAnsi"/>
          <w:szCs w:val="22"/>
          <w:vertAlign w:val="subscript"/>
          <w:lang w:val="en-GB"/>
        </w:rPr>
        <w:t>12</w:t>
      </w:r>
      <w:r w:rsidR="00AA34C8" w:rsidRPr="00A34060">
        <w:rPr>
          <w:rFonts w:cstheme="minorHAnsi"/>
          <w:szCs w:val="22"/>
          <w:lang w:val="en-GB"/>
        </w:rPr>
        <w:t xml:space="preserve"> data, Ethiopia 2015 </w:t>
      </w:r>
      <w:r w:rsidR="0014759F" w:rsidRPr="00A34060">
        <w:rPr>
          <w:rFonts w:cstheme="minorHAnsi"/>
          <w:szCs w:val="22"/>
          <w:lang w:val="en-GB"/>
        </w:rPr>
        <w:t>pre-school aged children: the serum B</w:t>
      </w:r>
      <w:r w:rsidR="0014759F" w:rsidRPr="00A34060">
        <w:rPr>
          <w:rFonts w:cstheme="minorHAnsi"/>
          <w:szCs w:val="22"/>
          <w:vertAlign w:val="subscript"/>
          <w:lang w:val="en-GB"/>
        </w:rPr>
        <w:t>12</w:t>
      </w:r>
      <w:r w:rsidR="0014759F" w:rsidRPr="00A34060">
        <w:rPr>
          <w:rFonts w:cstheme="minorHAnsi"/>
          <w:szCs w:val="22"/>
          <w:lang w:val="en-GB"/>
        </w:rPr>
        <w:t xml:space="preserve"> distribution was bimodal </w:t>
      </w:r>
      <w:r w:rsidRPr="00A34060">
        <w:rPr>
          <w:rFonts w:cstheme="minorHAnsi"/>
          <w:szCs w:val="22"/>
          <w:lang w:val="en-GB"/>
        </w:rPr>
        <w:t xml:space="preserve">(which is atypical) </w:t>
      </w:r>
      <w:r w:rsidR="0014759F" w:rsidRPr="00A34060">
        <w:rPr>
          <w:rFonts w:cstheme="minorHAnsi"/>
          <w:szCs w:val="22"/>
          <w:lang w:val="en-GB"/>
        </w:rPr>
        <w:t>and the data were not included in the survey’s final report.</w:t>
      </w:r>
    </w:p>
    <w:p w14:paraId="0AA6F536" w14:textId="2BFAD0B6" w:rsidR="00214DD3" w:rsidRPr="00A34060" w:rsidRDefault="004D7BAA" w:rsidP="0003642E">
      <w:pPr>
        <w:autoSpaceDE w:val="0"/>
        <w:autoSpaceDN w:val="0"/>
        <w:adjustRightInd w:val="0"/>
        <w:rPr>
          <w:rFonts w:cstheme="minorHAnsi"/>
          <w:szCs w:val="22"/>
          <w:lang w:val="en-GB"/>
        </w:rPr>
      </w:pPr>
      <w:r w:rsidRPr="00A34060">
        <w:rPr>
          <w:rFonts w:cstheme="minorHAnsi"/>
          <w:szCs w:val="22"/>
          <w:lang w:val="en-GB"/>
        </w:rPr>
        <w:t xml:space="preserve">In </w:t>
      </w:r>
      <w:r w:rsidR="00C66382" w:rsidRPr="00A34060">
        <w:rPr>
          <w:rFonts w:cstheme="minorHAnsi"/>
          <w:szCs w:val="22"/>
          <w:lang w:val="en-GB"/>
        </w:rPr>
        <w:t>other</w:t>
      </w:r>
      <w:r w:rsidRPr="00A34060">
        <w:rPr>
          <w:rFonts w:cstheme="minorHAnsi"/>
          <w:szCs w:val="22"/>
          <w:lang w:val="en-GB"/>
        </w:rPr>
        <w:t xml:space="preserve"> survey-</w:t>
      </w:r>
      <w:r w:rsidR="00401410">
        <w:rPr>
          <w:rFonts w:cstheme="minorHAnsi"/>
          <w:szCs w:val="22"/>
          <w:lang w:val="en-GB"/>
        </w:rPr>
        <w:t>biomarker</w:t>
      </w:r>
      <w:r w:rsidRPr="00A34060">
        <w:rPr>
          <w:rFonts w:cstheme="minorHAnsi"/>
          <w:szCs w:val="22"/>
          <w:lang w:val="en-GB"/>
        </w:rPr>
        <w:t xml:space="preserve"> pairs, </w:t>
      </w:r>
      <w:r w:rsidR="00C66382" w:rsidRPr="00A34060">
        <w:rPr>
          <w:rFonts w:cstheme="minorHAnsi"/>
          <w:szCs w:val="22"/>
          <w:lang w:val="en-GB"/>
        </w:rPr>
        <w:t xml:space="preserve">up to </w:t>
      </w:r>
      <w:r w:rsidRPr="00A34060">
        <w:rPr>
          <w:rFonts w:cstheme="minorHAnsi"/>
          <w:szCs w:val="22"/>
          <w:lang w:val="en-GB"/>
        </w:rPr>
        <w:t>10% of observations were assigned a plausible low or high value</w:t>
      </w:r>
      <w:r w:rsidR="00C66382" w:rsidRPr="00A34060">
        <w:rPr>
          <w:rFonts w:cstheme="minorHAnsi"/>
          <w:szCs w:val="22"/>
          <w:lang w:val="en-GB"/>
        </w:rPr>
        <w:t>, which</w:t>
      </w:r>
      <w:r w:rsidRPr="00A34060">
        <w:rPr>
          <w:rFonts w:cstheme="minorHAnsi"/>
          <w:szCs w:val="22"/>
          <w:lang w:val="en-GB"/>
        </w:rPr>
        <w:t xml:space="preserve"> were presumed to be values that were below or above the analytical limit of detection</w:t>
      </w:r>
      <w:r w:rsidR="00C66382" w:rsidRPr="00A34060">
        <w:rPr>
          <w:rFonts w:cstheme="minorHAnsi"/>
          <w:szCs w:val="22"/>
          <w:lang w:val="en-GB"/>
        </w:rPr>
        <w:t xml:space="preserve">. These </w:t>
      </w:r>
      <w:r w:rsidRPr="00A34060">
        <w:rPr>
          <w:rFonts w:cstheme="minorHAnsi"/>
          <w:szCs w:val="22"/>
          <w:lang w:val="en-GB"/>
        </w:rPr>
        <w:t>data were included</w:t>
      </w:r>
      <w:r w:rsidR="00641845">
        <w:rPr>
          <w:rFonts w:cstheme="minorHAnsi"/>
          <w:szCs w:val="22"/>
          <w:lang w:val="en-GB"/>
        </w:rPr>
        <w:t xml:space="preserve">, as is appropriate when computing </w:t>
      </w:r>
      <w:r w:rsidR="000F2EBD">
        <w:rPr>
          <w:rFonts w:cstheme="minorHAnsi"/>
          <w:szCs w:val="22"/>
          <w:lang w:val="en-GB"/>
        </w:rPr>
        <w:t>prevalence estimates</w:t>
      </w:r>
      <w:r w:rsidRPr="00A34060">
        <w:rPr>
          <w:rFonts w:cstheme="minorHAnsi"/>
          <w:szCs w:val="22"/>
          <w:lang w:val="en-GB"/>
        </w:rPr>
        <w:t>.</w:t>
      </w:r>
    </w:p>
    <w:p w14:paraId="17F03931" w14:textId="77777777" w:rsidR="004D7BAA" w:rsidRDefault="004D7BAA" w:rsidP="0003642E">
      <w:pPr>
        <w:autoSpaceDE w:val="0"/>
        <w:autoSpaceDN w:val="0"/>
        <w:adjustRightInd w:val="0"/>
        <w:rPr>
          <w:rFonts w:cstheme="minorHAnsi"/>
          <w:szCs w:val="22"/>
          <w:lang w:val="en-GB"/>
        </w:rPr>
      </w:pPr>
    </w:p>
    <w:p w14:paraId="4C4D728D" w14:textId="3B6CBF77" w:rsidR="00D536DB" w:rsidRDefault="00BF0C20" w:rsidP="00D536DB">
      <w:pPr>
        <w:autoSpaceDE w:val="0"/>
        <w:autoSpaceDN w:val="0"/>
        <w:adjustRightInd w:val="0"/>
        <w:rPr>
          <w:rFonts w:cstheme="minorHAnsi"/>
          <w:szCs w:val="22"/>
          <w:lang w:val="en-GB"/>
        </w:rPr>
      </w:pPr>
      <w:r>
        <w:rPr>
          <w:rFonts w:cstheme="minorHAnsi"/>
          <w:szCs w:val="22"/>
          <w:lang w:val="en-GB"/>
        </w:rPr>
        <w:t>E</w:t>
      </w:r>
      <w:r w:rsidR="0050055A" w:rsidRPr="00A34060">
        <w:rPr>
          <w:rFonts w:cstheme="minorHAnsi"/>
          <w:szCs w:val="22"/>
          <w:lang w:val="en-GB"/>
        </w:rPr>
        <w:t xml:space="preserve">xclusion of biologically implausible values </w:t>
      </w:r>
      <w:r w:rsidR="00E2440F" w:rsidRPr="00A34060">
        <w:rPr>
          <w:rFonts w:cstheme="minorHAnsi"/>
          <w:szCs w:val="22"/>
          <w:lang w:val="en-GB"/>
        </w:rPr>
        <w:t xml:space="preserve">is recommended when </w:t>
      </w:r>
      <w:r w:rsidR="00401410" w:rsidRPr="00A34060">
        <w:rPr>
          <w:rFonts w:cstheme="minorHAnsi"/>
          <w:szCs w:val="22"/>
          <w:lang w:val="en-GB"/>
        </w:rPr>
        <w:t>analysing</w:t>
      </w:r>
      <w:r w:rsidR="00E2440F" w:rsidRPr="00A34060">
        <w:rPr>
          <w:rFonts w:cstheme="minorHAnsi"/>
          <w:szCs w:val="22"/>
          <w:lang w:val="en-GB"/>
        </w:rPr>
        <w:t xml:space="preserve"> nutrition survey data, </w:t>
      </w:r>
      <w:r w:rsidR="00017A14">
        <w:rPr>
          <w:rFonts w:cstheme="minorHAnsi"/>
          <w:szCs w:val="22"/>
          <w:lang w:val="en-GB"/>
        </w:rPr>
        <w:t xml:space="preserve">however, </w:t>
      </w:r>
      <w:r w:rsidR="0050055A" w:rsidRPr="00A34060">
        <w:rPr>
          <w:rFonts w:cstheme="minorHAnsi"/>
          <w:szCs w:val="22"/>
          <w:lang w:val="en-GB"/>
        </w:rPr>
        <w:t>standard</w:t>
      </w:r>
      <w:r w:rsidR="007C50E9" w:rsidRPr="00A34060">
        <w:rPr>
          <w:rFonts w:cstheme="minorHAnsi"/>
          <w:szCs w:val="22"/>
          <w:lang w:val="en-GB"/>
        </w:rPr>
        <w:t xml:space="preserve"> plausible</w:t>
      </w:r>
      <w:r w:rsidR="0050055A" w:rsidRPr="00A34060">
        <w:rPr>
          <w:rFonts w:cstheme="minorHAnsi"/>
          <w:szCs w:val="22"/>
          <w:lang w:val="en-GB"/>
        </w:rPr>
        <w:t xml:space="preserve"> </w:t>
      </w:r>
      <w:r w:rsidR="007C50E9" w:rsidRPr="00A34060">
        <w:rPr>
          <w:rFonts w:cstheme="minorHAnsi"/>
          <w:szCs w:val="22"/>
          <w:lang w:val="en-GB"/>
        </w:rPr>
        <w:t xml:space="preserve">ranges are not currently </w:t>
      </w:r>
      <w:r w:rsidR="00A33842">
        <w:rPr>
          <w:rFonts w:cstheme="minorHAnsi"/>
          <w:szCs w:val="22"/>
          <w:lang w:val="en-GB"/>
        </w:rPr>
        <w:t>well defined</w:t>
      </w:r>
      <w:r w:rsidR="00A33842" w:rsidRPr="00A34060">
        <w:rPr>
          <w:rFonts w:cstheme="minorHAnsi"/>
          <w:szCs w:val="22"/>
          <w:lang w:val="en-GB"/>
        </w:rPr>
        <w:t xml:space="preserve"> </w:t>
      </w:r>
      <w:r w:rsidR="001C5FDE" w:rsidRPr="00A34060">
        <w:rPr>
          <w:rFonts w:cstheme="minorHAnsi"/>
          <w:szCs w:val="22"/>
          <w:lang w:val="en-GB"/>
        </w:rPr>
        <w:fldChar w:fldCharType="begin" w:fldLock="1"/>
      </w:r>
      <w:r w:rsidR="00DA42B2">
        <w:rPr>
          <w:rFonts w:cstheme="minorHAnsi"/>
          <w:szCs w:val="22"/>
          <w:lang w:val="en-GB"/>
        </w:rPr>
        <w:instrText>ADDIN CSL_CITATION {"citationItems":[{"id":"ITEM-1","itemData":{"author":[{"dropping-particle":"","family":"Centers for Disease Control and Prevention","given":"","non-dropping-particle":"","parse-names":false,"suffix":""},{"dropping-particle":"","family":"World Health Organization","given":"","non-dropping-particle":"","parse-names":false,"suffix":""},{"dropping-particle":"","family":"Nutrition International","given":"","non-dropping-particle":"","parse-names":false,"suffix":""},{"dropping-particle":"","family":"UNICEF","given":"","non-dropping-particle":"","parse-names":false,"suffix":""}],"id":"ITEM-1","issued":{"date-parts":[["2020"]]},"number-of-pages":"191","publisher-place":"Geneva","title":"Micronutrient survey manual","type":"report"},"uris":["http://www.mendeley.com/documents/?uuid=8916eb3b-e6b9-4d0a-9308-94496a5e695e"]}],"mendeley":{"formattedCitation":"(2)","plainTextFormattedCitation":"(2)","previouslyFormattedCitation":"(2)"},"properties":{"noteIndex":0},"schema":"https://github.com/citation-style-language/schema/raw/master/csl-citation.json"}</w:instrText>
      </w:r>
      <w:r w:rsidR="001C5FDE" w:rsidRPr="00A34060">
        <w:rPr>
          <w:rFonts w:cstheme="minorHAnsi"/>
          <w:szCs w:val="22"/>
          <w:lang w:val="en-GB"/>
        </w:rPr>
        <w:fldChar w:fldCharType="separate"/>
      </w:r>
      <w:r w:rsidR="001C5FDE" w:rsidRPr="001C5FDE">
        <w:rPr>
          <w:rFonts w:cstheme="minorHAnsi"/>
          <w:noProof/>
          <w:szCs w:val="22"/>
          <w:lang w:val="en-GB"/>
        </w:rPr>
        <w:t>(2)</w:t>
      </w:r>
      <w:r w:rsidR="001C5FDE" w:rsidRPr="00A34060">
        <w:rPr>
          <w:rFonts w:cstheme="minorHAnsi"/>
          <w:szCs w:val="22"/>
          <w:lang w:val="en-GB"/>
        </w:rPr>
        <w:fldChar w:fldCharType="end"/>
      </w:r>
      <w:r w:rsidR="007C50E9" w:rsidRPr="00A34060">
        <w:rPr>
          <w:rFonts w:cstheme="minorHAnsi"/>
          <w:szCs w:val="22"/>
          <w:lang w:val="en-GB"/>
        </w:rPr>
        <w:t xml:space="preserve">. </w:t>
      </w:r>
      <w:r w:rsidR="00AB3EEC" w:rsidRPr="00A34060">
        <w:rPr>
          <w:rFonts w:cstheme="minorHAnsi"/>
          <w:szCs w:val="22"/>
          <w:lang w:val="en-GB"/>
        </w:rPr>
        <w:t>I</w:t>
      </w:r>
      <w:r w:rsidR="007C50E9" w:rsidRPr="00A34060">
        <w:rPr>
          <w:rFonts w:cstheme="minorHAnsi"/>
          <w:szCs w:val="22"/>
          <w:lang w:val="en-GB"/>
        </w:rPr>
        <w:t xml:space="preserve">mplausible values </w:t>
      </w:r>
      <w:r w:rsidR="00AB3EEC" w:rsidRPr="00A34060">
        <w:rPr>
          <w:rFonts w:cstheme="minorHAnsi"/>
          <w:szCs w:val="22"/>
          <w:lang w:val="en-GB"/>
        </w:rPr>
        <w:t>have the potential to bias regression coefficients</w:t>
      </w:r>
      <w:r w:rsidR="00401410">
        <w:rPr>
          <w:rFonts w:cstheme="minorHAnsi"/>
          <w:szCs w:val="22"/>
          <w:lang w:val="en-GB"/>
        </w:rPr>
        <w:t>. In contrast, infrequent implausible values</w:t>
      </w:r>
      <w:r w:rsidR="00214DD3" w:rsidRPr="00A34060">
        <w:rPr>
          <w:rFonts w:cstheme="minorHAnsi"/>
          <w:szCs w:val="22"/>
          <w:lang w:val="en-GB"/>
        </w:rPr>
        <w:t xml:space="preserve"> </w:t>
      </w:r>
      <w:r w:rsidR="00401410">
        <w:rPr>
          <w:rFonts w:cstheme="minorHAnsi"/>
          <w:szCs w:val="22"/>
          <w:lang w:val="en-GB"/>
        </w:rPr>
        <w:t>will have a limited effect on prevalence values</w:t>
      </w:r>
      <w:r w:rsidR="00214DD3" w:rsidRPr="00A34060">
        <w:rPr>
          <w:rFonts w:cstheme="minorHAnsi"/>
          <w:szCs w:val="22"/>
          <w:lang w:val="en-GB"/>
        </w:rPr>
        <w:t>.</w:t>
      </w:r>
      <w:r w:rsidR="000047E4" w:rsidRPr="00A34060">
        <w:rPr>
          <w:rFonts w:cstheme="minorHAnsi"/>
          <w:szCs w:val="22"/>
          <w:lang w:val="en-GB"/>
        </w:rPr>
        <w:t xml:space="preserve"> </w:t>
      </w:r>
      <w:r w:rsidR="00401410">
        <w:rPr>
          <w:rFonts w:cstheme="minorHAnsi"/>
          <w:szCs w:val="22"/>
          <w:lang w:val="en-GB"/>
        </w:rPr>
        <w:t>Visual i</w:t>
      </w:r>
      <w:r w:rsidR="000047E4" w:rsidRPr="00A34060">
        <w:rPr>
          <w:rFonts w:cstheme="minorHAnsi"/>
          <w:szCs w:val="22"/>
          <w:lang w:val="en-GB"/>
        </w:rPr>
        <w:t xml:space="preserve">nspection of </w:t>
      </w:r>
      <w:r w:rsidR="00635752" w:rsidRPr="00A34060">
        <w:rPr>
          <w:rFonts w:cstheme="minorHAnsi"/>
          <w:szCs w:val="22"/>
          <w:lang w:val="en-GB"/>
        </w:rPr>
        <w:t xml:space="preserve">discrete histograms </w:t>
      </w:r>
      <w:r w:rsidR="00401410">
        <w:rPr>
          <w:rFonts w:cstheme="minorHAnsi"/>
          <w:szCs w:val="22"/>
          <w:lang w:val="en-GB"/>
        </w:rPr>
        <w:t xml:space="preserve">(described above) </w:t>
      </w:r>
      <w:r w:rsidR="00635752" w:rsidRPr="00A34060">
        <w:rPr>
          <w:rFonts w:cstheme="minorHAnsi"/>
          <w:szCs w:val="22"/>
          <w:lang w:val="en-GB"/>
        </w:rPr>
        <w:t>revealed few apparent implausible values in the included datasets.</w:t>
      </w:r>
      <w:r w:rsidR="00214DD3" w:rsidRPr="00A34060">
        <w:rPr>
          <w:rFonts w:cstheme="minorHAnsi"/>
          <w:szCs w:val="22"/>
          <w:lang w:val="en-GB"/>
        </w:rPr>
        <w:t xml:space="preserve"> </w:t>
      </w:r>
      <w:r w:rsidR="00A61ADB" w:rsidRPr="00A34060">
        <w:rPr>
          <w:rFonts w:cstheme="minorHAnsi"/>
          <w:szCs w:val="22"/>
          <w:lang w:val="en-GB"/>
        </w:rPr>
        <w:t xml:space="preserve">Because </w:t>
      </w:r>
      <w:r w:rsidR="00946276">
        <w:rPr>
          <w:rFonts w:cstheme="minorHAnsi"/>
          <w:szCs w:val="22"/>
          <w:lang w:val="en-GB"/>
        </w:rPr>
        <w:t xml:space="preserve">apparent </w:t>
      </w:r>
      <w:r w:rsidR="00A61ADB" w:rsidRPr="00A34060">
        <w:rPr>
          <w:rFonts w:cstheme="minorHAnsi"/>
          <w:szCs w:val="22"/>
          <w:lang w:val="en-GB"/>
        </w:rPr>
        <w:t xml:space="preserve">outliers were infrequent, </w:t>
      </w:r>
      <w:r w:rsidR="00B97DA1" w:rsidRPr="00A34060">
        <w:rPr>
          <w:rFonts w:cstheme="minorHAnsi"/>
          <w:szCs w:val="22"/>
          <w:lang w:val="en-GB"/>
        </w:rPr>
        <w:t xml:space="preserve">the </w:t>
      </w:r>
      <w:r w:rsidR="00946276">
        <w:rPr>
          <w:rFonts w:cstheme="minorHAnsi"/>
          <w:szCs w:val="22"/>
          <w:lang w:val="en-GB"/>
        </w:rPr>
        <w:t>main motivation for</w:t>
      </w:r>
      <w:r w:rsidR="00B97DA1" w:rsidRPr="00A34060">
        <w:rPr>
          <w:rFonts w:cstheme="minorHAnsi"/>
          <w:szCs w:val="22"/>
          <w:lang w:val="en-GB"/>
        </w:rPr>
        <w:t xml:space="preserve"> removing implausible values is to avoid biasing regression coefficients</w:t>
      </w:r>
      <w:r w:rsidR="00A61ADB" w:rsidRPr="00A34060">
        <w:rPr>
          <w:rFonts w:cstheme="minorHAnsi"/>
          <w:szCs w:val="22"/>
          <w:lang w:val="en-GB"/>
        </w:rPr>
        <w:t xml:space="preserve">. Therefore, </w:t>
      </w:r>
      <w:r w:rsidR="00A94A83" w:rsidRPr="00A34060">
        <w:rPr>
          <w:rFonts w:cstheme="minorHAnsi"/>
          <w:szCs w:val="22"/>
          <w:lang w:val="en-GB"/>
        </w:rPr>
        <w:t>outliers were</w:t>
      </w:r>
      <w:r w:rsidR="00946276">
        <w:rPr>
          <w:rFonts w:cstheme="minorHAnsi"/>
          <w:szCs w:val="22"/>
          <w:lang w:val="en-GB"/>
        </w:rPr>
        <w:t xml:space="preserve"> identified considering the distribution of</w:t>
      </w:r>
      <w:r w:rsidR="00D45588" w:rsidRPr="00A34060">
        <w:rPr>
          <w:rFonts w:cstheme="minorHAnsi"/>
          <w:szCs w:val="22"/>
          <w:lang w:val="en-GB"/>
        </w:rPr>
        <w:t xml:space="preserve"> logged values of biomarkers </w:t>
      </w:r>
      <w:r w:rsidR="00E2440F" w:rsidRPr="00A34060">
        <w:rPr>
          <w:rFonts w:cstheme="minorHAnsi"/>
          <w:szCs w:val="22"/>
          <w:lang w:val="en-GB"/>
        </w:rPr>
        <w:t>included in adjustment</w:t>
      </w:r>
      <w:r w:rsidR="00D45588" w:rsidRPr="00A34060">
        <w:rPr>
          <w:rFonts w:cstheme="minorHAnsi"/>
          <w:szCs w:val="22"/>
          <w:lang w:val="en-GB"/>
        </w:rPr>
        <w:t xml:space="preserve"> regressions</w:t>
      </w:r>
      <w:r w:rsidR="00E2440F" w:rsidRPr="00A34060">
        <w:rPr>
          <w:rFonts w:cstheme="minorHAnsi"/>
          <w:szCs w:val="22"/>
          <w:lang w:val="en-GB"/>
        </w:rPr>
        <w:t xml:space="preserve"> (described in Section 3)</w:t>
      </w:r>
      <w:r w:rsidR="00AE544C" w:rsidRPr="00A34060">
        <w:rPr>
          <w:rFonts w:cstheme="minorHAnsi"/>
          <w:szCs w:val="22"/>
          <w:lang w:val="en-GB"/>
        </w:rPr>
        <w:t xml:space="preserve">. </w:t>
      </w:r>
      <w:r w:rsidR="00D45588" w:rsidRPr="00A34060">
        <w:rPr>
          <w:rFonts w:cstheme="minorHAnsi"/>
          <w:szCs w:val="22"/>
          <w:lang w:val="en-GB"/>
        </w:rPr>
        <w:t xml:space="preserve">Outliers were identified </w:t>
      </w:r>
      <w:r w:rsidR="00AA0006" w:rsidRPr="00A34060">
        <w:rPr>
          <w:rFonts w:cstheme="minorHAnsi"/>
          <w:szCs w:val="22"/>
          <w:lang w:val="en-GB"/>
        </w:rPr>
        <w:t xml:space="preserve">based on all individual-level data included from the BRINDA collaboration, which represents a wide range of populations and nutritional statuses. </w:t>
      </w:r>
      <w:r w:rsidR="00AE544C" w:rsidRPr="00A34060">
        <w:rPr>
          <w:rFonts w:cstheme="minorHAnsi"/>
          <w:szCs w:val="22"/>
          <w:lang w:val="en-GB"/>
        </w:rPr>
        <w:t>A</w:t>
      </w:r>
      <w:r w:rsidR="001E514F" w:rsidRPr="00A34060">
        <w:rPr>
          <w:rFonts w:cstheme="minorHAnsi"/>
          <w:szCs w:val="22"/>
          <w:lang w:val="en-GB"/>
        </w:rPr>
        <w:t xml:space="preserve"> conservative threshold was chosen: a</w:t>
      </w:r>
      <w:r w:rsidR="00AE544C" w:rsidRPr="00A34060">
        <w:rPr>
          <w:rFonts w:cstheme="minorHAnsi"/>
          <w:szCs w:val="22"/>
          <w:lang w:val="en-GB"/>
        </w:rPr>
        <w:t xml:space="preserve">ny value </w:t>
      </w:r>
      <w:r w:rsidR="009B3705" w:rsidRPr="00A34060">
        <w:rPr>
          <w:rFonts w:cstheme="minorHAnsi"/>
          <w:szCs w:val="22"/>
          <w:lang w:val="en-GB"/>
        </w:rPr>
        <w:t>greater than</w:t>
      </w:r>
      <w:r w:rsidR="00AE544C" w:rsidRPr="00A34060">
        <w:rPr>
          <w:rFonts w:cstheme="minorHAnsi"/>
          <w:szCs w:val="22"/>
          <w:lang w:val="en-GB"/>
        </w:rPr>
        <w:t xml:space="preserve"> six median absolute deviations (MADs) above the median</w:t>
      </w:r>
      <w:r w:rsidR="00D45588" w:rsidRPr="00A34060">
        <w:rPr>
          <w:rFonts w:cstheme="minorHAnsi"/>
          <w:szCs w:val="22"/>
          <w:lang w:val="en-GB"/>
        </w:rPr>
        <w:t xml:space="preserve"> log value</w:t>
      </w:r>
      <w:r w:rsidR="00AE544C" w:rsidRPr="00A34060">
        <w:rPr>
          <w:rFonts w:cstheme="minorHAnsi"/>
          <w:szCs w:val="22"/>
          <w:lang w:val="en-GB"/>
        </w:rPr>
        <w:t xml:space="preserve"> or </w:t>
      </w:r>
      <w:r w:rsidR="009B3705" w:rsidRPr="00A34060">
        <w:rPr>
          <w:rFonts w:cstheme="minorHAnsi"/>
          <w:szCs w:val="22"/>
          <w:lang w:val="en-GB"/>
        </w:rPr>
        <w:t>less than</w:t>
      </w:r>
      <w:r w:rsidR="00902CAD" w:rsidRPr="00A34060">
        <w:rPr>
          <w:rFonts w:cstheme="minorHAnsi"/>
          <w:szCs w:val="22"/>
          <w:lang w:val="en-GB"/>
        </w:rPr>
        <w:t xml:space="preserve"> six MADs below the median</w:t>
      </w:r>
      <w:r w:rsidR="00D45588" w:rsidRPr="00A34060">
        <w:rPr>
          <w:rFonts w:cstheme="minorHAnsi"/>
          <w:szCs w:val="22"/>
          <w:lang w:val="en-GB"/>
        </w:rPr>
        <w:t xml:space="preserve"> log value</w:t>
      </w:r>
      <w:r w:rsidR="00902CAD" w:rsidRPr="00A34060">
        <w:rPr>
          <w:rFonts w:cstheme="minorHAnsi"/>
          <w:szCs w:val="22"/>
          <w:lang w:val="en-GB"/>
        </w:rPr>
        <w:t xml:space="preserve"> was removed</w:t>
      </w:r>
      <w:r w:rsidR="00D45588" w:rsidRPr="00A34060">
        <w:rPr>
          <w:rFonts w:cstheme="minorHAnsi"/>
          <w:szCs w:val="22"/>
          <w:lang w:val="en-GB"/>
        </w:rPr>
        <w:t>.</w:t>
      </w:r>
      <w:r w:rsidR="00620080" w:rsidRPr="00A34060">
        <w:rPr>
          <w:rFonts w:cstheme="minorHAnsi"/>
          <w:szCs w:val="22"/>
          <w:lang w:val="en-GB"/>
        </w:rPr>
        <w:t xml:space="preserve"> </w:t>
      </w:r>
      <w:r w:rsidR="005F17B7" w:rsidRPr="00A34060">
        <w:rPr>
          <w:rFonts w:cstheme="minorHAnsi"/>
          <w:szCs w:val="22"/>
          <w:lang w:val="en-GB"/>
        </w:rPr>
        <w:t xml:space="preserve">Outlier thresholds are shown in </w:t>
      </w:r>
      <w:r w:rsidR="00DA2DD7">
        <w:rPr>
          <w:rFonts w:cstheme="minorHAnsi"/>
          <w:szCs w:val="22"/>
          <w:lang w:val="en-GB"/>
        </w:rPr>
        <w:t>Appendix Table</w:t>
      </w:r>
      <w:r w:rsidR="005F17B7" w:rsidRPr="00A34060">
        <w:rPr>
          <w:rFonts w:cstheme="minorHAnsi"/>
          <w:szCs w:val="22"/>
          <w:lang w:val="en-GB"/>
        </w:rPr>
        <w:t xml:space="preserve"> </w:t>
      </w:r>
      <w:r w:rsidR="00D536DB" w:rsidRPr="00A34060">
        <w:rPr>
          <w:rFonts w:cstheme="minorHAnsi"/>
          <w:szCs w:val="22"/>
          <w:lang w:val="en-GB"/>
        </w:rPr>
        <w:t>3</w:t>
      </w:r>
      <w:r w:rsidR="005F17B7" w:rsidRPr="00A34060">
        <w:rPr>
          <w:rFonts w:cstheme="minorHAnsi"/>
          <w:szCs w:val="22"/>
          <w:lang w:val="en-GB"/>
        </w:rPr>
        <w:t>.</w:t>
      </w:r>
      <w:r w:rsidR="00E6049B" w:rsidRPr="00A34060">
        <w:rPr>
          <w:rFonts w:cstheme="minorHAnsi"/>
          <w:szCs w:val="22"/>
          <w:lang w:val="en-GB"/>
        </w:rPr>
        <w:t xml:space="preserve"> </w:t>
      </w:r>
    </w:p>
    <w:p w14:paraId="39B41F71" w14:textId="77777777" w:rsidR="00017A14" w:rsidRDefault="00017A14" w:rsidP="00D536DB">
      <w:pPr>
        <w:autoSpaceDE w:val="0"/>
        <w:autoSpaceDN w:val="0"/>
        <w:adjustRightInd w:val="0"/>
        <w:rPr>
          <w:rFonts w:cstheme="minorHAnsi"/>
          <w:szCs w:val="22"/>
          <w:lang w:val="en-GB"/>
        </w:rPr>
      </w:pPr>
    </w:p>
    <w:p w14:paraId="5C520FB2" w14:textId="77777777" w:rsidR="00CB38FC" w:rsidRDefault="00CB38FC">
      <w:pPr>
        <w:spacing w:after="200" w:line="276" w:lineRule="auto"/>
        <w:rPr>
          <w:rFonts w:eastAsiaTheme="majorEastAsia" w:cstheme="minorBidi"/>
          <w:color w:val="243F60" w:themeColor="accent1" w:themeShade="7F"/>
          <w:szCs w:val="24"/>
          <w:lang w:val="en-GB"/>
        </w:rPr>
      </w:pPr>
      <w:r>
        <w:rPr>
          <w:rFonts w:cstheme="minorBidi"/>
          <w:lang w:val="en-GB"/>
        </w:rPr>
        <w:br w:type="page"/>
      </w:r>
    </w:p>
    <w:p w14:paraId="0BC7B9E1" w14:textId="763EA522" w:rsidR="00017A14" w:rsidRPr="00A34060" w:rsidRDefault="03C7B32C" w:rsidP="03C7B32C">
      <w:pPr>
        <w:pStyle w:val="Heading3"/>
        <w:rPr>
          <w:rFonts w:cstheme="minorBidi"/>
          <w:lang w:val="en-GB"/>
        </w:rPr>
      </w:pPr>
      <w:bookmarkStart w:id="4" w:name="_Toc94512104"/>
      <w:r w:rsidRPr="03C7B32C">
        <w:rPr>
          <w:rFonts w:cstheme="minorBidi"/>
          <w:lang w:val="en-GB"/>
        </w:rPr>
        <w:lastRenderedPageBreak/>
        <w:t>Appendix Table 3</w:t>
      </w:r>
      <w:r w:rsidRPr="03C7B32C">
        <w:rPr>
          <w:rFonts w:cstheme="minorBidi"/>
          <w:b/>
          <w:bCs/>
          <w:lang w:val="en-GB"/>
        </w:rPr>
        <w:t xml:space="preserve">. </w:t>
      </w:r>
      <w:r w:rsidRPr="03C7B32C">
        <w:rPr>
          <w:rFonts w:cstheme="minorBidi"/>
          <w:lang w:val="en-GB"/>
        </w:rPr>
        <w:t xml:space="preserve"> Thresholds for excluding outliers prior to fitting regressions to adjust for inflammation.</w:t>
      </w:r>
      <w:bookmarkEnd w:id="4"/>
    </w:p>
    <w:tbl>
      <w:tblPr>
        <w:tblW w:w="9140" w:type="dxa"/>
        <w:tblInd w:w="113" w:type="dxa"/>
        <w:tblLook w:val="04A0" w:firstRow="1" w:lastRow="0" w:firstColumn="1" w:lastColumn="0" w:noHBand="0" w:noVBand="1"/>
      </w:tblPr>
      <w:tblGrid>
        <w:gridCol w:w="1880"/>
        <w:gridCol w:w="1800"/>
        <w:gridCol w:w="1760"/>
        <w:gridCol w:w="1840"/>
        <w:gridCol w:w="1860"/>
      </w:tblGrid>
      <w:tr w:rsidR="00017A14" w:rsidRPr="00A34060" w14:paraId="2F15FD28" w14:textId="77777777" w:rsidTr="00C94FBC">
        <w:trPr>
          <w:trHeight w:val="645"/>
        </w:trPr>
        <w:tc>
          <w:tcPr>
            <w:tcW w:w="18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8329787" w14:textId="77777777" w:rsidR="00017A14" w:rsidRPr="00A34060" w:rsidRDefault="00017A14" w:rsidP="00C94FBC">
            <w:pPr>
              <w:rPr>
                <w:rFonts w:cstheme="minorHAnsi"/>
                <w:b/>
                <w:bCs/>
                <w:color w:val="000000"/>
                <w:szCs w:val="22"/>
                <w:lang w:eastAsia="en-US"/>
              </w:rPr>
            </w:pPr>
            <w:r w:rsidRPr="00A34060">
              <w:rPr>
                <w:rFonts w:cstheme="minorHAnsi"/>
                <w:b/>
                <w:bCs/>
                <w:color w:val="000000"/>
                <w:szCs w:val="22"/>
                <w:lang w:eastAsia="en-US"/>
              </w:rPr>
              <w:t> </w:t>
            </w:r>
          </w:p>
        </w:tc>
        <w:tc>
          <w:tcPr>
            <w:tcW w:w="3560" w:type="dxa"/>
            <w:gridSpan w:val="2"/>
            <w:tcBorders>
              <w:top w:val="single" w:sz="4" w:space="0" w:color="auto"/>
              <w:left w:val="nil"/>
              <w:bottom w:val="single" w:sz="4" w:space="0" w:color="auto"/>
              <w:right w:val="single" w:sz="4" w:space="0" w:color="auto"/>
            </w:tcBorders>
            <w:shd w:val="clear" w:color="auto" w:fill="auto"/>
            <w:vAlign w:val="bottom"/>
            <w:hideMark/>
          </w:tcPr>
          <w:p w14:paraId="17EBBEA8" w14:textId="1532D845" w:rsidR="00017A14" w:rsidRPr="00A34060" w:rsidRDefault="00017A14" w:rsidP="00C94FBC">
            <w:pPr>
              <w:jc w:val="center"/>
              <w:rPr>
                <w:rFonts w:cstheme="minorHAnsi"/>
                <w:b/>
                <w:bCs/>
                <w:color w:val="000000"/>
                <w:szCs w:val="22"/>
                <w:lang w:eastAsia="en-US"/>
              </w:rPr>
            </w:pPr>
            <w:r w:rsidRPr="00A34060">
              <w:rPr>
                <w:rFonts w:cstheme="minorHAnsi"/>
                <w:b/>
                <w:bCs/>
                <w:color w:val="000000"/>
                <w:szCs w:val="22"/>
                <w:lang w:eastAsia="en-US"/>
              </w:rPr>
              <w:t>Pre-school aged children</w:t>
            </w:r>
            <w:r w:rsidR="00946276">
              <w:rPr>
                <w:rFonts w:cstheme="minorHAnsi"/>
                <w:b/>
                <w:bCs/>
                <w:color w:val="000000"/>
                <w:szCs w:val="22"/>
                <w:lang w:eastAsia="en-US"/>
              </w:rPr>
              <w:t xml:space="preserve"> (6-59 months)</w:t>
            </w:r>
          </w:p>
        </w:tc>
        <w:tc>
          <w:tcPr>
            <w:tcW w:w="3700" w:type="dxa"/>
            <w:gridSpan w:val="2"/>
            <w:tcBorders>
              <w:top w:val="single" w:sz="4" w:space="0" w:color="auto"/>
              <w:left w:val="nil"/>
              <w:bottom w:val="single" w:sz="4" w:space="0" w:color="auto"/>
              <w:right w:val="single" w:sz="4" w:space="0" w:color="auto"/>
            </w:tcBorders>
            <w:shd w:val="clear" w:color="auto" w:fill="auto"/>
            <w:vAlign w:val="bottom"/>
            <w:hideMark/>
          </w:tcPr>
          <w:p w14:paraId="49FDF7BD" w14:textId="6E3527D4" w:rsidR="00017A14" w:rsidRPr="00A34060" w:rsidRDefault="00017A14" w:rsidP="00C94FBC">
            <w:pPr>
              <w:jc w:val="center"/>
              <w:rPr>
                <w:rFonts w:cstheme="minorHAnsi"/>
                <w:b/>
                <w:bCs/>
                <w:color w:val="000000"/>
                <w:szCs w:val="22"/>
                <w:lang w:eastAsia="en-US"/>
              </w:rPr>
            </w:pPr>
            <w:r w:rsidRPr="00A34060">
              <w:rPr>
                <w:rFonts w:cstheme="minorHAnsi"/>
                <w:b/>
                <w:bCs/>
                <w:color w:val="000000"/>
                <w:szCs w:val="22"/>
                <w:lang w:eastAsia="en-US"/>
              </w:rPr>
              <w:t>Non-pregnant women of reproductive age</w:t>
            </w:r>
            <w:r w:rsidR="00946276">
              <w:rPr>
                <w:rFonts w:cstheme="minorHAnsi"/>
                <w:b/>
                <w:bCs/>
                <w:color w:val="000000"/>
                <w:szCs w:val="22"/>
                <w:lang w:eastAsia="en-US"/>
              </w:rPr>
              <w:t xml:space="preserve"> (15-49 years)</w:t>
            </w:r>
          </w:p>
        </w:tc>
      </w:tr>
      <w:tr w:rsidR="00017A14" w:rsidRPr="00A34060" w14:paraId="4F9430CA" w14:textId="77777777" w:rsidTr="00C94FBC">
        <w:trPr>
          <w:trHeight w:val="750"/>
        </w:trPr>
        <w:tc>
          <w:tcPr>
            <w:tcW w:w="1880" w:type="dxa"/>
            <w:tcBorders>
              <w:top w:val="nil"/>
              <w:left w:val="single" w:sz="4" w:space="0" w:color="auto"/>
              <w:bottom w:val="single" w:sz="4" w:space="0" w:color="auto"/>
              <w:right w:val="single" w:sz="4" w:space="0" w:color="auto"/>
            </w:tcBorders>
            <w:shd w:val="clear" w:color="auto" w:fill="auto"/>
            <w:vAlign w:val="bottom"/>
            <w:hideMark/>
          </w:tcPr>
          <w:p w14:paraId="799DA5CB" w14:textId="77777777" w:rsidR="00017A14" w:rsidRPr="00A34060" w:rsidRDefault="00017A14" w:rsidP="00C94FBC">
            <w:pPr>
              <w:rPr>
                <w:rFonts w:cstheme="minorHAnsi"/>
                <w:b/>
                <w:bCs/>
                <w:color w:val="000000"/>
                <w:szCs w:val="22"/>
                <w:lang w:eastAsia="en-US"/>
              </w:rPr>
            </w:pPr>
            <w:r w:rsidRPr="00A34060">
              <w:rPr>
                <w:rFonts w:cstheme="minorHAnsi"/>
                <w:b/>
                <w:bCs/>
                <w:color w:val="000000"/>
                <w:szCs w:val="22"/>
                <w:lang w:eastAsia="en-US"/>
              </w:rPr>
              <w:t>Biomarker</w:t>
            </w:r>
          </w:p>
        </w:tc>
        <w:tc>
          <w:tcPr>
            <w:tcW w:w="1800" w:type="dxa"/>
            <w:tcBorders>
              <w:top w:val="nil"/>
              <w:left w:val="nil"/>
              <w:bottom w:val="single" w:sz="4" w:space="0" w:color="auto"/>
              <w:right w:val="single" w:sz="4" w:space="0" w:color="auto"/>
            </w:tcBorders>
            <w:shd w:val="clear" w:color="auto" w:fill="auto"/>
            <w:vAlign w:val="bottom"/>
            <w:hideMark/>
          </w:tcPr>
          <w:p w14:paraId="2FEE5AC7" w14:textId="77777777" w:rsidR="00017A14" w:rsidRPr="00A34060" w:rsidRDefault="00017A14" w:rsidP="00C94FBC">
            <w:pPr>
              <w:rPr>
                <w:rFonts w:cstheme="minorHAnsi"/>
                <w:b/>
                <w:bCs/>
                <w:color w:val="000000"/>
                <w:szCs w:val="22"/>
                <w:lang w:eastAsia="en-US"/>
              </w:rPr>
            </w:pPr>
            <w:r w:rsidRPr="00A34060">
              <w:rPr>
                <w:rFonts w:cstheme="minorHAnsi"/>
                <w:b/>
                <w:bCs/>
                <w:color w:val="000000"/>
                <w:szCs w:val="22"/>
                <w:lang w:eastAsia="en-US"/>
              </w:rPr>
              <w:t>Lower exclusion threshold</w:t>
            </w:r>
          </w:p>
        </w:tc>
        <w:tc>
          <w:tcPr>
            <w:tcW w:w="1760" w:type="dxa"/>
            <w:tcBorders>
              <w:top w:val="nil"/>
              <w:left w:val="nil"/>
              <w:bottom w:val="single" w:sz="4" w:space="0" w:color="auto"/>
              <w:right w:val="single" w:sz="4" w:space="0" w:color="auto"/>
            </w:tcBorders>
            <w:shd w:val="clear" w:color="auto" w:fill="auto"/>
            <w:vAlign w:val="bottom"/>
            <w:hideMark/>
          </w:tcPr>
          <w:p w14:paraId="661D4BD9" w14:textId="77777777" w:rsidR="00017A14" w:rsidRPr="00A34060" w:rsidRDefault="00017A14" w:rsidP="00C94FBC">
            <w:pPr>
              <w:rPr>
                <w:rFonts w:cstheme="minorHAnsi"/>
                <w:b/>
                <w:bCs/>
                <w:color w:val="000000"/>
                <w:szCs w:val="22"/>
                <w:lang w:eastAsia="en-US"/>
              </w:rPr>
            </w:pPr>
            <w:r w:rsidRPr="00A34060">
              <w:rPr>
                <w:rFonts w:cstheme="minorHAnsi"/>
                <w:b/>
                <w:bCs/>
                <w:color w:val="000000"/>
                <w:szCs w:val="22"/>
                <w:lang w:eastAsia="en-US"/>
              </w:rPr>
              <w:t>Upper exclusion threshold</w:t>
            </w:r>
          </w:p>
        </w:tc>
        <w:tc>
          <w:tcPr>
            <w:tcW w:w="1840" w:type="dxa"/>
            <w:tcBorders>
              <w:top w:val="nil"/>
              <w:left w:val="nil"/>
              <w:bottom w:val="single" w:sz="4" w:space="0" w:color="auto"/>
              <w:right w:val="single" w:sz="4" w:space="0" w:color="auto"/>
            </w:tcBorders>
            <w:shd w:val="clear" w:color="auto" w:fill="auto"/>
            <w:vAlign w:val="bottom"/>
            <w:hideMark/>
          </w:tcPr>
          <w:p w14:paraId="0CF3AF95" w14:textId="77777777" w:rsidR="00017A14" w:rsidRPr="00A34060" w:rsidRDefault="00017A14" w:rsidP="00C94FBC">
            <w:pPr>
              <w:rPr>
                <w:rFonts w:cstheme="minorHAnsi"/>
                <w:b/>
                <w:bCs/>
                <w:color w:val="000000"/>
                <w:szCs w:val="22"/>
                <w:lang w:eastAsia="en-US"/>
              </w:rPr>
            </w:pPr>
            <w:r w:rsidRPr="00A34060">
              <w:rPr>
                <w:rFonts w:cstheme="minorHAnsi"/>
                <w:b/>
                <w:bCs/>
                <w:color w:val="000000"/>
                <w:szCs w:val="22"/>
                <w:lang w:eastAsia="en-US"/>
              </w:rPr>
              <w:t>Lower exclusion threshold</w:t>
            </w:r>
          </w:p>
        </w:tc>
        <w:tc>
          <w:tcPr>
            <w:tcW w:w="1860" w:type="dxa"/>
            <w:tcBorders>
              <w:top w:val="nil"/>
              <w:left w:val="nil"/>
              <w:bottom w:val="single" w:sz="4" w:space="0" w:color="auto"/>
              <w:right w:val="single" w:sz="4" w:space="0" w:color="auto"/>
            </w:tcBorders>
            <w:shd w:val="clear" w:color="auto" w:fill="auto"/>
            <w:vAlign w:val="bottom"/>
            <w:hideMark/>
          </w:tcPr>
          <w:p w14:paraId="7BA3A23E" w14:textId="77777777" w:rsidR="00017A14" w:rsidRPr="00A34060" w:rsidRDefault="00017A14" w:rsidP="00C94FBC">
            <w:pPr>
              <w:rPr>
                <w:rFonts w:cstheme="minorHAnsi"/>
                <w:b/>
                <w:bCs/>
                <w:color w:val="000000"/>
                <w:szCs w:val="22"/>
                <w:lang w:eastAsia="en-US"/>
              </w:rPr>
            </w:pPr>
            <w:r w:rsidRPr="00A34060">
              <w:rPr>
                <w:rFonts w:cstheme="minorHAnsi"/>
                <w:b/>
                <w:bCs/>
                <w:color w:val="000000"/>
                <w:szCs w:val="22"/>
                <w:lang w:eastAsia="en-US"/>
              </w:rPr>
              <w:t>Upper exclusion threshold</w:t>
            </w:r>
          </w:p>
        </w:tc>
      </w:tr>
      <w:tr w:rsidR="00017A14" w:rsidRPr="00A34060" w14:paraId="424193B6" w14:textId="77777777" w:rsidTr="00C94FBC">
        <w:trPr>
          <w:trHeight w:val="600"/>
        </w:trPr>
        <w:tc>
          <w:tcPr>
            <w:tcW w:w="1880" w:type="dxa"/>
            <w:tcBorders>
              <w:top w:val="nil"/>
              <w:left w:val="single" w:sz="4" w:space="0" w:color="auto"/>
              <w:bottom w:val="single" w:sz="4" w:space="0" w:color="auto"/>
              <w:right w:val="single" w:sz="4" w:space="0" w:color="auto"/>
            </w:tcBorders>
            <w:shd w:val="clear" w:color="auto" w:fill="auto"/>
            <w:vAlign w:val="bottom"/>
            <w:hideMark/>
          </w:tcPr>
          <w:p w14:paraId="0320906D" w14:textId="77777777" w:rsidR="00017A14" w:rsidRPr="00A34060" w:rsidRDefault="00017A14" w:rsidP="00C94FBC">
            <w:pPr>
              <w:rPr>
                <w:rFonts w:cstheme="minorHAnsi"/>
                <w:color w:val="000000"/>
                <w:szCs w:val="22"/>
                <w:lang w:eastAsia="en-US"/>
              </w:rPr>
            </w:pPr>
            <w:r w:rsidRPr="00A34060">
              <w:rPr>
                <w:rFonts w:cstheme="minorHAnsi"/>
                <w:color w:val="000000"/>
                <w:szCs w:val="22"/>
                <w:lang w:eastAsia="en-US"/>
              </w:rPr>
              <w:t>Serum ferritin (µg/l)</w:t>
            </w:r>
          </w:p>
        </w:tc>
        <w:tc>
          <w:tcPr>
            <w:tcW w:w="1800" w:type="dxa"/>
            <w:tcBorders>
              <w:top w:val="nil"/>
              <w:left w:val="nil"/>
              <w:bottom w:val="single" w:sz="4" w:space="0" w:color="auto"/>
              <w:right w:val="single" w:sz="4" w:space="0" w:color="auto"/>
            </w:tcBorders>
            <w:shd w:val="clear" w:color="auto" w:fill="auto"/>
            <w:vAlign w:val="bottom"/>
            <w:hideMark/>
          </w:tcPr>
          <w:p w14:paraId="13514D50" w14:textId="77777777" w:rsidR="00017A14" w:rsidRPr="00A34060" w:rsidRDefault="00017A14" w:rsidP="00C94FBC">
            <w:pPr>
              <w:jc w:val="right"/>
              <w:rPr>
                <w:rFonts w:cstheme="minorHAnsi"/>
                <w:color w:val="000000"/>
                <w:szCs w:val="22"/>
                <w:lang w:eastAsia="en-US"/>
              </w:rPr>
            </w:pPr>
            <w:r w:rsidRPr="00A34060">
              <w:rPr>
                <w:rFonts w:cstheme="minorHAnsi"/>
                <w:color w:val="000000"/>
                <w:szCs w:val="22"/>
                <w:lang w:eastAsia="en-US"/>
              </w:rPr>
              <w:t>0.11</w:t>
            </w:r>
          </w:p>
        </w:tc>
        <w:tc>
          <w:tcPr>
            <w:tcW w:w="1760" w:type="dxa"/>
            <w:tcBorders>
              <w:top w:val="nil"/>
              <w:left w:val="nil"/>
              <w:bottom w:val="single" w:sz="4" w:space="0" w:color="auto"/>
              <w:right w:val="single" w:sz="4" w:space="0" w:color="auto"/>
            </w:tcBorders>
            <w:shd w:val="clear" w:color="auto" w:fill="auto"/>
            <w:vAlign w:val="bottom"/>
            <w:hideMark/>
          </w:tcPr>
          <w:p w14:paraId="310FB3E2" w14:textId="77777777" w:rsidR="00017A14" w:rsidRPr="00A34060" w:rsidRDefault="00017A14" w:rsidP="00C94FBC">
            <w:pPr>
              <w:jc w:val="right"/>
              <w:rPr>
                <w:rFonts w:cstheme="minorHAnsi"/>
                <w:color w:val="000000"/>
                <w:szCs w:val="22"/>
                <w:lang w:eastAsia="en-US"/>
              </w:rPr>
            </w:pPr>
            <w:r w:rsidRPr="00A34060">
              <w:rPr>
                <w:rFonts w:cstheme="minorHAnsi"/>
                <w:color w:val="000000"/>
                <w:szCs w:val="22"/>
                <w:lang w:eastAsia="en-US"/>
              </w:rPr>
              <w:t>6412</w:t>
            </w:r>
          </w:p>
        </w:tc>
        <w:tc>
          <w:tcPr>
            <w:tcW w:w="1840" w:type="dxa"/>
            <w:tcBorders>
              <w:top w:val="nil"/>
              <w:left w:val="nil"/>
              <w:bottom w:val="single" w:sz="4" w:space="0" w:color="auto"/>
              <w:right w:val="single" w:sz="4" w:space="0" w:color="auto"/>
            </w:tcBorders>
            <w:shd w:val="clear" w:color="auto" w:fill="auto"/>
            <w:vAlign w:val="bottom"/>
            <w:hideMark/>
          </w:tcPr>
          <w:p w14:paraId="4274A9F6" w14:textId="77777777" w:rsidR="00017A14" w:rsidRPr="00A34060" w:rsidRDefault="00017A14" w:rsidP="00C94FBC">
            <w:pPr>
              <w:jc w:val="right"/>
              <w:rPr>
                <w:rFonts w:cstheme="minorHAnsi"/>
                <w:color w:val="000000"/>
                <w:szCs w:val="22"/>
                <w:lang w:eastAsia="en-US"/>
              </w:rPr>
            </w:pPr>
            <w:r w:rsidRPr="00A34060">
              <w:rPr>
                <w:rFonts w:cstheme="minorHAnsi"/>
                <w:color w:val="000000"/>
                <w:szCs w:val="22"/>
                <w:lang w:eastAsia="en-US"/>
              </w:rPr>
              <w:t>0.094</w:t>
            </w:r>
          </w:p>
        </w:tc>
        <w:tc>
          <w:tcPr>
            <w:tcW w:w="1860" w:type="dxa"/>
            <w:tcBorders>
              <w:top w:val="nil"/>
              <w:left w:val="nil"/>
              <w:bottom w:val="single" w:sz="4" w:space="0" w:color="auto"/>
              <w:right w:val="single" w:sz="4" w:space="0" w:color="auto"/>
            </w:tcBorders>
            <w:shd w:val="clear" w:color="auto" w:fill="auto"/>
            <w:vAlign w:val="bottom"/>
            <w:hideMark/>
          </w:tcPr>
          <w:p w14:paraId="10A91970" w14:textId="77777777" w:rsidR="00017A14" w:rsidRPr="00A34060" w:rsidRDefault="00017A14" w:rsidP="00C94FBC">
            <w:pPr>
              <w:jc w:val="right"/>
              <w:rPr>
                <w:rFonts w:cstheme="minorHAnsi"/>
                <w:color w:val="000000"/>
                <w:szCs w:val="22"/>
                <w:lang w:eastAsia="en-US"/>
              </w:rPr>
            </w:pPr>
            <w:r w:rsidRPr="00A34060">
              <w:rPr>
                <w:rFonts w:cstheme="minorHAnsi"/>
                <w:color w:val="000000"/>
                <w:szCs w:val="22"/>
                <w:lang w:eastAsia="en-US"/>
              </w:rPr>
              <w:t>12978</w:t>
            </w:r>
          </w:p>
        </w:tc>
      </w:tr>
      <w:tr w:rsidR="00017A14" w:rsidRPr="00A34060" w14:paraId="4CCB13B5" w14:textId="77777777" w:rsidTr="00C94FBC">
        <w:trPr>
          <w:trHeight w:val="600"/>
        </w:trPr>
        <w:tc>
          <w:tcPr>
            <w:tcW w:w="1880" w:type="dxa"/>
            <w:tcBorders>
              <w:top w:val="nil"/>
              <w:left w:val="single" w:sz="4" w:space="0" w:color="auto"/>
              <w:bottom w:val="single" w:sz="4" w:space="0" w:color="auto"/>
              <w:right w:val="single" w:sz="4" w:space="0" w:color="auto"/>
            </w:tcBorders>
            <w:shd w:val="clear" w:color="auto" w:fill="auto"/>
            <w:vAlign w:val="bottom"/>
            <w:hideMark/>
          </w:tcPr>
          <w:p w14:paraId="68CC8588" w14:textId="77777777" w:rsidR="00017A14" w:rsidRPr="00A34060" w:rsidRDefault="00017A14" w:rsidP="00C94FBC">
            <w:pPr>
              <w:rPr>
                <w:rFonts w:cstheme="minorHAnsi"/>
                <w:color w:val="000000"/>
                <w:szCs w:val="22"/>
                <w:lang w:eastAsia="en-US"/>
              </w:rPr>
            </w:pPr>
            <w:r w:rsidRPr="00A34060">
              <w:rPr>
                <w:rFonts w:cstheme="minorHAnsi"/>
                <w:color w:val="000000"/>
                <w:szCs w:val="22"/>
                <w:lang w:eastAsia="en-US"/>
              </w:rPr>
              <w:t>Serum zinc (</w:t>
            </w:r>
            <w:proofErr w:type="spellStart"/>
            <w:r w:rsidRPr="00A34060">
              <w:rPr>
                <w:rFonts w:cstheme="minorHAnsi"/>
                <w:color w:val="000000"/>
                <w:szCs w:val="22"/>
                <w:lang w:eastAsia="en-US"/>
              </w:rPr>
              <w:t>μmol</w:t>
            </w:r>
            <w:proofErr w:type="spellEnd"/>
            <w:r w:rsidRPr="00A34060">
              <w:rPr>
                <w:rFonts w:cstheme="minorHAnsi"/>
                <w:color w:val="000000"/>
                <w:szCs w:val="22"/>
                <w:lang w:eastAsia="en-US"/>
              </w:rPr>
              <w:t>/L)</w:t>
            </w:r>
          </w:p>
        </w:tc>
        <w:tc>
          <w:tcPr>
            <w:tcW w:w="1800" w:type="dxa"/>
            <w:tcBorders>
              <w:top w:val="nil"/>
              <w:left w:val="nil"/>
              <w:bottom w:val="single" w:sz="4" w:space="0" w:color="auto"/>
              <w:right w:val="single" w:sz="4" w:space="0" w:color="auto"/>
            </w:tcBorders>
            <w:shd w:val="clear" w:color="auto" w:fill="auto"/>
            <w:vAlign w:val="bottom"/>
            <w:hideMark/>
          </w:tcPr>
          <w:p w14:paraId="092B9923" w14:textId="77777777" w:rsidR="00017A14" w:rsidRPr="00A34060" w:rsidRDefault="00017A14" w:rsidP="00C94FBC">
            <w:pPr>
              <w:jc w:val="right"/>
              <w:rPr>
                <w:rFonts w:cstheme="minorHAnsi"/>
                <w:color w:val="000000"/>
                <w:szCs w:val="22"/>
                <w:lang w:eastAsia="en-US"/>
              </w:rPr>
            </w:pPr>
            <w:r w:rsidRPr="00A34060">
              <w:rPr>
                <w:rFonts w:cstheme="minorHAnsi"/>
                <w:color w:val="000000"/>
                <w:szCs w:val="22"/>
                <w:lang w:eastAsia="en-US"/>
              </w:rPr>
              <w:t>1.6</w:t>
            </w:r>
          </w:p>
        </w:tc>
        <w:tc>
          <w:tcPr>
            <w:tcW w:w="1760" w:type="dxa"/>
            <w:tcBorders>
              <w:top w:val="nil"/>
              <w:left w:val="nil"/>
              <w:bottom w:val="single" w:sz="4" w:space="0" w:color="auto"/>
              <w:right w:val="single" w:sz="4" w:space="0" w:color="auto"/>
            </w:tcBorders>
            <w:shd w:val="clear" w:color="auto" w:fill="auto"/>
            <w:vAlign w:val="bottom"/>
            <w:hideMark/>
          </w:tcPr>
          <w:p w14:paraId="689E8850" w14:textId="77777777" w:rsidR="00017A14" w:rsidRPr="00A34060" w:rsidRDefault="00017A14" w:rsidP="00C94FBC">
            <w:pPr>
              <w:jc w:val="right"/>
              <w:rPr>
                <w:rFonts w:cstheme="minorHAnsi"/>
                <w:color w:val="000000"/>
                <w:szCs w:val="22"/>
                <w:lang w:eastAsia="en-US"/>
              </w:rPr>
            </w:pPr>
            <w:r w:rsidRPr="00A34060">
              <w:rPr>
                <w:rFonts w:cstheme="minorHAnsi"/>
                <w:color w:val="000000"/>
                <w:szCs w:val="22"/>
                <w:lang w:eastAsia="en-US"/>
              </w:rPr>
              <w:t>62</w:t>
            </w:r>
          </w:p>
        </w:tc>
        <w:tc>
          <w:tcPr>
            <w:tcW w:w="3700" w:type="dxa"/>
            <w:gridSpan w:val="2"/>
            <w:vMerge w:val="restart"/>
            <w:tcBorders>
              <w:top w:val="single" w:sz="4" w:space="0" w:color="auto"/>
              <w:left w:val="single" w:sz="4" w:space="0" w:color="auto"/>
              <w:bottom w:val="single" w:sz="4" w:space="0" w:color="auto"/>
              <w:right w:val="single" w:sz="4" w:space="0" w:color="auto"/>
            </w:tcBorders>
            <w:shd w:val="clear" w:color="000000" w:fill="E7E6E6"/>
            <w:vAlign w:val="center"/>
            <w:hideMark/>
          </w:tcPr>
          <w:p w14:paraId="24E05289" w14:textId="77777777" w:rsidR="00017A14" w:rsidRPr="00A34060" w:rsidRDefault="00017A14" w:rsidP="00C94FBC">
            <w:pPr>
              <w:jc w:val="center"/>
              <w:rPr>
                <w:rFonts w:cstheme="minorHAnsi"/>
                <w:color w:val="000000"/>
                <w:szCs w:val="22"/>
                <w:lang w:eastAsia="en-US"/>
              </w:rPr>
            </w:pPr>
            <w:r w:rsidRPr="00A34060">
              <w:rPr>
                <w:rFonts w:cstheme="minorHAnsi"/>
                <w:color w:val="000000"/>
                <w:szCs w:val="22"/>
                <w:lang w:eastAsia="en-US"/>
              </w:rPr>
              <w:t>not adjusted for inflammation</w:t>
            </w:r>
          </w:p>
        </w:tc>
      </w:tr>
      <w:tr w:rsidR="00017A14" w:rsidRPr="00A34060" w14:paraId="32148546" w14:textId="77777777" w:rsidTr="00C94FBC">
        <w:trPr>
          <w:trHeight w:val="600"/>
        </w:trPr>
        <w:tc>
          <w:tcPr>
            <w:tcW w:w="1880" w:type="dxa"/>
            <w:tcBorders>
              <w:top w:val="nil"/>
              <w:left w:val="single" w:sz="4" w:space="0" w:color="auto"/>
              <w:bottom w:val="single" w:sz="4" w:space="0" w:color="auto"/>
              <w:right w:val="single" w:sz="4" w:space="0" w:color="auto"/>
            </w:tcBorders>
            <w:shd w:val="clear" w:color="auto" w:fill="auto"/>
            <w:vAlign w:val="bottom"/>
            <w:hideMark/>
          </w:tcPr>
          <w:p w14:paraId="25BFDA9A" w14:textId="77777777" w:rsidR="00017A14" w:rsidRPr="00A34060" w:rsidRDefault="00017A14" w:rsidP="00C94FBC">
            <w:pPr>
              <w:rPr>
                <w:rFonts w:cstheme="minorHAnsi"/>
                <w:color w:val="000000"/>
                <w:szCs w:val="22"/>
                <w:lang w:eastAsia="en-US"/>
              </w:rPr>
            </w:pPr>
            <w:r w:rsidRPr="00A34060">
              <w:rPr>
                <w:rFonts w:cstheme="minorHAnsi"/>
                <w:color w:val="000000"/>
                <w:szCs w:val="22"/>
                <w:lang w:eastAsia="en-US"/>
              </w:rPr>
              <w:t>Retinol binding protein (</w:t>
            </w:r>
            <w:proofErr w:type="spellStart"/>
            <w:r w:rsidRPr="00A34060">
              <w:rPr>
                <w:rFonts w:cstheme="minorHAnsi"/>
                <w:color w:val="000000"/>
                <w:szCs w:val="22"/>
                <w:lang w:eastAsia="en-US"/>
              </w:rPr>
              <w:t>μmol</w:t>
            </w:r>
            <w:proofErr w:type="spellEnd"/>
            <w:r w:rsidRPr="00A34060">
              <w:rPr>
                <w:rFonts w:cstheme="minorHAnsi"/>
                <w:color w:val="000000"/>
                <w:szCs w:val="22"/>
                <w:lang w:eastAsia="en-US"/>
              </w:rPr>
              <w:t>/L)</w:t>
            </w:r>
          </w:p>
        </w:tc>
        <w:tc>
          <w:tcPr>
            <w:tcW w:w="1800" w:type="dxa"/>
            <w:tcBorders>
              <w:top w:val="nil"/>
              <w:left w:val="nil"/>
              <w:bottom w:val="single" w:sz="4" w:space="0" w:color="auto"/>
              <w:right w:val="single" w:sz="4" w:space="0" w:color="auto"/>
            </w:tcBorders>
            <w:shd w:val="clear" w:color="auto" w:fill="auto"/>
            <w:vAlign w:val="bottom"/>
            <w:hideMark/>
          </w:tcPr>
          <w:p w14:paraId="4C32033C" w14:textId="77777777" w:rsidR="00017A14" w:rsidRPr="00A34060" w:rsidRDefault="00017A14" w:rsidP="00C94FBC">
            <w:pPr>
              <w:jc w:val="right"/>
              <w:rPr>
                <w:rFonts w:cstheme="minorHAnsi"/>
                <w:color w:val="000000"/>
                <w:szCs w:val="22"/>
                <w:lang w:eastAsia="en-US"/>
              </w:rPr>
            </w:pPr>
            <w:r w:rsidRPr="00A34060">
              <w:rPr>
                <w:rFonts w:cstheme="minorHAnsi"/>
                <w:color w:val="000000"/>
                <w:szCs w:val="22"/>
                <w:lang w:eastAsia="en-US"/>
              </w:rPr>
              <w:t>0.15</w:t>
            </w:r>
          </w:p>
        </w:tc>
        <w:tc>
          <w:tcPr>
            <w:tcW w:w="1760" w:type="dxa"/>
            <w:tcBorders>
              <w:top w:val="nil"/>
              <w:left w:val="nil"/>
              <w:bottom w:val="single" w:sz="4" w:space="0" w:color="auto"/>
              <w:right w:val="single" w:sz="4" w:space="0" w:color="auto"/>
            </w:tcBorders>
            <w:shd w:val="clear" w:color="auto" w:fill="auto"/>
            <w:vAlign w:val="bottom"/>
            <w:hideMark/>
          </w:tcPr>
          <w:p w14:paraId="35B304F7" w14:textId="77777777" w:rsidR="00017A14" w:rsidRPr="00A34060" w:rsidRDefault="00017A14" w:rsidP="00C94FBC">
            <w:pPr>
              <w:jc w:val="right"/>
              <w:rPr>
                <w:rFonts w:cstheme="minorHAnsi"/>
                <w:color w:val="000000"/>
                <w:szCs w:val="22"/>
                <w:lang w:eastAsia="en-US"/>
              </w:rPr>
            </w:pPr>
            <w:r w:rsidRPr="00A34060">
              <w:rPr>
                <w:rFonts w:cstheme="minorHAnsi"/>
                <w:color w:val="000000"/>
                <w:szCs w:val="22"/>
                <w:lang w:eastAsia="en-US"/>
              </w:rPr>
              <w:t>5.7</w:t>
            </w:r>
          </w:p>
        </w:tc>
        <w:tc>
          <w:tcPr>
            <w:tcW w:w="3700" w:type="dxa"/>
            <w:gridSpan w:val="2"/>
            <w:vMerge/>
            <w:tcBorders>
              <w:top w:val="nil"/>
              <w:left w:val="nil"/>
              <w:bottom w:val="single" w:sz="4" w:space="0" w:color="auto"/>
              <w:right w:val="single" w:sz="4" w:space="0" w:color="auto"/>
            </w:tcBorders>
            <w:vAlign w:val="center"/>
            <w:hideMark/>
          </w:tcPr>
          <w:p w14:paraId="2FD24E59" w14:textId="77777777" w:rsidR="00017A14" w:rsidRPr="00A34060" w:rsidRDefault="00017A14" w:rsidP="00C94FBC">
            <w:pPr>
              <w:rPr>
                <w:rFonts w:cstheme="minorHAnsi"/>
                <w:color w:val="000000"/>
                <w:szCs w:val="22"/>
                <w:lang w:eastAsia="en-US"/>
              </w:rPr>
            </w:pPr>
          </w:p>
        </w:tc>
      </w:tr>
      <w:tr w:rsidR="00017A14" w:rsidRPr="00A34060" w14:paraId="460158DD" w14:textId="77777777" w:rsidTr="00C94FBC">
        <w:trPr>
          <w:trHeight w:val="600"/>
        </w:trPr>
        <w:tc>
          <w:tcPr>
            <w:tcW w:w="1880" w:type="dxa"/>
            <w:tcBorders>
              <w:top w:val="nil"/>
              <w:left w:val="single" w:sz="4" w:space="0" w:color="auto"/>
              <w:bottom w:val="single" w:sz="4" w:space="0" w:color="auto"/>
              <w:right w:val="single" w:sz="4" w:space="0" w:color="auto"/>
            </w:tcBorders>
            <w:shd w:val="clear" w:color="auto" w:fill="auto"/>
            <w:vAlign w:val="bottom"/>
            <w:hideMark/>
          </w:tcPr>
          <w:p w14:paraId="58499935" w14:textId="77777777" w:rsidR="00017A14" w:rsidRPr="00A34060" w:rsidRDefault="00017A14" w:rsidP="00C94FBC">
            <w:pPr>
              <w:rPr>
                <w:rFonts w:cstheme="minorHAnsi"/>
                <w:color w:val="000000"/>
                <w:szCs w:val="22"/>
                <w:lang w:eastAsia="en-US"/>
              </w:rPr>
            </w:pPr>
            <w:r w:rsidRPr="00A34060">
              <w:rPr>
                <w:rFonts w:cstheme="minorHAnsi"/>
                <w:color w:val="000000"/>
                <w:szCs w:val="22"/>
                <w:lang w:eastAsia="en-US"/>
              </w:rPr>
              <w:t>Serum retinol (</w:t>
            </w:r>
            <w:proofErr w:type="spellStart"/>
            <w:r w:rsidRPr="00A34060">
              <w:rPr>
                <w:rFonts w:cstheme="minorHAnsi"/>
                <w:color w:val="000000"/>
                <w:szCs w:val="22"/>
                <w:lang w:eastAsia="en-US"/>
              </w:rPr>
              <w:t>μmol</w:t>
            </w:r>
            <w:proofErr w:type="spellEnd"/>
            <w:r w:rsidRPr="00A34060">
              <w:rPr>
                <w:rFonts w:cstheme="minorHAnsi"/>
                <w:color w:val="000000"/>
                <w:szCs w:val="22"/>
                <w:lang w:eastAsia="en-US"/>
              </w:rPr>
              <w:t>/L)</w:t>
            </w:r>
          </w:p>
        </w:tc>
        <w:tc>
          <w:tcPr>
            <w:tcW w:w="1800" w:type="dxa"/>
            <w:tcBorders>
              <w:top w:val="nil"/>
              <w:left w:val="nil"/>
              <w:bottom w:val="single" w:sz="4" w:space="0" w:color="auto"/>
              <w:right w:val="single" w:sz="4" w:space="0" w:color="auto"/>
            </w:tcBorders>
            <w:shd w:val="clear" w:color="auto" w:fill="auto"/>
            <w:vAlign w:val="bottom"/>
            <w:hideMark/>
          </w:tcPr>
          <w:p w14:paraId="1A876ABC" w14:textId="77777777" w:rsidR="00017A14" w:rsidRPr="00A34060" w:rsidRDefault="00017A14" w:rsidP="00C94FBC">
            <w:pPr>
              <w:jc w:val="right"/>
              <w:rPr>
                <w:rFonts w:cstheme="minorHAnsi"/>
                <w:color w:val="000000"/>
                <w:szCs w:val="22"/>
                <w:lang w:eastAsia="en-US"/>
              </w:rPr>
            </w:pPr>
            <w:r w:rsidRPr="00A34060">
              <w:rPr>
                <w:rFonts w:cstheme="minorHAnsi"/>
                <w:color w:val="000000"/>
                <w:szCs w:val="22"/>
                <w:lang w:eastAsia="en-US"/>
              </w:rPr>
              <w:t>0.082</w:t>
            </w:r>
          </w:p>
        </w:tc>
        <w:tc>
          <w:tcPr>
            <w:tcW w:w="1760" w:type="dxa"/>
            <w:tcBorders>
              <w:top w:val="nil"/>
              <w:left w:val="nil"/>
              <w:bottom w:val="single" w:sz="4" w:space="0" w:color="auto"/>
              <w:right w:val="single" w:sz="4" w:space="0" w:color="auto"/>
            </w:tcBorders>
            <w:shd w:val="clear" w:color="auto" w:fill="auto"/>
            <w:vAlign w:val="bottom"/>
            <w:hideMark/>
          </w:tcPr>
          <w:p w14:paraId="58167806" w14:textId="77777777" w:rsidR="00017A14" w:rsidRPr="00A34060" w:rsidRDefault="00017A14" w:rsidP="00C94FBC">
            <w:pPr>
              <w:jc w:val="right"/>
              <w:rPr>
                <w:rFonts w:cstheme="minorHAnsi"/>
                <w:color w:val="000000"/>
                <w:szCs w:val="22"/>
                <w:lang w:eastAsia="en-US"/>
              </w:rPr>
            </w:pPr>
            <w:r w:rsidRPr="00A34060">
              <w:rPr>
                <w:rFonts w:cstheme="minorHAnsi"/>
                <w:color w:val="000000"/>
                <w:szCs w:val="22"/>
                <w:lang w:eastAsia="en-US"/>
              </w:rPr>
              <w:t>8.4</w:t>
            </w:r>
          </w:p>
        </w:tc>
        <w:tc>
          <w:tcPr>
            <w:tcW w:w="3700" w:type="dxa"/>
            <w:gridSpan w:val="2"/>
            <w:vMerge/>
            <w:tcBorders>
              <w:top w:val="nil"/>
              <w:left w:val="nil"/>
              <w:bottom w:val="single" w:sz="4" w:space="0" w:color="auto"/>
              <w:right w:val="single" w:sz="4" w:space="0" w:color="auto"/>
            </w:tcBorders>
            <w:vAlign w:val="center"/>
            <w:hideMark/>
          </w:tcPr>
          <w:p w14:paraId="71077430" w14:textId="77777777" w:rsidR="00017A14" w:rsidRPr="00A34060" w:rsidRDefault="00017A14" w:rsidP="00C94FBC">
            <w:pPr>
              <w:rPr>
                <w:rFonts w:cstheme="minorHAnsi"/>
                <w:color w:val="000000"/>
                <w:szCs w:val="22"/>
                <w:lang w:eastAsia="en-US"/>
              </w:rPr>
            </w:pPr>
          </w:p>
        </w:tc>
      </w:tr>
      <w:tr w:rsidR="00017A14" w:rsidRPr="00A34060" w14:paraId="030671B8" w14:textId="77777777" w:rsidTr="00C94FBC">
        <w:trPr>
          <w:trHeight w:val="300"/>
        </w:trPr>
        <w:tc>
          <w:tcPr>
            <w:tcW w:w="1880" w:type="dxa"/>
            <w:tcBorders>
              <w:top w:val="nil"/>
              <w:left w:val="single" w:sz="4" w:space="0" w:color="auto"/>
              <w:bottom w:val="single" w:sz="4" w:space="0" w:color="auto"/>
              <w:right w:val="single" w:sz="4" w:space="0" w:color="auto"/>
            </w:tcBorders>
            <w:shd w:val="clear" w:color="auto" w:fill="auto"/>
            <w:vAlign w:val="bottom"/>
            <w:hideMark/>
          </w:tcPr>
          <w:p w14:paraId="3CBAE0D7" w14:textId="77777777" w:rsidR="00017A14" w:rsidRPr="00A34060" w:rsidRDefault="00017A14" w:rsidP="00C94FBC">
            <w:pPr>
              <w:rPr>
                <w:rFonts w:cstheme="minorHAnsi"/>
                <w:color w:val="000000"/>
                <w:szCs w:val="22"/>
                <w:lang w:eastAsia="en-US"/>
              </w:rPr>
            </w:pPr>
            <w:r w:rsidRPr="00A34060">
              <w:rPr>
                <w:rFonts w:cstheme="minorHAnsi"/>
                <w:color w:val="000000"/>
                <w:szCs w:val="22"/>
                <w:lang w:eastAsia="en-US"/>
              </w:rPr>
              <w:t>AGP (g/L)</w:t>
            </w:r>
          </w:p>
        </w:tc>
        <w:tc>
          <w:tcPr>
            <w:tcW w:w="1800" w:type="dxa"/>
            <w:tcBorders>
              <w:top w:val="nil"/>
              <w:left w:val="nil"/>
              <w:bottom w:val="single" w:sz="4" w:space="0" w:color="auto"/>
              <w:right w:val="single" w:sz="4" w:space="0" w:color="auto"/>
            </w:tcBorders>
            <w:shd w:val="clear" w:color="auto" w:fill="auto"/>
            <w:vAlign w:val="bottom"/>
            <w:hideMark/>
          </w:tcPr>
          <w:p w14:paraId="685067AD" w14:textId="77777777" w:rsidR="00017A14" w:rsidRPr="00A34060" w:rsidRDefault="00017A14" w:rsidP="00C94FBC">
            <w:pPr>
              <w:jc w:val="right"/>
              <w:rPr>
                <w:rFonts w:cstheme="minorHAnsi"/>
                <w:color w:val="000000"/>
                <w:szCs w:val="22"/>
                <w:lang w:eastAsia="en-US"/>
              </w:rPr>
            </w:pPr>
            <w:r w:rsidRPr="00A34060">
              <w:rPr>
                <w:rFonts w:cstheme="minorHAnsi"/>
                <w:color w:val="000000"/>
                <w:szCs w:val="22"/>
                <w:lang w:eastAsia="en-US"/>
              </w:rPr>
              <w:t>0.098</w:t>
            </w:r>
          </w:p>
        </w:tc>
        <w:tc>
          <w:tcPr>
            <w:tcW w:w="1760" w:type="dxa"/>
            <w:tcBorders>
              <w:top w:val="nil"/>
              <w:left w:val="nil"/>
              <w:bottom w:val="single" w:sz="4" w:space="0" w:color="auto"/>
              <w:right w:val="single" w:sz="4" w:space="0" w:color="auto"/>
            </w:tcBorders>
            <w:shd w:val="clear" w:color="auto" w:fill="auto"/>
            <w:vAlign w:val="bottom"/>
            <w:hideMark/>
          </w:tcPr>
          <w:p w14:paraId="6FA6544D" w14:textId="77777777" w:rsidR="00017A14" w:rsidRPr="00A34060" w:rsidRDefault="00017A14" w:rsidP="00C94FBC">
            <w:pPr>
              <w:jc w:val="right"/>
              <w:rPr>
                <w:rFonts w:cstheme="minorHAnsi"/>
                <w:color w:val="000000"/>
                <w:szCs w:val="22"/>
                <w:lang w:eastAsia="en-US"/>
              </w:rPr>
            </w:pPr>
            <w:r w:rsidRPr="00A34060">
              <w:rPr>
                <w:rFonts w:cstheme="minorHAnsi"/>
                <w:color w:val="000000"/>
                <w:szCs w:val="22"/>
                <w:lang w:eastAsia="en-US"/>
              </w:rPr>
              <w:t>8.0</w:t>
            </w:r>
          </w:p>
        </w:tc>
        <w:tc>
          <w:tcPr>
            <w:tcW w:w="1840" w:type="dxa"/>
            <w:tcBorders>
              <w:top w:val="nil"/>
              <w:left w:val="nil"/>
              <w:bottom w:val="single" w:sz="4" w:space="0" w:color="auto"/>
              <w:right w:val="single" w:sz="4" w:space="0" w:color="auto"/>
            </w:tcBorders>
            <w:shd w:val="clear" w:color="auto" w:fill="auto"/>
            <w:vAlign w:val="bottom"/>
            <w:hideMark/>
          </w:tcPr>
          <w:p w14:paraId="5AFD02DC" w14:textId="77777777" w:rsidR="00017A14" w:rsidRPr="00A34060" w:rsidRDefault="00017A14" w:rsidP="00C94FBC">
            <w:pPr>
              <w:jc w:val="right"/>
              <w:rPr>
                <w:rFonts w:cstheme="minorHAnsi"/>
                <w:color w:val="000000"/>
                <w:szCs w:val="22"/>
                <w:lang w:eastAsia="en-US"/>
              </w:rPr>
            </w:pPr>
            <w:r w:rsidRPr="00A34060">
              <w:rPr>
                <w:rFonts w:cstheme="minorHAnsi"/>
                <w:color w:val="000000"/>
                <w:szCs w:val="22"/>
                <w:lang w:eastAsia="en-US"/>
              </w:rPr>
              <w:t>0.12</w:t>
            </w:r>
          </w:p>
        </w:tc>
        <w:tc>
          <w:tcPr>
            <w:tcW w:w="1860" w:type="dxa"/>
            <w:tcBorders>
              <w:top w:val="nil"/>
              <w:left w:val="nil"/>
              <w:bottom w:val="single" w:sz="4" w:space="0" w:color="auto"/>
              <w:right w:val="single" w:sz="4" w:space="0" w:color="auto"/>
            </w:tcBorders>
            <w:shd w:val="clear" w:color="auto" w:fill="auto"/>
            <w:vAlign w:val="bottom"/>
            <w:hideMark/>
          </w:tcPr>
          <w:p w14:paraId="3763998C" w14:textId="77777777" w:rsidR="00017A14" w:rsidRPr="00A34060" w:rsidRDefault="00017A14" w:rsidP="00C94FBC">
            <w:pPr>
              <w:jc w:val="right"/>
              <w:rPr>
                <w:rFonts w:cstheme="minorHAnsi"/>
                <w:color w:val="000000"/>
                <w:szCs w:val="22"/>
                <w:lang w:eastAsia="en-US"/>
              </w:rPr>
            </w:pPr>
            <w:r w:rsidRPr="00A34060">
              <w:rPr>
                <w:rFonts w:cstheme="minorHAnsi"/>
                <w:color w:val="000000"/>
                <w:szCs w:val="22"/>
                <w:lang w:eastAsia="en-US"/>
              </w:rPr>
              <w:t>5.2</w:t>
            </w:r>
          </w:p>
        </w:tc>
      </w:tr>
      <w:tr w:rsidR="00017A14" w:rsidRPr="00A34060" w14:paraId="21844981" w14:textId="77777777" w:rsidTr="00C94FBC">
        <w:trPr>
          <w:trHeight w:val="300"/>
        </w:trPr>
        <w:tc>
          <w:tcPr>
            <w:tcW w:w="1880" w:type="dxa"/>
            <w:tcBorders>
              <w:top w:val="nil"/>
              <w:left w:val="single" w:sz="4" w:space="0" w:color="auto"/>
              <w:bottom w:val="single" w:sz="4" w:space="0" w:color="auto"/>
              <w:right w:val="single" w:sz="4" w:space="0" w:color="auto"/>
            </w:tcBorders>
            <w:shd w:val="clear" w:color="auto" w:fill="auto"/>
            <w:vAlign w:val="bottom"/>
            <w:hideMark/>
          </w:tcPr>
          <w:p w14:paraId="29455BDD" w14:textId="77777777" w:rsidR="00017A14" w:rsidRPr="00A34060" w:rsidRDefault="00017A14" w:rsidP="00C94FBC">
            <w:pPr>
              <w:rPr>
                <w:rFonts w:cstheme="minorHAnsi"/>
                <w:color w:val="000000"/>
                <w:szCs w:val="22"/>
                <w:lang w:eastAsia="en-US"/>
              </w:rPr>
            </w:pPr>
            <w:r w:rsidRPr="00A34060">
              <w:rPr>
                <w:rFonts w:cstheme="minorHAnsi"/>
                <w:color w:val="000000"/>
                <w:szCs w:val="22"/>
                <w:lang w:eastAsia="en-US"/>
              </w:rPr>
              <w:t>CRP (mg/L)</w:t>
            </w:r>
          </w:p>
        </w:tc>
        <w:tc>
          <w:tcPr>
            <w:tcW w:w="1800" w:type="dxa"/>
            <w:tcBorders>
              <w:top w:val="nil"/>
              <w:left w:val="nil"/>
              <w:bottom w:val="single" w:sz="4" w:space="0" w:color="auto"/>
              <w:right w:val="single" w:sz="4" w:space="0" w:color="auto"/>
            </w:tcBorders>
            <w:shd w:val="clear" w:color="auto" w:fill="auto"/>
            <w:vAlign w:val="bottom"/>
            <w:hideMark/>
          </w:tcPr>
          <w:p w14:paraId="64E1F3B8" w14:textId="77777777" w:rsidR="00017A14" w:rsidRPr="00A34060" w:rsidRDefault="00017A14" w:rsidP="00C94FBC">
            <w:pPr>
              <w:jc w:val="right"/>
              <w:rPr>
                <w:rFonts w:cstheme="minorHAnsi"/>
                <w:color w:val="000000"/>
                <w:szCs w:val="22"/>
                <w:lang w:eastAsia="en-US"/>
              </w:rPr>
            </w:pPr>
            <w:r w:rsidRPr="00A34060">
              <w:rPr>
                <w:rFonts w:cstheme="minorHAnsi"/>
                <w:color w:val="000000"/>
                <w:szCs w:val="22"/>
                <w:lang w:eastAsia="en-US"/>
              </w:rPr>
              <w:t>0</w:t>
            </w:r>
          </w:p>
        </w:tc>
        <w:tc>
          <w:tcPr>
            <w:tcW w:w="1760" w:type="dxa"/>
            <w:tcBorders>
              <w:top w:val="nil"/>
              <w:left w:val="nil"/>
              <w:bottom w:val="single" w:sz="4" w:space="0" w:color="auto"/>
              <w:right w:val="single" w:sz="4" w:space="0" w:color="auto"/>
            </w:tcBorders>
            <w:shd w:val="clear" w:color="auto" w:fill="auto"/>
            <w:vAlign w:val="bottom"/>
            <w:hideMark/>
          </w:tcPr>
          <w:p w14:paraId="4B4FC0CB" w14:textId="77777777" w:rsidR="00017A14" w:rsidRPr="00A34060" w:rsidRDefault="00017A14" w:rsidP="00C94FBC">
            <w:pPr>
              <w:jc w:val="right"/>
              <w:rPr>
                <w:rFonts w:cstheme="minorHAnsi"/>
                <w:color w:val="000000"/>
                <w:szCs w:val="22"/>
                <w:lang w:eastAsia="en-US"/>
              </w:rPr>
            </w:pPr>
            <w:r w:rsidRPr="00A34060">
              <w:rPr>
                <w:rFonts w:cstheme="minorHAnsi"/>
                <w:color w:val="000000"/>
                <w:szCs w:val="22"/>
                <w:lang w:eastAsia="en-US"/>
              </w:rPr>
              <w:t>48291</w:t>
            </w:r>
          </w:p>
        </w:tc>
        <w:tc>
          <w:tcPr>
            <w:tcW w:w="1840" w:type="dxa"/>
            <w:tcBorders>
              <w:top w:val="nil"/>
              <w:left w:val="nil"/>
              <w:bottom w:val="single" w:sz="4" w:space="0" w:color="auto"/>
              <w:right w:val="single" w:sz="4" w:space="0" w:color="auto"/>
            </w:tcBorders>
            <w:shd w:val="clear" w:color="auto" w:fill="auto"/>
            <w:vAlign w:val="bottom"/>
            <w:hideMark/>
          </w:tcPr>
          <w:p w14:paraId="4DA41B9D" w14:textId="77777777" w:rsidR="00017A14" w:rsidRPr="00A34060" w:rsidRDefault="00017A14" w:rsidP="00C94FBC">
            <w:pPr>
              <w:jc w:val="right"/>
              <w:rPr>
                <w:rFonts w:cstheme="minorHAnsi"/>
                <w:color w:val="000000"/>
                <w:szCs w:val="22"/>
                <w:lang w:eastAsia="en-US"/>
              </w:rPr>
            </w:pPr>
            <w:r w:rsidRPr="00A34060">
              <w:rPr>
                <w:rFonts w:cstheme="minorHAnsi"/>
                <w:color w:val="000000"/>
                <w:szCs w:val="22"/>
                <w:lang w:eastAsia="en-US"/>
              </w:rPr>
              <w:t>0</w:t>
            </w:r>
          </w:p>
        </w:tc>
        <w:tc>
          <w:tcPr>
            <w:tcW w:w="1860" w:type="dxa"/>
            <w:tcBorders>
              <w:top w:val="nil"/>
              <w:left w:val="nil"/>
              <w:bottom w:val="single" w:sz="4" w:space="0" w:color="auto"/>
              <w:right w:val="single" w:sz="4" w:space="0" w:color="auto"/>
            </w:tcBorders>
            <w:shd w:val="clear" w:color="auto" w:fill="auto"/>
            <w:vAlign w:val="bottom"/>
            <w:hideMark/>
          </w:tcPr>
          <w:p w14:paraId="2BC43725" w14:textId="77777777" w:rsidR="00017A14" w:rsidRPr="00A34060" w:rsidRDefault="00017A14" w:rsidP="00C94FBC">
            <w:pPr>
              <w:jc w:val="right"/>
              <w:rPr>
                <w:rFonts w:cstheme="minorHAnsi"/>
                <w:color w:val="000000"/>
                <w:szCs w:val="22"/>
                <w:lang w:eastAsia="en-US"/>
              </w:rPr>
            </w:pPr>
            <w:r w:rsidRPr="00A34060">
              <w:rPr>
                <w:rFonts w:cstheme="minorHAnsi"/>
                <w:color w:val="000000"/>
                <w:szCs w:val="22"/>
                <w:lang w:eastAsia="en-US"/>
              </w:rPr>
              <w:t>4064</w:t>
            </w:r>
          </w:p>
        </w:tc>
      </w:tr>
    </w:tbl>
    <w:p w14:paraId="6B04A324" w14:textId="77777777" w:rsidR="00017A14" w:rsidRPr="00A34060" w:rsidRDefault="00017A14" w:rsidP="00017A14">
      <w:pPr>
        <w:autoSpaceDE w:val="0"/>
        <w:autoSpaceDN w:val="0"/>
        <w:adjustRightInd w:val="0"/>
        <w:rPr>
          <w:rFonts w:cstheme="minorHAnsi"/>
          <w:szCs w:val="22"/>
          <w:lang w:val="en-GB"/>
        </w:rPr>
      </w:pPr>
    </w:p>
    <w:p w14:paraId="1E36036F" w14:textId="1C5E650A" w:rsidR="00AB66E5" w:rsidRPr="00A34060" w:rsidRDefault="03C7B32C" w:rsidP="00AB66E5">
      <w:pPr>
        <w:pStyle w:val="Heading1"/>
        <w:rPr>
          <w:color w:val="FF0000"/>
          <w:lang w:val="en-GB"/>
        </w:rPr>
      </w:pPr>
      <w:bookmarkStart w:id="5" w:name="_Toc94512105"/>
      <w:r w:rsidRPr="03C7B32C">
        <w:rPr>
          <w:lang w:val="en-GB"/>
        </w:rPr>
        <w:t>3.  Adjustment for inflammation and application of thresholds for deficiency</w:t>
      </w:r>
      <w:bookmarkEnd w:id="5"/>
      <w:r w:rsidRPr="03C7B32C">
        <w:rPr>
          <w:lang w:val="en-GB"/>
        </w:rPr>
        <w:t xml:space="preserve"> </w:t>
      </w:r>
    </w:p>
    <w:p w14:paraId="3D5847BB" w14:textId="2BEAF154" w:rsidR="00EA12C9" w:rsidRPr="00A34060" w:rsidRDefault="00E2440F" w:rsidP="0003642E">
      <w:pPr>
        <w:autoSpaceDE w:val="0"/>
        <w:autoSpaceDN w:val="0"/>
        <w:adjustRightInd w:val="0"/>
        <w:rPr>
          <w:rFonts w:cstheme="minorHAnsi"/>
          <w:szCs w:val="22"/>
          <w:lang w:val="en-GB"/>
        </w:rPr>
      </w:pPr>
      <w:r w:rsidRPr="00A34060">
        <w:rPr>
          <w:rFonts w:cstheme="minorHAnsi"/>
          <w:szCs w:val="22"/>
          <w:lang w:val="en-GB"/>
        </w:rPr>
        <w:t>C</w:t>
      </w:r>
      <w:r w:rsidR="00DB4A98" w:rsidRPr="00A34060">
        <w:rPr>
          <w:rFonts w:cstheme="minorHAnsi"/>
          <w:szCs w:val="22"/>
          <w:lang w:val="en-GB"/>
        </w:rPr>
        <w:t>oncentrations of some micronutrient</w:t>
      </w:r>
      <w:r w:rsidRPr="00A34060">
        <w:rPr>
          <w:rFonts w:cstheme="minorHAnsi"/>
          <w:szCs w:val="22"/>
          <w:lang w:val="en-GB"/>
        </w:rPr>
        <w:t xml:space="preserve"> biomarkers</w:t>
      </w:r>
      <w:r w:rsidR="00DB4A98" w:rsidRPr="00A34060">
        <w:rPr>
          <w:rFonts w:cstheme="minorHAnsi"/>
          <w:szCs w:val="22"/>
          <w:lang w:val="en-GB"/>
        </w:rPr>
        <w:t xml:space="preserve"> are affected by </w:t>
      </w:r>
      <w:r w:rsidR="00946276">
        <w:rPr>
          <w:rFonts w:cstheme="minorHAnsi"/>
          <w:szCs w:val="22"/>
          <w:lang w:val="en-GB"/>
        </w:rPr>
        <w:t>inflammation, including inflammation caused by acute infection</w:t>
      </w:r>
      <w:r w:rsidR="00DA42B2">
        <w:rPr>
          <w:rFonts w:cstheme="minorHAnsi"/>
          <w:szCs w:val="22"/>
          <w:lang w:val="en-GB"/>
        </w:rPr>
        <w:t xml:space="preserve"> </w:t>
      </w:r>
      <w:r w:rsidR="00DA42B2" w:rsidRPr="00A34060">
        <w:rPr>
          <w:rFonts w:cstheme="minorHAnsi"/>
          <w:szCs w:val="22"/>
          <w:lang w:val="en-GB"/>
        </w:rPr>
        <w:fldChar w:fldCharType="begin" w:fldLock="1"/>
      </w:r>
      <w:r w:rsidR="00C623EA">
        <w:rPr>
          <w:rFonts w:cstheme="minorHAnsi"/>
          <w:szCs w:val="22"/>
          <w:lang w:val="en-GB"/>
        </w:rPr>
        <w:instrText xml:space="preserve">ADDIN CSL_CITATION {"citationItems":[{"id":"ITEM-1","itemData":{"DOI":"10.3945/ajcn.116.142273","ISSN":"19383207","PMID":"28615254","abstract":"Background: The Biomarkers Reflecting Inflammation and Nutritional Determinants of Anemia (BRINDA) project is a multiagency and multicountry collaboration that was formed to improve micronutrient assessment and to better characterize anemia.Objectives: The aims of the project were to 1) identify factors associated with inflammation, 2) assess the relations between inflammation, malaria infection, and biomarkers of iron and vitamin A status and compare adjustment approaches, and 3) assess risk factors for anemia in preschool children (PSC) and women of reproductive age (WRA).Design: The BRINDA database inclusion criteria included surveys that 1) were conducted after 2004, 2) had target groups of PSC, WRA, or both, and 3) used a similar laboratory methodology for the measurement of ≥1 biomarker of iron [ferritin or soluble transferrin receptor or vitamin A status (retinol-binding protein or retinol)] and ≥1 biomarker of inflammation (α-1-acid glycoprotein or C-reactive protein). Individual data sets were standardized and merged into a BRINDA database comprising 16 nationally and regionally representative surveys from 14 countries. Collectively, the database covered all 6 WHO geographic regions and contained </w:instrText>
      </w:r>
      <w:r w:rsidR="00C623EA">
        <w:rPr>
          <w:rFonts w:ascii="Cambria Math" w:hAnsi="Cambria Math" w:cs="Cambria Math"/>
          <w:szCs w:val="22"/>
          <w:lang w:val="en-GB"/>
        </w:rPr>
        <w:instrText>∼</w:instrText>
      </w:r>
      <w:r w:rsidR="00C623EA">
        <w:rPr>
          <w:rFonts w:cstheme="minorHAnsi"/>
          <w:szCs w:val="22"/>
          <w:lang w:val="en-GB"/>
        </w:rPr>
        <w:instrText>30,000 PSC and 27,000 WRA. Data were analyzed individually and combined with the use of a meta-analysis.Results: The methods that were used to standardize the BRINDA database and the analytic approaches used to address the project's research questions are presented in this article. Three approaches to adjust micronutrient biomarker concentrations in the presence of inflammation and malaria infection are presented, along with an anemia conceptual framework that guided the BRINDA project's anemia analyses.Conclusions: The BRINDA project refines approaches to interpret iron and vitamin A biomarker values in settings of inflammation and malaria infection and suggests the use of a new regression approach as well as proposes an anemia framework to which real-world data can be applied. Findings can inform guidelines and strategies to prevent and control micronutrient deficiencies and anemia globally.","author":[{"dropping-particle":"","family":"Namaste","given":"Sorrel ML","non-dropping-particle":"","parse-names":false,"suffix":""},{"dropping-particle":"","family":"Aaron","given":"Grant J","non-dropping-particle":"","parse-names":false,"suffix":""},{"dropping-particle":"","family":"Varadhan","given":"Ravi","non-dropping-particle":"","parse-names":false,"suffix":""},{"dropping-particle":"","family":"Peerson","given":"Janet M","non-dropping-particle":"","parse-names":false,"suffix":""},{"dropping-particle":"","family":"Suchdev","given":"Parminder S","non-dropping-particle":"","parse-names":false,"suffix":""}],"container-title":"The American journal of clinical nutrition","id":"ITEM-1","issue":"suppl_1","issued":{"date-parts":[["2017","7","1"]]},"page":"333S-347S","publisher":"Oxford Academic","title":"Methodologic approach for the Biomarkers Reflecting Inflammation and Nutritional Determinants of Anemia (BRINDA) project","type":"article-journal","volume":"106"},"uris":["http://www.mendeley.com/documents/?uuid=a6d34631-78d3-33cf-812b-2dbdb96b6c5c"]}],"mendeley":{"formattedCitation":"(3)","plainTextFormattedCitation":"(3)","previouslyFormattedCitation":"(3)"},"properties":{"noteIndex":0},"schema":"https://github.com/citation-style-language/schema/raw/master/csl-citation.json"}</w:instrText>
      </w:r>
      <w:r w:rsidR="00DA42B2" w:rsidRPr="00A34060">
        <w:rPr>
          <w:rFonts w:cstheme="minorHAnsi"/>
          <w:szCs w:val="22"/>
          <w:lang w:val="en-GB"/>
        </w:rPr>
        <w:fldChar w:fldCharType="separate"/>
      </w:r>
      <w:r w:rsidR="00DA42B2" w:rsidRPr="00DA42B2">
        <w:rPr>
          <w:rFonts w:cstheme="minorHAnsi"/>
          <w:noProof/>
          <w:szCs w:val="22"/>
          <w:lang w:val="en-GB"/>
        </w:rPr>
        <w:t>(3)</w:t>
      </w:r>
      <w:r w:rsidR="00DA42B2" w:rsidRPr="00A34060">
        <w:rPr>
          <w:rFonts w:cstheme="minorHAnsi"/>
          <w:szCs w:val="22"/>
          <w:lang w:val="en-GB"/>
        </w:rPr>
        <w:fldChar w:fldCharType="end"/>
      </w:r>
      <w:r w:rsidR="00DB4A98" w:rsidRPr="00A34060">
        <w:rPr>
          <w:rFonts w:cstheme="minorHAnsi"/>
          <w:szCs w:val="22"/>
          <w:lang w:val="en-GB"/>
        </w:rPr>
        <w:t xml:space="preserve">.  These </w:t>
      </w:r>
      <w:r w:rsidR="00926E4C" w:rsidRPr="00A34060">
        <w:rPr>
          <w:rFonts w:cstheme="minorHAnsi"/>
          <w:szCs w:val="22"/>
          <w:lang w:val="en-GB"/>
        </w:rPr>
        <w:t xml:space="preserve">may </w:t>
      </w:r>
      <w:r w:rsidR="00A00DB8" w:rsidRPr="00A34060">
        <w:rPr>
          <w:rFonts w:cstheme="minorHAnsi"/>
          <w:szCs w:val="22"/>
          <w:lang w:val="en-GB"/>
        </w:rPr>
        <w:t>lead to under- or over-estimates of</w:t>
      </w:r>
      <w:r w:rsidR="00926E4C" w:rsidRPr="00A34060">
        <w:rPr>
          <w:rFonts w:cstheme="minorHAnsi"/>
          <w:szCs w:val="22"/>
          <w:lang w:val="en-GB"/>
        </w:rPr>
        <w:t xml:space="preserve"> the prevalence of micronutrient deficiency.  </w:t>
      </w:r>
      <w:r w:rsidR="008434D7" w:rsidRPr="00A34060">
        <w:rPr>
          <w:rFonts w:cstheme="minorHAnsi"/>
          <w:szCs w:val="22"/>
          <w:lang w:val="en-GB"/>
        </w:rPr>
        <w:t>Several</w:t>
      </w:r>
      <w:r w:rsidR="00A13502" w:rsidRPr="00A34060">
        <w:rPr>
          <w:rFonts w:cstheme="minorHAnsi"/>
          <w:szCs w:val="22"/>
          <w:lang w:val="en-GB"/>
        </w:rPr>
        <w:t xml:space="preserve"> analytic approaches have been proposed to adjust for inflammation prior to computing prevalence of deficiency</w:t>
      </w:r>
      <w:r w:rsidR="001C5FDE">
        <w:rPr>
          <w:rFonts w:cstheme="minorHAnsi"/>
          <w:szCs w:val="22"/>
          <w:lang w:val="en-GB"/>
        </w:rPr>
        <w:t xml:space="preserve"> </w:t>
      </w:r>
      <w:r w:rsidR="001C5FDE" w:rsidRPr="00A34060">
        <w:rPr>
          <w:rFonts w:cstheme="minorHAnsi"/>
          <w:szCs w:val="22"/>
          <w:lang w:val="en-GB"/>
        </w:rPr>
        <w:fldChar w:fldCharType="begin" w:fldLock="1"/>
      </w:r>
      <w:r w:rsidR="00C623EA">
        <w:rPr>
          <w:rFonts w:cstheme="minorHAnsi"/>
          <w:szCs w:val="22"/>
          <w:lang w:val="en-GB"/>
        </w:rPr>
        <w:instrText xml:space="preserve">ADDIN CSL_CITATION {"citationItems":[{"id":"ITEM-1","itemData":{"DOI":"10.3945/ajcn.116.142273","ISSN":"19383207","PMID":"28615254","abstract":"Background: The Biomarkers Reflecting Inflammation and Nutritional Determinants of Anemia (BRINDA) project is a multiagency and multicountry collaboration that was formed to improve micronutrient assessment and to better characterize anemia.Objectives: The aims of the project were to 1) identify factors associated with inflammation, 2) assess the relations between inflammation, malaria infection, and biomarkers of iron and vitamin A status and compare adjustment approaches, and 3) assess risk factors for anemia in preschool children (PSC) and women of reproductive age (WRA).Design: The BRINDA database inclusion criteria included surveys that 1) were conducted after 2004, 2) had target groups of PSC, WRA, or both, and 3) used a similar laboratory methodology for the measurement of ≥1 biomarker of iron [ferritin or soluble transferrin receptor or vitamin A status (retinol-binding protein or retinol)] and ≥1 biomarker of inflammation (α-1-acid glycoprotein or C-reactive protein). Individual data sets were standardized and merged into a BRINDA database comprising 16 nationally and regionally representative surveys from 14 countries. Collectively, the database covered all 6 WHO geographic regions and contained </w:instrText>
      </w:r>
      <w:r w:rsidR="00C623EA">
        <w:rPr>
          <w:rFonts w:ascii="Cambria Math" w:hAnsi="Cambria Math" w:cs="Cambria Math"/>
          <w:szCs w:val="22"/>
          <w:lang w:val="en-GB"/>
        </w:rPr>
        <w:instrText>∼</w:instrText>
      </w:r>
      <w:r w:rsidR="00C623EA">
        <w:rPr>
          <w:rFonts w:cstheme="minorHAnsi"/>
          <w:szCs w:val="22"/>
          <w:lang w:val="en-GB"/>
        </w:rPr>
        <w:instrText>30,000 PSC and 27,000 WRA. Data were analyzed individually and combined with the use of a meta-analysis.Results: The methods that were used to standardize the BRINDA database and the analytic approaches used to address the project's research questions are presented in this article. Three approaches to adjust micronutrient biomarker concentrations in the presence of inflammation and malaria infection are presented, along with an anemia conceptual framework that guided the BRINDA project's anemia analyses.Conclusions: The BRINDA project refines approaches to interpret iron and vitamin A biomarker values in settings of inflammation and malaria infection and suggests the use of a new regression approach as well as proposes an anemia framework to which real-world data can be applied. Findings can inform guidelines and strategies to prevent and control micronutrient deficiencies and anemia globally.","author":[{"dropping-particle":"","family":"Namaste","given":"Sorrel ML","non-dropping-particle":"","parse-names":false,"suffix":""},{"dropping-particle":"","family":"Aaron","given":"Grant J","non-dropping-particle":"","parse-names":false,"suffix":""},{"dropping-particle":"","family":"Varadhan","given":"Ravi","non-dropping-particle":"","parse-names":false,"suffix":""},{"dropping-particle":"","family":"Peerson","given":"Janet M","non-dropping-particle":"","parse-names":false,"suffix":""},{"dropping-particle":"","family":"Suchdev","given":"Parminder S","non-dropping-particle":"","parse-names":false,"suffix":""}],"container-title":"The American journal of clinical nutrition","id":"ITEM-1","issue":"suppl_1","issued":{"date-parts":[["2017","7","1"]]},"page":"333S-347S","publisher":"Oxford Academic","title":"Methodologic approach for the Biomarkers Reflecting Inflammation and Nutritional Determinants of Anemia (BRINDA) project","type":"article-journal","volume":"106"},"uris":["http://www.mendeley.com/documents/?uuid=a6d34631-78d3-33cf-812b-2dbdb96b6c5c"]}],"mendeley":{"formattedCitation":"(3)","plainTextFormattedCitation":"(3)","previouslyFormattedCitation":"(3)"},"properties":{"noteIndex":0},"schema":"https://github.com/citation-style-language/schema/raw/master/csl-citation.json"}</w:instrText>
      </w:r>
      <w:r w:rsidR="001C5FDE" w:rsidRPr="00A34060">
        <w:rPr>
          <w:rFonts w:cstheme="minorHAnsi"/>
          <w:szCs w:val="22"/>
          <w:lang w:val="en-GB"/>
        </w:rPr>
        <w:fldChar w:fldCharType="separate"/>
      </w:r>
      <w:r w:rsidR="00DA42B2" w:rsidRPr="00DA42B2">
        <w:rPr>
          <w:rFonts w:cstheme="minorHAnsi"/>
          <w:noProof/>
          <w:szCs w:val="22"/>
          <w:lang w:val="en-GB"/>
        </w:rPr>
        <w:t>(3)</w:t>
      </w:r>
      <w:r w:rsidR="001C5FDE" w:rsidRPr="00A34060">
        <w:rPr>
          <w:rFonts w:cstheme="minorHAnsi"/>
          <w:szCs w:val="22"/>
          <w:lang w:val="en-GB"/>
        </w:rPr>
        <w:fldChar w:fldCharType="end"/>
      </w:r>
      <w:r w:rsidR="00A13502" w:rsidRPr="00A34060">
        <w:rPr>
          <w:rFonts w:cstheme="minorHAnsi"/>
          <w:szCs w:val="22"/>
          <w:lang w:val="en-GB"/>
        </w:rPr>
        <w:t xml:space="preserve">. </w:t>
      </w:r>
      <w:r w:rsidR="00926E4C" w:rsidRPr="00A34060">
        <w:rPr>
          <w:rFonts w:cstheme="minorHAnsi"/>
          <w:szCs w:val="22"/>
          <w:lang w:val="en-GB"/>
        </w:rPr>
        <w:t xml:space="preserve">We applied the BRINDA </w:t>
      </w:r>
      <w:r w:rsidR="004A54B3" w:rsidRPr="00A34060">
        <w:rPr>
          <w:rFonts w:cstheme="minorHAnsi"/>
          <w:szCs w:val="22"/>
          <w:lang w:val="en-GB"/>
        </w:rPr>
        <w:t xml:space="preserve">regression </w:t>
      </w:r>
      <w:r w:rsidR="00926E4C" w:rsidRPr="00A34060">
        <w:rPr>
          <w:rFonts w:cstheme="minorHAnsi"/>
          <w:szCs w:val="22"/>
          <w:lang w:val="en-GB"/>
        </w:rPr>
        <w:t>adjustments for inflammation</w:t>
      </w:r>
      <w:r w:rsidR="00A00DB8" w:rsidRPr="00A34060">
        <w:rPr>
          <w:rFonts w:cstheme="minorHAnsi"/>
          <w:szCs w:val="22"/>
          <w:lang w:val="en-GB"/>
        </w:rPr>
        <w:t>, which are</w:t>
      </w:r>
      <w:r w:rsidR="008434D7" w:rsidRPr="00A34060">
        <w:rPr>
          <w:rFonts w:cstheme="minorHAnsi"/>
          <w:szCs w:val="22"/>
          <w:lang w:val="en-GB"/>
        </w:rPr>
        <w:t xml:space="preserve"> described elsewhere</w:t>
      </w:r>
      <w:r w:rsidR="00390595" w:rsidRPr="00A34060">
        <w:rPr>
          <w:rFonts w:cstheme="minorHAnsi"/>
          <w:szCs w:val="22"/>
          <w:lang w:val="en-GB"/>
        </w:rPr>
        <w:t xml:space="preserve"> </w:t>
      </w:r>
      <w:r w:rsidR="00390595" w:rsidRPr="00A34060">
        <w:rPr>
          <w:rFonts w:cstheme="minorHAnsi"/>
          <w:szCs w:val="22"/>
          <w:lang w:val="en-GB"/>
        </w:rPr>
        <w:fldChar w:fldCharType="begin" w:fldLock="1"/>
      </w:r>
      <w:r w:rsidR="00C623EA">
        <w:rPr>
          <w:rFonts w:cstheme="minorHAnsi"/>
          <w:szCs w:val="22"/>
          <w:lang w:val="en-GB"/>
        </w:rPr>
        <w:instrText xml:space="preserve">ADDIN CSL_CITATION {"citationItems":[{"id":"ITEM-1","itemData":{"DOI":"10.3945/AJCN.116.142166","ISSN":"0002-9165","abstract":"Background: The accurate estimation of the prevalence of vitamin A deficiency (VAD) is important in planning and implementing interventions. Retinol-binding protein (RBP) is often used in population surveys to measure vitamin A status, but its interpretation is challenging in settings where inflammation is common because RBP concentrations decrease during the acute-phase response.Objectives: We aimed to assess the relation between RBP concentrations and inflammation and malaria in preschool children (PSC) (age range: 6-59 mo) and women of reproductive age (WRA) (age range: 15-49 y) and to investigate adjustment algorithms to account for these effects.Design: Cross-sectional data from 8 surveys for PSC (n = 8803) and 4 surveys for WRA (n = 4191) from the Biomarkers Reflecting Inflammation and Nutritional Determinants of Anemia (BRINDA) project were analyzed individually and combined with the use of a meta-analysis. Several approaches were explored to adjust RBP concentrations in PSC in inflammation and malaria settings as follows: 1) the exclusion of subjects with C-reactive protein (CRP) concentrations &gt;5 mg/L or α-1-acid glycoprotein (AGP) concentrations &gt;1 g/L, 2) the application of arithmetic correction factors, and 3) the use of a regression correction approach. The impact of adjustment on the estimated prevalence of VAD (defined as &lt;0.7 μmol/L) was examined in PSC.Results: The relation between estimated VAD and CRP and AGP deciles followed a linear pattern in PSC. In women, the correlations between RBP and CRP and AGP were too weak to justify adjustments for inflammation. Depending on the approach used to adjust for inflammation (CRP+AGP), the estimated prevalence of VAD decreased by a median of 11-18 percentage points in PSC compared with unadjusted values. There was no added effect of adjusting for malaria on the estimated VAD after adjusting for CRP and AGP.Conclusions: The use of regression correction (derived from internal data), which accounts for the severity of inflammation, to estimate the prevalence of VAD in PSC in regions with inflammation and malaria is supported by the analysis of the BRINDA data. These findings contribute to the evidence on adjusting for inflammation when estimating VAD with the use of RBP.","author":[{"dropping-particle":"","family":"Larson","given":"Leila M","non-dropping-particle":"","parse-names":false,"suffix":""},{"dropping-particle":"","family":"Namaste","given":"Sorrel ML","non-dropping-particle":"","parse-names":false,"suffix":""},{"dropping-particle":"","family":"Williams","given":"Anne M","non-dropping-particle":"","parse-names":false,"suffix":""},{"dropping-particle":"","family":"Engle-Stone","given":"Reina","non-dropping-particle":"","parse-names":false,"suffix":""},{"dropping-particle":"","family":"Addo","given":"O Yaw","non-dropping-particle":"","parse-names":false,"suffix":""},{"dropping-particle":"","family":"Suchdev","given":"Parminder S","non-dropping-particle":"","parse-names":false,"suffix":""},{"dropping-particle":"","family":"Wirth","given":"James P","non-dropping-particle":"","parse-names":false,"suffix":""},{"dropping-particle":"","family":"Temple","given":"Victor","non-dropping-particle":"","parse-names":false,"suffix":""},{"dropping-particle":"","family":"Serdula","given":"Mary","non-dropping-particle":"","parse-names":false,"suffix":""},{"dropping-particle":"","family":"Northrop-Clewes","given":"Christine A","non-dropping-particle":"","parse-names":false,"suffix":""}],"container-title":"The American Journal of Clinical Nutrition","id":"ITEM-1","issue":"suppl_1","issued":{"date-parts":[["2017","7","1"]]},"page":"390S-401S","publisher":"Oxford Academic","title":"Adjusting retinol-binding protein concentrations for inflammation: Biomarkers Reflecting Inflammation and Nutritional Determinants of Anemia (BRINDA) project","type":"article-journal","volume":"106"},"uris":["http://www.mendeley.com/documents/?uuid=e8c4b49c-49c3-380f-8631-01e6691b226d"]},{"id":"ITEM-2","itemData":{"DOI":"10.3945/ajcn.116.142273","ISSN":"19383207","PMID":"28615254","abstract":"Background: The Biomarkers Reflecting Inflammation and Nutritional Determinants of Anemia (BRINDA) project is a multiagency and multicountry collaboration that was formed to improve micronutrient assessment and to better characterize anemia.Objectives: The aims of the project were to 1) identify factors associated with inflammation, 2) assess the relations between inflammation, malaria infection, and biomarkers of iron and vitamin A status and compare adjustment approaches, and 3) assess risk factors for anemia in preschool children (PSC) and women of reproductive age (WRA).Design: The BRINDA database inclusion criteria included surveys that 1) were conducted after 2004, 2) had target groups of PSC, WRA, or both, and 3) used a similar laboratory methodology for the measurement of ≥1 biomarker of iron [ferritin or soluble transferrin receptor or vitamin A status (retinol-binding protein or retinol)] and ≥1 biomarker of inflammation (α-1-acid glycoprotein or C-reactive protein). Individual data sets were standardized and merged into a BRINDA database comprising 16 nationally and regionally representative surveys from 14 countries. Collectively, the database covered all 6 WHO geographic regions and contained </w:instrText>
      </w:r>
      <w:r w:rsidR="00C623EA">
        <w:rPr>
          <w:rFonts w:ascii="Cambria Math" w:hAnsi="Cambria Math" w:cs="Cambria Math"/>
          <w:szCs w:val="22"/>
          <w:lang w:val="en-GB"/>
        </w:rPr>
        <w:instrText>∼</w:instrText>
      </w:r>
      <w:r w:rsidR="00C623EA">
        <w:rPr>
          <w:rFonts w:cstheme="minorHAnsi"/>
          <w:szCs w:val="22"/>
          <w:lang w:val="en-GB"/>
        </w:rPr>
        <w:instrText>30,000 PSC and 27,000 WRA. Data were analyzed individually and combined with the use of a meta-analysis.Results: The methods that were used to standardize the BRINDA database and the analytic approaches used to address the project's research questions are presented in this article. Three approaches to adjust micronutrient biomarker concentrations in the presence of inflammation and malaria infection are presented, along with an anemia conceptual framework that guided the BRINDA project's anemia analyses.Conclusions: The BRINDA project refines approaches to interpret iron and vitamin A biomarker values in settings of inflammation and malaria infection and suggests the use of a new regression approach as well as proposes an anemia framework to which real-world data can be applied. Findings can inform guidelines and strategies to prevent and control micronutrient deficiencies and anemia globally.","author":[{"dropping-particle":"","family":"Namaste","given":"Sorrel ML","non-dropping-particle":"","parse-names":false,"suffix":""},{"dropping-particle":"","family":"Aaron","given":"Grant J","non-dropping-particle":"","parse-names":false,"suffix":""},{"dropping-particle":"","family":"Varadhan","given":"Ravi","non-dropping-particle":"","parse-names":false,"suffix":""},{"dropping-particle":"","family":"Peerson","given":"Janet M","non-dropping-particle":"","parse-names":false,"suffix":""},{"dropping-particle":"","family":"Suchdev","given":"Parminder S","non-dropping-particle":"","parse-names":false,"suffix":""}],"container-title":"The American journal of clinical nutrition","id":"ITEM-2","issue":"suppl_1","issued":{"date-parts":[["2017","7","1"]]},"page":"333S-347S","publisher":"Oxford Academic","title":"Methodologic approach for the Biomarkers Reflecting Inflammation and Nutritional Determinants of Anemia (BRINDA) project","type":"article-journal","volume":"106"},"uris":["http://www.mendeley.com/documents/?uuid=a6d34631-78d3-33cf-812b-2dbdb96b6c5c"]},{"id":"ITEM-3","itemData":{"DOI":"10.1093/AJCN/NQZ304","ISSN":"0002-9165","abstract":"The accurate estimation of zinc deficiency at the population level is important, as it guides the design, targeting, and evaluation of nutrition interventions. Plasma or serum zinc concentration (PZC) is recommended to estimate zinc nutritional status; however, concentrations may decrease in the presence of inflammation. Objectives: We aimed to assess the relation between PZC and inflammation in preschool children (PSC; 6-59 mo) and nonpregnant women of reproductive age (WRA; 15-49 y), and to compare different inflammation adjustment approaches, if adjustment is warranted. Methods: Cross-sectional data from 13 nationally representative surveys (18,859 PSC, 22,695 WRA) from the Biomarkers Reflecting Inflammation and Nutritional Determinants of Anemia (BRINDA) project were analyzed. Correlation and decile analyses were conducted, and the following 3 adjustment methods were compared if a consistent negative association between PZC and C-reactive protein (CRP) or α-1-acid glycoprotein (AGP) was observed: 1) exclude individuals with CRP &gt; 5 mg/L or AGP &gt; 1 g/L; 2) apply arithmetic correction factors; and 3) use the BRINDA regression correction (RC) approach. Results: In 6 of 12 PSC surveys, the estimated prevalence of zinc deficiency increased with increasing CRP deciles, and to a lesser extent, with increasing AGP deciles. In WRA, the association of PZC with CRP and AGP was weak and inconsistent. In the 6 PSC surveys in which adjustment methods were compared, application of RC reduced the estimated prevalence of zinc deficiency by a median of 11 (range: 4-18) percentage points, compared with the unadjusted prevalence. Conclusions: Relations between PZC and inflammatory markers were inconsistent, suggesting that correlation and decile analyses should be conducted before applying any inflammation adjustments. In populations of PSC that exhibit a significant negative association between PZC and CRP or AGP, application of the RC approach is supported. At this time, there is insufficient evidence to warrant inflammation adjustment in WRA.","author":[{"dropping-particle":"","family":"McDonald","given":"Christine M","non-dropping-particle":"","parse-names":false,"suffix":""},{"dropping-particle":"","family":"Suchdev","given":"Parminder S","non-dropping-particle":"","parse-names":false,"suffix":""},{"dropping-particle":"","family":"Krebs","given":"Nancy F","non-dropping-particle":"","parse-names":false,"suffix":""},{"dropping-particle":"","family":"Hess","given":"Sonja Y","non-dropping-particle":"","parse-names":false,"suffix":""},{"dropping-particle":"","family":"Wessells","given":"K Ryan","non-dropping-particle":"","parse-names":false,"suffix":""},{"dropping-particle":"","family":"Ismaily","given":"Sanober","non-dropping-particle":"","parse-names":false,"suffix":""},{"dropping-particle":"","family":"Rahman","given":"Sabuktagin","non-dropping-particle":"","parse-names":false,"suffix":""},{"dropping-particle":"","family":"Wieringa","given":"Frank T","non-dropping-particle":"","parse-names":false,"suffix":""},{"dropping-particle":"","family":"Williams","given":"Anne M","non-dropping-particle":"","parse-names":false,"suffix":""},{"dropping-particle":"","family":"Brown","given":"Kenneth H","non-dropping-particle":"","parse-names":false,"suffix":""},{"dropping-particle":"","family":"King","given":"Janet C","non-dropping-particle":"","parse-names":false,"suffix":""}],"container-title":"The American Journal of Clinical Nutrition","id":"ITEM-3","issue":"4","issued":{"date-parts":[["2020","4","1"]]},"page":"927-937","publisher":"Oxford Academic","title":"Adjusting plasma or serum zinc concentrations for inflammation: Biomarkers Reflecting Inflammation and Nutritional Determinants of Anemia (BRINDA) project","type":"article-journal","volume":"111"},"uris":["http://www.mendeley.com/documents/?uuid=76a2fb9e-9331-3e3f-a4c0-f2501de2868b"]}],"mendeley":{"formattedCitation":"(3–5)","plainTextFormattedCitation":"(3–5)","previouslyFormattedCitation":"(3–5)"},"properties":{"noteIndex":0},"schema":"https://github.com/citation-style-language/schema/raw/master/csl-citation.json"}</w:instrText>
      </w:r>
      <w:r w:rsidR="00390595" w:rsidRPr="00A34060">
        <w:rPr>
          <w:rFonts w:cstheme="minorHAnsi"/>
          <w:szCs w:val="22"/>
          <w:lang w:val="en-GB"/>
        </w:rPr>
        <w:fldChar w:fldCharType="separate"/>
      </w:r>
      <w:r w:rsidR="00DA42B2" w:rsidRPr="00DA42B2">
        <w:rPr>
          <w:rFonts w:cstheme="minorHAnsi"/>
          <w:noProof/>
          <w:szCs w:val="22"/>
          <w:lang w:val="en-GB"/>
        </w:rPr>
        <w:t>(3–5)</w:t>
      </w:r>
      <w:r w:rsidR="00390595" w:rsidRPr="00A34060">
        <w:rPr>
          <w:rFonts w:cstheme="minorHAnsi"/>
          <w:szCs w:val="22"/>
          <w:lang w:val="en-GB"/>
        </w:rPr>
        <w:fldChar w:fldCharType="end"/>
      </w:r>
      <w:r w:rsidR="008434D7" w:rsidRPr="00A34060">
        <w:rPr>
          <w:rFonts w:cstheme="minorHAnsi"/>
          <w:szCs w:val="22"/>
          <w:lang w:val="en-GB"/>
        </w:rPr>
        <w:t>. Briefly,</w:t>
      </w:r>
      <w:r w:rsidR="004A54B3" w:rsidRPr="00A34060">
        <w:rPr>
          <w:rFonts w:cstheme="minorHAnsi"/>
          <w:szCs w:val="22"/>
          <w:lang w:val="en-GB"/>
        </w:rPr>
        <w:t xml:space="preserve"> </w:t>
      </w:r>
      <w:r w:rsidR="003014CB" w:rsidRPr="00A34060">
        <w:rPr>
          <w:rFonts w:cstheme="minorHAnsi"/>
          <w:szCs w:val="22"/>
          <w:lang w:val="en-GB"/>
        </w:rPr>
        <w:t xml:space="preserve">separate </w:t>
      </w:r>
      <w:r w:rsidR="004A54B3" w:rsidRPr="00A34060">
        <w:rPr>
          <w:rFonts w:cstheme="minorHAnsi"/>
          <w:szCs w:val="22"/>
          <w:lang w:val="en-GB"/>
        </w:rPr>
        <w:t>regression</w:t>
      </w:r>
      <w:r w:rsidR="004E1EF5" w:rsidRPr="00A34060">
        <w:rPr>
          <w:rFonts w:cstheme="minorHAnsi"/>
          <w:szCs w:val="22"/>
          <w:lang w:val="en-GB"/>
        </w:rPr>
        <w:t>s</w:t>
      </w:r>
      <w:r w:rsidR="004A54B3" w:rsidRPr="00A34060">
        <w:rPr>
          <w:rFonts w:cstheme="minorHAnsi"/>
          <w:szCs w:val="22"/>
          <w:lang w:val="en-GB"/>
        </w:rPr>
        <w:t xml:space="preserve"> relating</w:t>
      </w:r>
      <w:r w:rsidR="004E1EF5" w:rsidRPr="00A34060">
        <w:rPr>
          <w:rFonts w:cstheme="minorHAnsi"/>
          <w:szCs w:val="22"/>
          <w:lang w:val="en-GB"/>
        </w:rPr>
        <w:t xml:space="preserve"> each</w:t>
      </w:r>
      <w:r w:rsidR="004A54B3" w:rsidRPr="00A34060">
        <w:rPr>
          <w:rFonts w:cstheme="minorHAnsi"/>
          <w:szCs w:val="22"/>
          <w:lang w:val="en-GB"/>
        </w:rPr>
        <w:t xml:space="preserve"> </w:t>
      </w:r>
      <w:r w:rsidR="008434D7" w:rsidRPr="00A34060">
        <w:rPr>
          <w:rFonts w:cstheme="minorHAnsi"/>
          <w:szCs w:val="22"/>
          <w:lang w:val="en-GB"/>
        </w:rPr>
        <w:t>log</w:t>
      </w:r>
      <w:r w:rsidR="00AF7542">
        <w:rPr>
          <w:rFonts w:cstheme="minorHAnsi"/>
          <w:szCs w:val="22"/>
          <w:lang w:val="en-GB"/>
        </w:rPr>
        <w:t xml:space="preserve"> micronutrient</w:t>
      </w:r>
      <w:r w:rsidR="008434D7" w:rsidRPr="00A34060">
        <w:rPr>
          <w:rFonts w:cstheme="minorHAnsi"/>
          <w:szCs w:val="22"/>
          <w:lang w:val="en-GB"/>
        </w:rPr>
        <w:t xml:space="preserve"> </w:t>
      </w:r>
      <w:r w:rsidR="003D5AC2">
        <w:rPr>
          <w:rFonts w:cstheme="minorHAnsi"/>
          <w:szCs w:val="22"/>
          <w:lang w:val="en-GB"/>
        </w:rPr>
        <w:t>biomarker</w:t>
      </w:r>
      <w:r w:rsidR="004A54B3" w:rsidRPr="00A34060">
        <w:rPr>
          <w:rFonts w:cstheme="minorHAnsi"/>
          <w:szCs w:val="22"/>
          <w:lang w:val="en-GB"/>
        </w:rPr>
        <w:t xml:space="preserve"> concentration to </w:t>
      </w:r>
      <w:r w:rsidR="00985A71" w:rsidRPr="00A34060">
        <w:rPr>
          <w:rFonts w:cstheme="minorHAnsi"/>
          <w:szCs w:val="22"/>
          <w:lang w:val="en-GB"/>
        </w:rPr>
        <w:t>one or two markers of inflammation are</w:t>
      </w:r>
      <w:r w:rsidR="004E1EF5" w:rsidRPr="00A34060">
        <w:rPr>
          <w:rFonts w:cstheme="minorHAnsi"/>
          <w:szCs w:val="22"/>
          <w:lang w:val="en-GB"/>
        </w:rPr>
        <w:t xml:space="preserve"> fit</w:t>
      </w:r>
      <w:r w:rsidR="00D434E4" w:rsidRPr="00A34060">
        <w:rPr>
          <w:rFonts w:cstheme="minorHAnsi"/>
          <w:szCs w:val="22"/>
          <w:lang w:val="en-GB"/>
        </w:rPr>
        <w:t>.</w:t>
      </w:r>
      <w:r w:rsidR="0084041D" w:rsidRPr="00A34060">
        <w:rPr>
          <w:rFonts w:cstheme="minorHAnsi"/>
          <w:szCs w:val="22"/>
          <w:lang w:val="en-GB"/>
        </w:rPr>
        <w:t xml:space="preserve"> The </w:t>
      </w:r>
      <w:r w:rsidR="00523023" w:rsidRPr="00A34060">
        <w:rPr>
          <w:rFonts w:cstheme="minorHAnsi"/>
          <w:szCs w:val="22"/>
          <w:lang w:val="en-GB"/>
        </w:rPr>
        <w:t xml:space="preserve">basic </w:t>
      </w:r>
      <w:r w:rsidR="007C28F9" w:rsidRPr="00A34060">
        <w:rPr>
          <w:rFonts w:cstheme="minorHAnsi"/>
          <w:szCs w:val="22"/>
          <w:lang w:val="en-GB"/>
        </w:rPr>
        <w:t xml:space="preserve">ordinary-least-squares </w:t>
      </w:r>
      <w:r w:rsidR="0084041D" w:rsidRPr="00A34060">
        <w:rPr>
          <w:rFonts w:cstheme="minorHAnsi"/>
          <w:szCs w:val="22"/>
          <w:lang w:val="en-GB"/>
        </w:rPr>
        <w:t>regression takes the following form:</w:t>
      </w:r>
    </w:p>
    <w:p w14:paraId="02823524" w14:textId="79DA0E01" w:rsidR="0084041D" w:rsidRPr="00A34060" w:rsidRDefault="00803D0F" w:rsidP="0003642E">
      <w:pPr>
        <w:autoSpaceDE w:val="0"/>
        <w:autoSpaceDN w:val="0"/>
        <w:adjustRightInd w:val="0"/>
        <w:rPr>
          <w:rFonts w:cstheme="minorHAnsi"/>
          <w:szCs w:val="22"/>
          <w:lang w:val="en-GB"/>
        </w:rPr>
      </w:pPr>
      <m:oMathPara>
        <m:oMath>
          <m:func>
            <m:funcPr>
              <m:ctrlPr>
                <w:rPr>
                  <w:rFonts w:ascii="Cambria Math" w:hAnsi="Cambria Math" w:cstheme="minorHAnsi"/>
                  <w:szCs w:val="22"/>
                  <w:lang w:val="en-GB"/>
                </w:rPr>
              </m:ctrlPr>
            </m:funcPr>
            <m:fName>
              <m:r>
                <m:rPr>
                  <m:sty m:val="p"/>
                </m:rPr>
                <w:rPr>
                  <w:rFonts w:ascii="Cambria Math" w:hAnsi="Cambria Math" w:cstheme="minorHAnsi"/>
                  <w:szCs w:val="22"/>
                  <w:lang w:val="en-GB"/>
                </w:rPr>
                <m:t>ln</m:t>
              </m:r>
            </m:fName>
            <m:e>
              <m:d>
                <m:dPr>
                  <m:ctrlPr>
                    <w:rPr>
                      <w:rFonts w:ascii="Cambria Math" w:hAnsi="Cambria Math" w:cstheme="minorHAnsi"/>
                      <w:i/>
                      <w:szCs w:val="22"/>
                      <w:lang w:val="en-GB"/>
                    </w:rPr>
                  </m:ctrlPr>
                </m:dPr>
                <m:e>
                  <m:r>
                    <w:rPr>
                      <w:rFonts w:ascii="Cambria Math" w:hAnsi="Cambria Math" w:cstheme="minorHAnsi"/>
                      <w:szCs w:val="22"/>
                      <w:lang w:val="en-GB"/>
                    </w:rPr>
                    <m:t>MB</m:t>
                  </m:r>
                </m:e>
              </m:d>
            </m:e>
          </m:func>
          <m:r>
            <w:rPr>
              <w:rFonts w:ascii="Cambria Math" w:hAnsi="Cambria Math" w:cstheme="minorHAnsi"/>
              <w:szCs w:val="22"/>
              <w:lang w:val="en-GB"/>
            </w:rPr>
            <m:t>~α+</m:t>
          </m:r>
          <m:sSub>
            <m:sSubPr>
              <m:ctrlPr>
                <w:rPr>
                  <w:rFonts w:ascii="Cambria Math" w:hAnsi="Cambria Math" w:cstheme="minorHAnsi"/>
                  <w:i/>
                  <w:szCs w:val="22"/>
                  <w:lang w:val="en-GB"/>
                </w:rPr>
              </m:ctrlPr>
            </m:sSubPr>
            <m:e>
              <m:r>
                <w:rPr>
                  <w:rFonts w:ascii="Cambria Math" w:hAnsi="Cambria Math" w:cstheme="minorHAnsi"/>
                  <w:szCs w:val="22"/>
                  <w:lang w:val="en-GB"/>
                </w:rPr>
                <m:t>β</m:t>
              </m:r>
            </m:e>
            <m:sub>
              <m:r>
                <w:rPr>
                  <w:rFonts w:ascii="Cambria Math" w:hAnsi="Cambria Math" w:cstheme="minorHAnsi"/>
                  <w:szCs w:val="22"/>
                  <w:lang w:val="en-GB"/>
                </w:rPr>
                <m:t>1</m:t>
              </m:r>
            </m:sub>
          </m:sSub>
          <m:func>
            <m:funcPr>
              <m:ctrlPr>
                <w:rPr>
                  <w:rFonts w:ascii="Cambria Math" w:hAnsi="Cambria Math" w:cstheme="minorHAnsi"/>
                  <w:i/>
                  <w:szCs w:val="22"/>
                  <w:lang w:val="en-GB"/>
                </w:rPr>
              </m:ctrlPr>
            </m:funcPr>
            <m:fName>
              <m:r>
                <m:rPr>
                  <m:sty m:val="p"/>
                </m:rPr>
                <w:rPr>
                  <w:rFonts w:ascii="Cambria Math" w:hAnsi="Cambria Math" w:cstheme="minorHAnsi"/>
                  <w:szCs w:val="22"/>
                  <w:lang w:val="en-GB"/>
                </w:rPr>
                <m:t>ln</m:t>
              </m:r>
            </m:fName>
            <m:e>
              <m:d>
                <m:dPr>
                  <m:ctrlPr>
                    <w:rPr>
                      <w:rFonts w:ascii="Cambria Math" w:hAnsi="Cambria Math" w:cstheme="minorHAnsi"/>
                      <w:i/>
                      <w:szCs w:val="22"/>
                      <w:lang w:val="en-GB"/>
                    </w:rPr>
                  </m:ctrlPr>
                </m:dPr>
                <m:e>
                  <m:r>
                    <w:rPr>
                      <w:rFonts w:ascii="Cambria Math" w:hAnsi="Cambria Math" w:cstheme="minorHAnsi"/>
                      <w:szCs w:val="22"/>
                      <w:lang w:val="en-GB"/>
                    </w:rPr>
                    <m:t>CRP</m:t>
                  </m:r>
                </m:e>
              </m:d>
            </m:e>
          </m:func>
          <m:r>
            <w:rPr>
              <w:rFonts w:ascii="Cambria Math" w:hAnsi="Cambria Math" w:cstheme="minorHAnsi"/>
              <w:szCs w:val="22"/>
              <w:lang w:val="en-GB"/>
            </w:rPr>
            <m:t>+</m:t>
          </m:r>
          <m:sSub>
            <m:sSubPr>
              <m:ctrlPr>
                <w:rPr>
                  <w:rFonts w:ascii="Cambria Math" w:hAnsi="Cambria Math" w:cstheme="minorHAnsi"/>
                  <w:i/>
                  <w:szCs w:val="22"/>
                  <w:lang w:val="en-GB"/>
                </w:rPr>
              </m:ctrlPr>
            </m:sSubPr>
            <m:e>
              <m:r>
                <w:rPr>
                  <w:rFonts w:ascii="Cambria Math" w:hAnsi="Cambria Math" w:cstheme="minorHAnsi"/>
                  <w:szCs w:val="22"/>
                  <w:lang w:val="en-GB"/>
                </w:rPr>
                <m:t>β</m:t>
              </m:r>
            </m:e>
            <m:sub>
              <m:r>
                <w:rPr>
                  <w:rFonts w:ascii="Cambria Math" w:hAnsi="Cambria Math" w:cstheme="minorHAnsi"/>
                  <w:szCs w:val="22"/>
                  <w:lang w:val="en-GB"/>
                </w:rPr>
                <m:t>2</m:t>
              </m:r>
            </m:sub>
          </m:sSub>
          <m:func>
            <m:funcPr>
              <m:ctrlPr>
                <w:rPr>
                  <w:rFonts w:ascii="Cambria Math" w:hAnsi="Cambria Math" w:cstheme="minorHAnsi"/>
                  <w:i/>
                  <w:szCs w:val="22"/>
                  <w:lang w:val="en-GB"/>
                </w:rPr>
              </m:ctrlPr>
            </m:funcPr>
            <m:fName>
              <m:r>
                <m:rPr>
                  <m:sty m:val="p"/>
                </m:rPr>
                <w:rPr>
                  <w:rFonts w:ascii="Cambria Math" w:hAnsi="Cambria Math" w:cstheme="minorHAnsi"/>
                  <w:szCs w:val="22"/>
                  <w:lang w:val="en-GB"/>
                </w:rPr>
                <m:t>ln</m:t>
              </m:r>
            </m:fName>
            <m:e>
              <m:d>
                <m:dPr>
                  <m:ctrlPr>
                    <w:rPr>
                      <w:rFonts w:ascii="Cambria Math" w:hAnsi="Cambria Math" w:cstheme="minorHAnsi"/>
                      <w:i/>
                      <w:szCs w:val="22"/>
                      <w:lang w:val="en-GB"/>
                    </w:rPr>
                  </m:ctrlPr>
                </m:dPr>
                <m:e>
                  <m:r>
                    <w:rPr>
                      <w:rFonts w:ascii="Cambria Math" w:hAnsi="Cambria Math" w:cstheme="minorHAnsi"/>
                      <w:szCs w:val="22"/>
                      <w:lang w:val="en-GB"/>
                    </w:rPr>
                    <m:t>AGP</m:t>
                  </m:r>
                </m:e>
              </m:d>
            </m:e>
          </m:func>
          <m:r>
            <w:rPr>
              <w:rFonts w:ascii="Cambria Math" w:hAnsi="Cambria Math" w:cstheme="minorHAnsi"/>
              <w:szCs w:val="22"/>
              <w:lang w:val="en-GB"/>
            </w:rPr>
            <m:t xml:space="preserve"> </m:t>
          </m:r>
        </m:oMath>
      </m:oMathPara>
    </w:p>
    <w:p w14:paraId="38A1DB96" w14:textId="1E82E6FD" w:rsidR="00AB66E5" w:rsidRPr="00A34060" w:rsidRDefault="03C7B32C" w:rsidP="0003642E">
      <w:pPr>
        <w:autoSpaceDE w:val="0"/>
        <w:autoSpaceDN w:val="0"/>
        <w:adjustRightInd w:val="0"/>
        <w:rPr>
          <w:rFonts w:cstheme="minorHAnsi"/>
          <w:szCs w:val="22"/>
          <w:lang w:val="en-GB"/>
        </w:rPr>
      </w:pPr>
      <w:r w:rsidRPr="03C7B32C">
        <w:rPr>
          <w:rFonts w:cstheme="minorBidi"/>
          <w:lang w:val="en-GB"/>
        </w:rPr>
        <w:t xml:space="preserve">Where MB is the serum micronutrient biomarker concentration, CRP is C-reactive protein, and AGP is α-1-acid-glycoprotein. The regression is modified if CRP or AGP is not measured in the survey dataset.  Individual serum micronutrient biomarker concentrations are then counterfactually adjusted to a reference level of AGP and/or CRP, as specified by the BRINDA regression approach </w:t>
      </w:r>
      <w:r w:rsidR="00475D36" w:rsidRPr="03C7B32C">
        <w:rPr>
          <w:rFonts w:cstheme="minorBidi"/>
          <w:lang w:val="en-GB"/>
        </w:rPr>
        <w:fldChar w:fldCharType="begin" w:fldLock="1"/>
      </w:r>
      <w:r w:rsidR="00475D36" w:rsidRPr="03C7B32C">
        <w:rPr>
          <w:rFonts w:cstheme="minorBidi"/>
          <w:lang w:val="en-GB"/>
        </w:rPr>
        <w:instrText xml:space="preserve">ADDIN CSL_CITATION {"citationItems":[{"id":"ITEM-1","itemData":{"DOI":"10.3945/AJCN.116.142166","ISSN":"0002-9165","abstract":"Background: The accurate estimation of the prevalence of vitamin A deficiency (VAD) is important in planning and implementing interventions. Retinol-binding protein (RBP) is often used in population surveys to measure vitamin A status, but its interpretation is challenging in settings where inflammation is common because RBP concentrations decrease during the acute-phase response.Objectives: We aimed to assess the relation between RBP concentrations and inflammation and malaria in preschool children (PSC) (age range: 6-59 mo) and women of reproductive age (WRA) (age range: 15-49 y) and to investigate adjustment algorithms to account for these effects.Design: Cross-sectional data from 8 surveys for PSC (n = 8803) and 4 surveys for WRA (n = 4191) from the Biomarkers Reflecting Inflammation and Nutritional Determinants of Anemia (BRINDA) project were analyzed individually and combined with the use of a meta-analysis. Several approaches were explored to adjust RBP concentrations in PSC in inflammation and malaria settings as follows: 1) the exclusion of subjects with C-reactive protein (CRP) concentrations &gt;5 mg/L or α-1-acid glycoprotein (AGP) concentrations &gt;1 g/L, 2) the application of arithmetic correction factors, and 3) the use of a regression correction approach. The impact of adjustment on the estimated prevalence of VAD (defined as &lt;0.7 μmol/L) was examined in PSC.Results: The relation between estimated VAD and CRP and AGP deciles followed a linear pattern in PSC. In women, the correlations between RBP and CRP and AGP were too weak to justify adjustments for inflammation. Depending on the approach used to adjust for inflammation (CRP+AGP), the estimated prevalence of VAD decreased by a median of 11-18 percentage points in PSC compared with unadjusted values. There was no added effect of adjusting for malaria on the estimated VAD after adjusting for CRP and AGP.Conclusions: The use of regression correction (derived from internal data), which accounts for the severity of inflammation, to estimate the prevalence of VAD in PSC in regions with inflammation and malaria is supported by the analysis of the BRINDA data. These findings contribute to the evidence on adjusting for inflammation when estimating VAD with the use of RBP.","author":[{"dropping-particle":"","family":"Larson","given":"Leila M","non-dropping-particle":"","parse-names":false,"suffix":""},{"dropping-particle":"","family":"Namaste","given":"Sorrel ML","non-dropping-particle":"","parse-names":false,"suffix":""},{"dropping-particle":"","family":"Williams","given":"Anne M","non-dropping-particle":"","parse-names":false,"suffix":""},{"dropping-particle":"","family":"Engle-Stone","given":"Reina","non-dropping-particle":"","parse-names":false,"suffix":""},{"dropping-particle":"","family":"Addo","given":"O Yaw","non-dropping-particle":"","parse-names":false,"suffix":""},{"dropping-particle":"","family":"Suchdev","given":"Parminder S","non-dropping-particle":"","parse-names":false,"suffix":""},{"dropping-particle":"","family":"Wirth","given":"James P","non-dropping-particle":"","parse-names":false,"suffix":""},{"dropping-particle":"","family":"Temple","given":"Victor","non-dropping-particle":"","parse-names":false,"suffix":""},{"dropping-particle":"","family":"Serdula","given":"Mary","non-dropping-particle":"","parse-names":false,"suffix":""},{"dropping-particle":"","family":"Northrop-Clewes","given":"Christine A","non-dropping-particle":"","parse-names":false,"suffix":""}],"container-title":"The American Journal of Clinical Nutrition","id":"ITEM-1","issue":"suppl_1","issued":{"date-parts":[["2017","7","1"]]},"page":"390S-401S","publisher":"Oxford Academic","title":"Adjusting retinol-binding protein concentrations for inflammation: Biomarkers Reflecting Inflammation and Nutritional Determinants of Anemia (BRINDA) project","type":"article-journal","volume":"106"},"uris":["http://www.mendeley.com/documents/?uuid=e8c4b49c-49c3-380f-8631-01e6691b226d"]},{"id":"ITEM-2","itemData":{"DOI":"10.3945/ajcn.116.142273","ISSN":"19383207","PMID":"28615254","abstract":"Background: The Biomarkers Reflecting Inflammation and Nutritional Determinants of Anemia (BRINDA) project is a multiagency and multicountry collaboration that was formed to improve micronutrient assessment and to better characterize anemia.Objectives: The aims of the project were to 1) identify factors associated with inflammation, 2) assess the relations between inflammation, malaria infection, and biomarkers of iron and vitamin A status and compare adjustment approaches, and 3) assess risk factors for anemia in preschool children (PSC) and women of reproductive age (WRA).Design: The BRINDA database inclusion criteria included surveys that 1) were conducted after 2004, 2) had target groups of PSC, WRA, or both, and 3) used a similar laboratory methodology for the measurement of ≥1 biomarker of iron [ferritin or soluble transferrin receptor or vitamin A status (retinol-binding protein or retinol)] and ≥1 biomarker of inflammation (α-1-acid glycoprotein or C-reactive protein). Individual data sets were standardized and merged into a BRINDA database comprising 16 nationally and regionally representative surveys from 14 countries. Collectively, the database covered all 6 WHO geographic regions and contained </w:instrText>
      </w:r>
      <w:r w:rsidR="00475D36" w:rsidRPr="03C7B32C">
        <w:rPr>
          <w:rFonts w:ascii="Cambria Math" w:hAnsi="Cambria Math" w:cs="Cambria Math"/>
          <w:lang w:val="en-GB"/>
        </w:rPr>
        <w:instrText>∼</w:instrText>
      </w:r>
      <w:r w:rsidR="00475D36" w:rsidRPr="03C7B32C">
        <w:rPr>
          <w:rFonts w:cstheme="minorBidi"/>
          <w:lang w:val="en-GB"/>
        </w:rPr>
        <w:instrText>30,000 PSC and 27,000 WRA. Data were analyzed individually and combined with the use of a meta-analysis.Results: The methods that were used to standardize the BRINDA database and the analytic approaches used to address the project's research questions are presented in this article. Three approaches to adjust micronutrient biomarker concentrations in the presence of inflammation and malaria infection are presented, along with an anemia conceptual framework that guided the BRINDA project's anemia analyses.Conclusions: The BRINDA project refines approaches to interpret iron and vitamin A biomarker values in settings of inflammation and malaria infection and suggests the use of a new regression approach as well as proposes an anemia framework to which real-world data can be applied. Findings can inform guidelines and strategies to prevent and control micronutrient deficiencies and anemia globally.","author":[{"dropping-particle":"","family":"Namaste","given":"Sorrel ML","non-dropping-particle":"","parse-names":false,"suffix":""},{"dropping-particle":"","family":"Aaron","given":"Grant J","non-dropping-particle":"","parse-names":false,"suffix":""},{"dropping-particle":"","family":"Varadhan","given":"Ravi","non-dropping-particle":"","parse-names":false,"suffix":""},{"dropping-particle":"","family":"Peerson","given":"Janet M","non-dropping-particle":"","parse-names":false,"suffix":""},{"dropping-particle":"","family":"Suchdev","given":"Parminder S","non-dropping-particle":"","parse-names":false,"suffix":""}],"container-title":"The American journal of clinical nutrition","id":"ITEM-2","issue":"suppl_1","issued":{"date-parts":[["2017","7","1"]]},"page":"333S-347S","publisher":"Oxford Academic","title":"Methodologic approach for the Biomarkers Reflecting Inflammation and Nutritional Determinants of Anemia (BRINDA) project","type":"article-journal","volume":"106"},"uris":["http://www.mendeley.com/documents/?uuid=a6d34631-78d3-33cf-812b-2dbdb96b6c5c"]},{"id":"ITEM-3","itemData":{"DOI":"10.1093/AJCN/NQZ304","ISSN":"0002-9165","abstract":"The accurate estimation of zinc deficiency at the population level is important, as it guides the design, targeting, and evaluation of nutrition interventions. Plasma or serum zinc concentration (PZC) is recommended to estimate zinc nutritional status; however, concentrations may decrease in the presence of inflammation. Objectives: We aimed to assess the relation between PZC and inflammation in preschool children (PSC; 6-59 mo) and nonpregnant women of reproductive age (WRA; 15-49 y), and to compare different inflammation adjustment approaches, if adjustment is warranted. Methods: Cross-sectional data from 13 nationally representative surveys (18,859 PSC, 22,695 WRA) from the Biomarkers Reflecting Inflammation and Nutritional Determinants of Anemia (BRINDA) project were analyzed. Correlation and decile analyses were conducted, and the following 3 adjustment methods were compared if a consistent negative association between PZC and C-reactive protein (CRP) or α-1-acid glycoprotein (AGP) was observed: 1) exclude individuals with CRP &gt; 5 mg/L or AGP &gt; 1 g/L; 2) apply arithmetic correction factors; and 3) use the BRINDA regression correction (RC) approach. Results: In 6 of 12 PSC surveys, the estimated prevalence of zinc deficiency increased with increasing CRP deciles, and to a lesser extent, with increasing AGP deciles. In WRA, the association of PZC with CRP and AGP was weak and inconsistent. In the 6 PSC surveys in which adjustment methods were compared, application of RC reduced the estimated prevalence of zinc deficiency by a median of 11 (range: 4-18) percentage points, compared with the unadjusted prevalence. Conclusions: Relations between PZC and inflammatory markers were inconsistent, suggesting that correlation and decile analyses should be conducted before applying any inflammation adjustments. In populations of PSC that exhibit a significant negative association between PZC and CRP or AGP, application of the RC approach is supported. At this time, there is insufficient evidence to warrant inflammation adjustment in WRA.","author":[{"dropping-particle":"","family":"McDonald","given":"Christine M","non-dropping-particle":"","parse-names":false,"suffix":""},{"dropping-particle":"","family":"Suchdev","given":"Parminder S","non-dropping-particle":"","parse-names":false,"suffix":""},{"dropping-particle":"","family":"Krebs","given":"Nancy F","non-dropping-particle":"","parse-names":false,"suffix":""},{"dropping-particle":"","family":"Hess","given":"Sonja Y","non-dropping-particle":"","parse-names":false,"suffix":""},{"dropping-particle":"","family":"Wessells","given":"K Ryan","non-dropping-particle":"","parse-names":false,"suffix":""},{"dropping-particle":"","family":"Ismaily","given":"Sanober","non-dropping-particle":"","parse-names":false,"suffix":""},{"dropping-particle":"","family":"Rahman","given":"Sabuktagin","non-dropping-particle":"","parse-names":false,"suffix":""},{"dropping-particle":"","family":"Wieringa","given":"Frank T","non-dropping-particle":"","parse-names":false,"suffix":""},{"dropping-particle":"","family":"Williams","given":"Anne M","non-dropping-particle":"","parse-names":false,"suffix":""},{"dropping-particle":"","family":"Brown","given":"Kenneth H","non-dropping-particle":"","parse-names":false,"suffix":""},{"dropping-particle":"","family":"King","given":"Janet C","non-dropping-particle":"","parse-names":false,"suffix":""}],"container-title":"The American Journal of Clinical Nutrition","id":"ITEM-3","issue":"4","issued":{"date-parts":[["2020","4","1"]]},"page":"927-937","publisher":"Oxford Academic","title":"Adjusting plasma or serum zinc concentrations for inflammation: Biomarkers Reflecting Inflammation and Nutritional Determinants of Anemia (BRINDA) project","type":"article-journal","volume":"111"},"uris":["http://www.mendeley.com/documents/?uuid=76a2fb9e-9331-3e3f-a4c0-f2501de2868b"]}],"mendeley":{"formattedCitation":"(3–5)","plainTextFormattedCitation":"(3–5)","previouslyFormattedCitation":"(3–5)"},"properties":{"noteIndex":0},"schema":"https://github.com/citation-style-language/schema/raw/master/csl-citation.json"}</w:instrText>
      </w:r>
      <w:r w:rsidR="00475D36" w:rsidRPr="03C7B32C">
        <w:rPr>
          <w:rFonts w:cstheme="minorBidi"/>
          <w:lang w:val="en-GB"/>
        </w:rPr>
        <w:fldChar w:fldCharType="separate"/>
      </w:r>
      <w:r w:rsidRPr="03C7B32C">
        <w:rPr>
          <w:rFonts w:cstheme="minorBidi"/>
          <w:noProof/>
          <w:lang w:val="en-GB"/>
        </w:rPr>
        <w:t>(3–5)</w:t>
      </w:r>
      <w:r w:rsidR="00475D36" w:rsidRPr="03C7B32C">
        <w:rPr>
          <w:rFonts w:cstheme="minorBidi"/>
          <w:lang w:val="en-GB"/>
        </w:rPr>
        <w:fldChar w:fldCharType="end"/>
      </w:r>
      <w:r w:rsidRPr="03C7B32C">
        <w:rPr>
          <w:rFonts w:cstheme="minorBidi"/>
          <w:lang w:val="en-GB"/>
        </w:rPr>
        <w:t xml:space="preserve">. For some included surveys, the BRINDA reference level of CRP—0.10 mg/L in pre-school aged children and 0.16 mg/L in non-pregnant women—are below the survey’s level of detection for CRP.  In those cases, BRINDA regressions are modified to counterfactually adjust serum micronutrient </w:t>
      </w:r>
      <w:r w:rsidR="002F0753">
        <w:rPr>
          <w:rFonts w:cstheme="minorBidi"/>
          <w:lang w:val="en-GB"/>
        </w:rPr>
        <w:t xml:space="preserve">biomarker </w:t>
      </w:r>
      <w:r w:rsidRPr="03C7B32C">
        <w:rPr>
          <w:rFonts w:cstheme="minorBidi"/>
          <w:lang w:val="en-GB"/>
        </w:rPr>
        <w:t xml:space="preserve">concentration to the specific survey’s lower level </w:t>
      </w:r>
      <w:r w:rsidRPr="03C7B32C">
        <w:rPr>
          <w:rFonts w:cstheme="minorBidi"/>
          <w:lang w:val="en-GB"/>
        </w:rPr>
        <w:lastRenderedPageBreak/>
        <w:t>of detection, to avoid adjusting serum micronutrient biomarker values in individuals without inflammation. Included surveys with CRP limits of detection above the BRINDA thresholds are as follows:</w:t>
      </w:r>
    </w:p>
    <w:p w14:paraId="3724D136" w14:textId="36766084" w:rsidR="007F2B22" w:rsidRPr="00A34060" w:rsidRDefault="007F2B22" w:rsidP="00FE1ED1">
      <w:pPr>
        <w:pStyle w:val="ListParagraph"/>
        <w:numPr>
          <w:ilvl w:val="0"/>
          <w:numId w:val="10"/>
        </w:numPr>
        <w:autoSpaceDE w:val="0"/>
        <w:autoSpaceDN w:val="0"/>
        <w:adjustRightInd w:val="0"/>
        <w:rPr>
          <w:rFonts w:cstheme="minorHAnsi"/>
          <w:szCs w:val="22"/>
          <w:lang w:val="en-GB"/>
        </w:rPr>
      </w:pPr>
      <w:r w:rsidRPr="00A34060">
        <w:rPr>
          <w:rFonts w:cstheme="minorHAnsi"/>
          <w:szCs w:val="22"/>
          <w:lang w:val="en-GB"/>
        </w:rPr>
        <w:t xml:space="preserve">Ecuador 2012, </w:t>
      </w:r>
      <w:r w:rsidR="002615EB" w:rsidRPr="00A34060">
        <w:rPr>
          <w:rFonts w:cstheme="minorHAnsi"/>
          <w:szCs w:val="22"/>
          <w:lang w:val="en-GB"/>
        </w:rPr>
        <w:t xml:space="preserve">1.9 </w:t>
      </w:r>
      <w:r w:rsidR="008148F8" w:rsidRPr="00A34060">
        <w:rPr>
          <w:rFonts w:cstheme="minorHAnsi"/>
          <w:szCs w:val="22"/>
          <w:lang w:val="en-GB"/>
        </w:rPr>
        <w:t>m</w:t>
      </w:r>
      <w:r w:rsidR="002615EB" w:rsidRPr="00A34060">
        <w:rPr>
          <w:rFonts w:cstheme="minorHAnsi"/>
          <w:szCs w:val="22"/>
          <w:lang w:val="en-GB"/>
        </w:rPr>
        <w:t>g/L</w:t>
      </w:r>
    </w:p>
    <w:p w14:paraId="5A1CF0B8" w14:textId="76616BE9" w:rsidR="002615EB" w:rsidRPr="00A34060" w:rsidRDefault="002615EB" w:rsidP="00FE1ED1">
      <w:pPr>
        <w:pStyle w:val="ListParagraph"/>
        <w:numPr>
          <w:ilvl w:val="0"/>
          <w:numId w:val="10"/>
        </w:numPr>
        <w:autoSpaceDE w:val="0"/>
        <w:autoSpaceDN w:val="0"/>
        <w:adjustRightInd w:val="0"/>
        <w:rPr>
          <w:rFonts w:cstheme="minorHAnsi"/>
          <w:szCs w:val="22"/>
          <w:lang w:val="en-GB"/>
        </w:rPr>
      </w:pPr>
      <w:r w:rsidRPr="00A34060">
        <w:rPr>
          <w:rFonts w:cstheme="minorHAnsi"/>
          <w:szCs w:val="22"/>
          <w:lang w:val="en-GB"/>
        </w:rPr>
        <w:t xml:space="preserve">Bangladesh </w:t>
      </w:r>
      <w:r w:rsidR="0065278E" w:rsidRPr="00A34060">
        <w:rPr>
          <w:rFonts w:cstheme="minorHAnsi"/>
          <w:szCs w:val="22"/>
          <w:lang w:val="en-GB"/>
        </w:rPr>
        <w:t xml:space="preserve">2012, 0.3 </w:t>
      </w:r>
      <w:r w:rsidR="008148F8" w:rsidRPr="00A34060">
        <w:rPr>
          <w:rFonts w:cstheme="minorHAnsi"/>
          <w:szCs w:val="22"/>
          <w:lang w:val="en-GB"/>
        </w:rPr>
        <w:t>m</w:t>
      </w:r>
      <w:r w:rsidR="0065278E" w:rsidRPr="00A34060">
        <w:rPr>
          <w:rFonts w:cstheme="minorHAnsi"/>
          <w:szCs w:val="22"/>
          <w:lang w:val="en-GB"/>
        </w:rPr>
        <w:t>g/L</w:t>
      </w:r>
    </w:p>
    <w:p w14:paraId="0E1E9D37" w14:textId="1275C02F" w:rsidR="0065278E" w:rsidRPr="00A34060" w:rsidRDefault="0065278E" w:rsidP="00FE1ED1">
      <w:pPr>
        <w:pStyle w:val="ListParagraph"/>
        <w:numPr>
          <w:ilvl w:val="0"/>
          <w:numId w:val="10"/>
        </w:numPr>
        <w:autoSpaceDE w:val="0"/>
        <w:autoSpaceDN w:val="0"/>
        <w:adjustRightInd w:val="0"/>
        <w:rPr>
          <w:rFonts w:cstheme="minorHAnsi"/>
          <w:szCs w:val="22"/>
          <w:lang w:val="en-GB"/>
        </w:rPr>
      </w:pPr>
      <w:r w:rsidRPr="00A34060">
        <w:rPr>
          <w:rFonts w:cstheme="minorHAnsi"/>
          <w:szCs w:val="22"/>
          <w:lang w:val="en-GB"/>
        </w:rPr>
        <w:t>United Kingdom 200</w:t>
      </w:r>
      <w:r w:rsidR="00180BBC" w:rsidRPr="00A34060">
        <w:rPr>
          <w:rFonts w:cstheme="minorHAnsi"/>
          <w:szCs w:val="22"/>
          <w:lang w:val="en-GB"/>
        </w:rPr>
        <w:t>8-19 and</w:t>
      </w:r>
      <w:r w:rsidRPr="00A34060">
        <w:rPr>
          <w:rFonts w:cstheme="minorHAnsi"/>
          <w:szCs w:val="22"/>
          <w:lang w:val="en-GB"/>
        </w:rPr>
        <w:t xml:space="preserve"> Georgia 2008: 1</w:t>
      </w:r>
      <w:r w:rsidR="00FE1ED1" w:rsidRPr="00A34060">
        <w:rPr>
          <w:rFonts w:cstheme="minorHAnsi"/>
          <w:szCs w:val="22"/>
          <w:lang w:val="en-GB"/>
        </w:rPr>
        <w:t>.0</w:t>
      </w:r>
      <w:r w:rsidRPr="00A34060">
        <w:rPr>
          <w:rFonts w:cstheme="minorHAnsi"/>
          <w:szCs w:val="22"/>
          <w:lang w:val="en-GB"/>
        </w:rPr>
        <w:t xml:space="preserve"> </w:t>
      </w:r>
      <w:r w:rsidR="008148F8" w:rsidRPr="00A34060">
        <w:rPr>
          <w:rFonts w:cstheme="minorHAnsi"/>
          <w:szCs w:val="22"/>
          <w:lang w:val="en-GB"/>
        </w:rPr>
        <w:t>m</w:t>
      </w:r>
      <w:r w:rsidRPr="00A34060">
        <w:rPr>
          <w:rFonts w:cstheme="minorHAnsi"/>
          <w:szCs w:val="22"/>
          <w:lang w:val="en-GB"/>
        </w:rPr>
        <w:t>g/L</w:t>
      </w:r>
    </w:p>
    <w:p w14:paraId="3DC411BB" w14:textId="66340701" w:rsidR="002615EB" w:rsidRPr="00A34060" w:rsidRDefault="002615EB" w:rsidP="00FE1ED1">
      <w:pPr>
        <w:pStyle w:val="ListParagraph"/>
        <w:numPr>
          <w:ilvl w:val="0"/>
          <w:numId w:val="10"/>
        </w:numPr>
        <w:autoSpaceDE w:val="0"/>
        <w:autoSpaceDN w:val="0"/>
        <w:adjustRightInd w:val="0"/>
        <w:rPr>
          <w:rFonts w:cstheme="minorHAnsi"/>
          <w:szCs w:val="22"/>
          <w:lang w:val="en-GB"/>
        </w:rPr>
      </w:pPr>
      <w:r w:rsidRPr="00A34060">
        <w:rPr>
          <w:rFonts w:cstheme="minorHAnsi"/>
          <w:szCs w:val="22"/>
          <w:lang w:val="en-GB"/>
        </w:rPr>
        <w:t>India 2016</w:t>
      </w:r>
      <w:r w:rsidR="00180BBC" w:rsidRPr="00A34060">
        <w:rPr>
          <w:rFonts w:cstheme="minorHAnsi"/>
          <w:szCs w:val="22"/>
          <w:lang w:val="en-GB"/>
        </w:rPr>
        <w:t>-18</w:t>
      </w:r>
      <w:r w:rsidRPr="00A34060">
        <w:rPr>
          <w:rFonts w:cstheme="minorHAnsi"/>
          <w:szCs w:val="22"/>
          <w:lang w:val="en-GB"/>
        </w:rPr>
        <w:t>, level of detection varied</w:t>
      </w:r>
      <w:r w:rsidR="00922DBA">
        <w:rPr>
          <w:rFonts w:cstheme="minorHAnsi"/>
          <w:szCs w:val="22"/>
          <w:lang w:val="en-GB"/>
        </w:rPr>
        <w:t xml:space="preserve"> </w:t>
      </w:r>
      <w:r w:rsidR="00E10509" w:rsidRPr="00A34060">
        <w:rPr>
          <w:rFonts w:cstheme="minorHAnsi"/>
          <w:szCs w:val="22"/>
          <w:lang w:val="en-GB"/>
        </w:rPr>
        <w:t xml:space="preserve">with </w:t>
      </w:r>
      <w:r w:rsidR="00FE1ED1" w:rsidRPr="00A34060">
        <w:rPr>
          <w:rFonts w:cstheme="minorHAnsi"/>
          <w:szCs w:val="22"/>
          <w:lang w:val="en-GB"/>
        </w:rPr>
        <w:t>a</w:t>
      </w:r>
      <w:r w:rsidR="00E10509" w:rsidRPr="00A34060">
        <w:rPr>
          <w:rFonts w:cstheme="minorHAnsi"/>
          <w:szCs w:val="22"/>
          <w:lang w:val="en-GB"/>
        </w:rPr>
        <w:t xml:space="preserve"> </w:t>
      </w:r>
      <w:r w:rsidR="00FE1ED1" w:rsidRPr="00A34060">
        <w:rPr>
          <w:rFonts w:cstheme="minorHAnsi"/>
          <w:szCs w:val="22"/>
          <w:lang w:val="en-GB"/>
        </w:rPr>
        <w:t>maximum</w:t>
      </w:r>
      <w:r w:rsidR="00E10509" w:rsidRPr="00A34060">
        <w:rPr>
          <w:rFonts w:cstheme="minorHAnsi"/>
          <w:szCs w:val="22"/>
          <w:lang w:val="en-GB"/>
        </w:rPr>
        <w:t xml:space="preserve"> </w:t>
      </w:r>
      <w:r w:rsidR="00FE1ED1" w:rsidRPr="00A34060">
        <w:rPr>
          <w:rFonts w:cstheme="minorHAnsi"/>
          <w:szCs w:val="22"/>
          <w:lang w:val="en-GB"/>
        </w:rPr>
        <w:t>of</w:t>
      </w:r>
      <w:r w:rsidR="00E10509" w:rsidRPr="00A34060">
        <w:rPr>
          <w:rFonts w:cstheme="minorHAnsi"/>
          <w:szCs w:val="22"/>
          <w:lang w:val="en-GB"/>
        </w:rPr>
        <w:t xml:space="preserve"> 3.3 </w:t>
      </w:r>
      <w:r w:rsidR="008148F8" w:rsidRPr="00A34060">
        <w:rPr>
          <w:rFonts w:cstheme="minorHAnsi"/>
          <w:szCs w:val="22"/>
          <w:lang w:val="en-GB"/>
        </w:rPr>
        <w:t>m</w:t>
      </w:r>
      <w:r w:rsidR="00E10509" w:rsidRPr="00A34060">
        <w:rPr>
          <w:rFonts w:cstheme="minorHAnsi"/>
          <w:szCs w:val="22"/>
          <w:lang w:val="en-GB"/>
        </w:rPr>
        <w:t>g/L</w:t>
      </w:r>
    </w:p>
    <w:p w14:paraId="77AD00B9" w14:textId="14F7A80C" w:rsidR="003144E9" w:rsidRDefault="00725925" w:rsidP="004D4C0A">
      <w:pPr>
        <w:autoSpaceDE w:val="0"/>
        <w:autoSpaceDN w:val="0"/>
        <w:adjustRightInd w:val="0"/>
        <w:rPr>
          <w:rFonts w:cstheme="minorHAnsi"/>
          <w:szCs w:val="22"/>
          <w:lang w:val="en-GB"/>
        </w:rPr>
      </w:pPr>
      <w:r w:rsidRPr="00A34060">
        <w:rPr>
          <w:rFonts w:cstheme="minorHAnsi"/>
          <w:szCs w:val="22"/>
          <w:lang w:val="en-GB"/>
        </w:rPr>
        <w:t>The specific micronutrient-</w:t>
      </w:r>
      <w:r w:rsidR="00C10047" w:rsidRPr="00A34060">
        <w:rPr>
          <w:rFonts w:cstheme="minorHAnsi"/>
          <w:szCs w:val="22"/>
          <w:lang w:val="en-GB"/>
        </w:rPr>
        <w:t xml:space="preserve">population groups on which this adjustment </w:t>
      </w:r>
      <w:r w:rsidR="00E127D1">
        <w:rPr>
          <w:rFonts w:cstheme="minorHAnsi"/>
          <w:szCs w:val="22"/>
          <w:lang w:val="en-GB"/>
        </w:rPr>
        <w:t>wa</w:t>
      </w:r>
      <w:r w:rsidR="00C10047" w:rsidRPr="00A34060">
        <w:rPr>
          <w:rFonts w:cstheme="minorHAnsi"/>
          <w:szCs w:val="22"/>
          <w:lang w:val="en-GB"/>
        </w:rPr>
        <w:t xml:space="preserve">s carried out </w:t>
      </w:r>
      <w:r w:rsidR="00922DBA">
        <w:rPr>
          <w:rFonts w:cstheme="minorHAnsi"/>
          <w:szCs w:val="22"/>
          <w:lang w:val="en-GB"/>
        </w:rPr>
        <w:t>are</w:t>
      </w:r>
      <w:r w:rsidR="00C10047" w:rsidRPr="00A34060">
        <w:rPr>
          <w:rFonts w:cstheme="minorHAnsi"/>
          <w:szCs w:val="22"/>
          <w:lang w:val="en-GB"/>
        </w:rPr>
        <w:t xml:space="preserve"> summarized in </w:t>
      </w:r>
      <w:r w:rsidR="00DA2DD7">
        <w:rPr>
          <w:rFonts w:cstheme="minorHAnsi"/>
          <w:szCs w:val="22"/>
          <w:lang w:val="en-GB"/>
        </w:rPr>
        <w:t>Appendix Table</w:t>
      </w:r>
      <w:r w:rsidR="00C10047" w:rsidRPr="00A34060">
        <w:rPr>
          <w:rFonts w:cstheme="minorHAnsi"/>
          <w:szCs w:val="22"/>
          <w:lang w:val="en-GB"/>
        </w:rPr>
        <w:t xml:space="preserve"> </w:t>
      </w:r>
      <w:r w:rsidR="00D536DB" w:rsidRPr="00A34060">
        <w:rPr>
          <w:rFonts w:cstheme="minorHAnsi"/>
          <w:szCs w:val="22"/>
          <w:lang w:val="en-GB"/>
        </w:rPr>
        <w:t>4</w:t>
      </w:r>
      <w:r w:rsidR="00C10047" w:rsidRPr="00A34060">
        <w:rPr>
          <w:rFonts w:cstheme="minorHAnsi"/>
          <w:szCs w:val="22"/>
          <w:lang w:val="en-GB"/>
        </w:rPr>
        <w:t xml:space="preserve">. </w:t>
      </w:r>
    </w:p>
    <w:p w14:paraId="5A5C0063" w14:textId="77777777" w:rsidR="00F36736" w:rsidRDefault="00F36736" w:rsidP="004D4C0A">
      <w:pPr>
        <w:autoSpaceDE w:val="0"/>
        <w:autoSpaceDN w:val="0"/>
        <w:adjustRightInd w:val="0"/>
        <w:rPr>
          <w:rFonts w:cstheme="minorHAnsi"/>
          <w:szCs w:val="22"/>
          <w:lang w:val="en-GB"/>
        </w:rPr>
      </w:pPr>
    </w:p>
    <w:p w14:paraId="4F95FDCC" w14:textId="4A105529" w:rsidR="00A77FA8" w:rsidRPr="00A34060" w:rsidRDefault="00A77FA8" w:rsidP="004D4C0A">
      <w:pPr>
        <w:autoSpaceDE w:val="0"/>
        <w:autoSpaceDN w:val="0"/>
        <w:adjustRightInd w:val="0"/>
        <w:rPr>
          <w:rFonts w:cstheme="minorHAnsi"/>
          <w:szCs w:val="22"/>
          <w:lang w:val="en-GB"/>
        </w:rPr>
      </w:pPr>
      <w:r>
        <w:rPr>
          <w:rFonts w:cstheme="minorHAnsi"/>
          <w:szCs w:val="22"/>
          <w:lang w:val="en-GB"/>
        </w:rPr>
        <w:t xml:space="preserve">Definitions of deficiency are summarized in </w:t>
      </w:r>
      <w:r w:rsidR="00DA2DD7">
        <w:rPr>
          <w:rFonts w:cstheme="minorHAnsi"/>
          <w:szCs w:val="22"/>
          <w:lang w:val="en-GB"/>
        </w:rPr>
        <w:t>Appendix Table</w:t>
      </w:r>
      <w:r w:rsidR="00C10047" w:rsidRPr="00A34060">
        <w:rPr>
          <w:rFonts w:cstheme="minorHAnsi"/>
          <w:szCs w:val="22"/>
          <w:lang w:val="en-GB"/>
        </w:rPr>
        <w:t xml:space="preserve"> </w:t>
      </w:r>
      <w:r w:rsidR="00D536DB" w:rsidRPr="00A34060">
        <w:rPr>
          <w:rFonts w:cstheme="minorHAnsi"/>
          <w:szCs w:val="22"/>
          <w:lang w:val="en-GB"/>
        </w:rPr>
        <w:t>4</w:t>
      </w:r>
      <w:r w:rsidR="00C10047" w:rsidRPr="00A34060">
        <w:rPr>
          <w:rFonts w:cstheme="minorHAnsi"/>
          <w:szCs w:val="22"/>
          <w:lang w:val="en-GB"/>
        </w:rPr>
        <w:t>.</w:t>
      </w:r>
      <w:r>
        <w:rPr>
          <w:rFonts w:cstheme="minorHAnsi"/>
          <w:szCs w:val="22"/>
          <w:lang w:val="en-GB"/>
        </w:rPr>
        <w:t xml:space="preserve"> </w:t>
      </w:r>
      <w:r w:rsidR="001C7A0A">
        <w:rPr>
          <w:rFonts w:cstheme="minorHAnsi"/>
          <w:szCs w:val="22"/>
          <w:lang w:val="en-GB"/>
        </w:rPr>
        <w:t xml:space="preserve">Included surveys used a variety of folate assays, which may affect folate measurements. </w:t>
      </w:r>
      <w:r w:rsidR="00E6079F">
        <w:rPr>
          <w:rFonts w:cstheme="minorHAnsi"/>
          <w:szCs w:val="22"/>
          <w:lang w:val="en-GB"/>
        </w:rPr>
        <w:t>Rogers</w:t>
      </w:r>
      <w:r w:rsidR="00922DBA">
        <w:rPr>
          <w:rFonts w:cstheme="minorHAnsi"/>
          <w:szCs w:val="22"/>
          <w:lang w:val="en-GB"/>
        </w:rPr>
        <w:t xml:space="preserve"> and colleagues </w:t>
      </w:r>
      <w:r w:rsidR="00E6079F">
        <w:rPr>
          <w:rFonts w:cstheme="minorHAnsi"/>
          <w:szCs w:val="22"/>
          <w:lang w:val="en-GB"/>
        </w:rPr>
        <w:t>have</w:t>
      </w:r>
      <w:r w:rsidR="001C7A0A">
        <w:rPr>
          <w:rFonts w:cstheme="minorHAnsi"/>
          <w:szCs w:val="22"/>
          <w:lang w:val="en-GB"/>
        </w:rPr>
        <w:t xml:space="preserve"> recommended that </w:t>
      </w:r>
      <w:r w:rsidR="00BD12C3">
        <w:rPr>
          <w:rFonts w:cstheme="minorHAnsi"/>
          <w:szCs w:val="22"/>
          <w:lang w:val="en-GB"/>
        </w:rPr>
        <w:t>assay-</w:t>
      </w:r>
      <w:r w:rsidR="001B47C8">
        <w:rPr>
          <w:rFonts w:cstheme="minorHAnsi"/>
          <w:szCs w:val="22"/>
          <w:lang w:val="en-GB"/>
        </w:rPr>
        <w:t>adjusted</w:t>
      </w:r>
      <w:r w:rsidR="00BD12C3">
        <w:rPr>
          <w:rFonts w:cstheme="minorHAnsi"/>
          <w:szCs w:val="22"/>
          <w:lang w:val="en-GB"/>
        </w:rPr>
        <w:t xml:space="preserve"> folate </w:t>
      </w:r>
      <w:proofErr w:type="spellStart"/>
      <w:r w:rsidR="00BD12C3">
        <w:rPr>
          <w:rFonts w:cstheme="minorHAnsi"/>
          <w:szCs w:val="22"/>
          <w:lang w:val="en-GB"/>
        </w:rPr>
        <w:t>cutoffs</w:t>
      </w:r>
      <w:proofErr w:type="spellEnd"/>
      <w:r w:rsidR="00BD12C3">
        <w:rPr>
          <w:rFonts w:cstheme="minorHAnsi"/>
          <w:szCs w:val="22"/>
          <w:lang w:val="en-GB"/>
        </w:rPr>
        <w:t xml:space="preserve"> should be used</w:t>
      </w:r>
      <w:r w:rsidR="00D94AFF">
        <w:rPr>
          <w:rFonts w:cstheme="minorHAnsi"/>
          <w:szCs w:val="22"/>
          <w:lang w:val="en-GB"/>
        </w:rPr>
        <w:t xml:space="preserve"> </w:t>
      </w:r>
      <w:r w:rsidR="00DD18E5">
        <w:rPr>
          <w:rFonts w:cstheme="minorHAnsi"/>
          <w:szCs w:val="22"/>
          <w:lang w:val="en-GB"/>
        </w:rPr>
        <w:fldChar w:fldCharType="begin" w:fldLock="1"/>
      </w:r>
      <w:r w:rsidR="000E3127">
        <w:rPr>
          <w:rFonts w:cstheme="minorHAnsi"/>
          <w:szCs w:val="22"/>
          <w:lang w:val="en-GB"/>
        </w:rPr>
        <w:instrText>ADDIN CSL_CITATION {"citationItems":[{"id":"ITEM-1","itemData":{"DOI":"10.1111/NYAS.13963","ISSN":"1749-6632","PMID":"30239016","abstract":"Inadequate folate status in women of reproductive age (WRA) can lead to adverse health consequences of public health significance, such as megaloblastic anemia (folate deficiency) and an increased risk of neural tube defect (NTD)-affected pregnancies (folate insufficiency). Our review aims to evaluate current data on folate status of WRA. We queried eight databases and the World Health Organization Micronutrients Database, identifying 45 relevant surveys conducted between 2000 and 2014 in 39 countries. Several types of folate assays were used in the analysis of blood folate, and many surveys used folate cutoffs not matched to the assay. To allow better comparisons across surveys, we attempted to account for these differences. The prevalence of folate deficiency was &gt;20% in many countries with lower income economies but was typically &lt;5% in countries with higher income economies. Only 11 surveys reported the prevalence of folate insufficiency, which was &gt;40% in most countries. Overall, folate status data for WRA globally are limited and must be carefully interpreted due to methodological issues. Future surveys would benefit from using the microbiologic assay to assess folate status, along with assay-matched cutoffs to improve monitoring and evaluation of folic acid interventions, thus informing global efforts to prevent NTDs.","author":[{"dropping-particle":"","family":"Rogers","given":"Lisa M.","non-dropping-particle":"","parse-names":false,"suffix":""},{"dropping-particle":"","family":"Cordero","given":"Amy M.","non-dropping-particle":"","parse-names":false,"suffix":""},{"dropping-particle":"","family":"Pfeiffer","given":"Christine M.","non-dropping-particle":"","parse-names":false,"suffix":""},{"dropping-particle":"","family":"Hausman","given":"Dorothy B.","non-dropping-particle":"","parse-names":false,"suffix":""},{"dropping-particle":"","family":"Tsang","given":"Becky L.","non-dropping-particle":"","parse-names":false,"suffix":""},{"dropping-particle":"","family":"De-Regil","given":"Luz María","non-dropping-particle":"","parse-names":false,"suffix":""},{"dropping-particle":"","family":"Rosenthal","given":"Jorge","non-dropping-particle":"","parse-names":false,"suffix":""},{"dropping-particle":"","family":"Razzaghi","given":"Hilda","non-dropping-particle":"","parse-names":false,"suffix":""},{"dropping-particle":"","family":"Wong","given":"Eugene C.","non-dropping-particle":"","parse-names":false,"suffix":""},{"dropping-particle":"","family":"Weakland","given":"Aliki P.","non-dropping-particle":"","parse-names":false,"suffix":""},{"dropping-particle":"","family":"Bailey","given":"Lynn B.","non-dropping-particle":"","parse-names":false,"suffix":""}],"container-title":"Annals of the New York Academy of Sciences","id":"ITEM-1","issue":"1","issued":{"date-parts":[["2018"]]},"publisher":"Ann N Y Acad Sci","title":"Global folate status in women of reproductive age: a systematic review with emphasis on methodological issues","type":"article-journal","volume":"1431"},"uris":["http://www.mendeley.com/documents/?uuid=a584ba0e-1383-3dcb-a468-667e4dba6c2d"]}],"mendeley":{"formattedCitation":"(6)","plainTextFormattedCitation":"(6)","previouslyFormattedCitation":"(6)"},"properties":{"noteIndex":0},"schema":"https://github.com/citation-style-language/schema/raw/master/csl-citation.json"}</w:instrText>
      </w:r>
      <w:r w:rsidR="00DD18E5">
        <w:rPr>
          <w:rFonts w:cstheme="minorHAnsi"/>
          <w:szCs w:val="22"/>
          <w:lang w:val="en-GB"/>
        </w:rPr>
        <w:fldChar w:fldCharType="separate"/>
      </w:r>
      <w:r w:rsidR="00DD18E5" w:rsidRPr="00DD18E5">
        <w:rPr>
          <w:rFonts w:cstheme="minorHAnsi"/>
          <w:noProof/>
          <w:szCs w:val="22"/>
          <w:lang w:val="en-GB"/>
        </w:rPr>
        <w:t>(6)</w:t>
      </w:r>
      <w:r w:rsidR="00DD18E5">
        <w:rPr>
          <w:rFonts w:cstheme="minorHAnsi"/>
          <w:szCs w:val="22"/>
          <w:lang w:val="en-GB"/>
        </w:rPr>
        <w:fldChar w:fldCharType="end"/>
      </w:r>
      <w:r w:rsidR="00D94AFF">
        <w:rPr>
          <w:rFonts w:cstheme="minorHAnsi"/>
          <w:szCs w:val="22"/>
          <w:lang w:val="en-GB"/>
        </w:rPr>
        <w:t xml:space="preserve">. We have </w:t>
      </w:r>
      <w:r w:rsidR="00481B9F">
        <w:rPr>
          <w:rFonts w:cstheme="minorHAnsi"/>
          <w:szCs w:val="22"/>
          <w:lang w:val="en-GB"/>
        </w:rPr>
        <w:t xml:space="preserve">applied assay </w:t>
      </w:r>
      <w:r w:rsidR="00DC277F">
        <w:rPr>
          <w:rFonts w:cstheme="minorHAnsi"/>
          <w:szCs w:val="22"/>
          <w:lang w:val="en-GB"/>
        </w:rPr>
        <w:t xml:space="preserve">factors to adjust </w:t>
      </w:r>
      <w:r w:rsidR="00050AD8">
        <w:rPr>
          <w:rFonts w:cstheme="minorHAnsi"/>
          <w:szCs w:val="22"/>
          <w:lang w:val="en-GB"/>
        </w:rPr>
        <w:t xml:space="preserve">the WHO </w:t>
      </w:r>
      <w:r w:rsidR="00DC277F">
        <w:rPr>
          <w:rFonts w:cstheme="minorHAnsi"/>
          <w:szCs w:val="22"/>
          <w:lang w:val="en-GB"/>
        </w:rPr>
        <w:t>folate thresholds</w:t>
      </w:r>
      <w:r w:rsidR="00050AD8">
        <w:rPr>
          <w:rFonts w:cstheme="minorHAnsi"/>
          <w:szCs w:val="22"/>
          <w:lang w:val="en-GB"/>
        </w:rPr>
        <w:t xml:space="preserve"> </w:t>
      </w:r>
      <w:r w:rsidR="00D46BF1">
        <w:rPr>
          <w:rFonts w:cstheme="minorHAnsi"/>
          <w:szCs w:val="22"/>
          <w:lang w:val="en-GB"/>
        </w:rPr>
        <w:t>listed in Appendix Table 4</w:t>
      </w:r>
      <w:r w:rsidR="00B05E9C">
        <w:rPr>
          <w:rFonts w:cstheme="minorHAnsi"/>
          <w:szCs w:val="22"/>
          <w:lang w:val="en-GB"/>
        </w:rPr>
        <w:t xml:space="preserve">. These survey-specific factors were obtained from </w:t>
      </w:r>
      <w:r w:rsidR="003528E2">
        <w:rPr>
          <w:rFonts w:cstheme="minorHAnsi"/>
          <w:szCs w:val="22"/>
          <w:lang w:val="en-GB"/>
        </w:rPr>
        <w:t xml:space="preserve">Rogers and colleagues </w:t>
      </w:r>
      <w:r w:rsidR="003528E2">
        <w:rPr>
          <w:rFonts w:cstheme="minorHAnsi"/>
          <w:szCs w:val="22"/>
          <w:lang w:val="en-GB"/>
        </w:rPr>
        <w:fldChar w:fldCharType="begin" w:fldLock="1"/>
      </w:r>
      <w:r w:rsidR="003528E2">
        <w:rPr>
          <w:rFonts w:cstheme="minorHAnsi"/>
          <w:szCs w:val="22"/>
          <w:lang w:val="en-GB"/>
        </w:rPr>
        <w:instrText>ADDIN CSL_CITATION {"citationItems":[{"id":"ITEM-1","itemData":{"DOI":"10.1111/NYAS.13963","ISSN":"1749-6632","PMID":"30239016","abstract":"Inadequate folate status in women of reproductive age (WRA) can lead to adverse health consequences of public health significance, such as megaloblastic anemia (folate deficiency) and an increased risk of neural tube defect (NTD)-affected pregnancies (folate insufficiency). Our review aims to evaluate current data on folate status of WRA. We queried eight databases and the World Health Organization Micronutrients Database, identifying 45 relevant surveys conducted between 2000 and 2014 in 39 countries. Several types of folate assays were used in the analysis of blood folate, and many surveys used folate cutoffs not matched to the assay. To allow better comparisons across surveys, we attempted to account for these differences. The prevalence of folate deficiency was &gt;20% in many countries with lower income economies but was typically &lt;5% in countries with higher income economies. Only 11 surveys reported the prevalence of folate insufficiency, which was &gt;40% in most countries. Overall, folate status data for WRA globally are limited and must be carefully interpreted due to methodological issues. Future surveys would benefit from using the microbiologic assay to assess folate status, along with assay-matched cutoffs to improve monitoring and evaluation of folic acid interventions, thus informing global efforts to prevent NTDs.","author":[{"dropping-particle":"","family":"Rogers","given":"Lisa M.","non-dropping-particle":"","parse-names":false,"suffix":""},{"dropping-particle":"","family":"Cordero","given":"Amy M.","non-dropping-particle":"","parse-names":false,"suffix":""},{"dropping-particle":"","family":"Pfeiffer","given":"Christine M.","non-dropping-particle":"","parse-names":false,"suffix":""},{"dropping-particle":"","family":"Hausman","given":"Dorothy B.","non-dropping-particle":"","parse-names":false,"suffix":""},{"dropping-particle":"","family":"Tsang","given":"Becky L.","non-dropping-particle":"","parse-names":false,"suffix":""},{"dropping-particle":"","family":"De-Regil","given":"Luz María","non-dropping-particle":"","parse-names":false,"suffix":""},{"dropping-particle":"","family":"Rosenthal","given":"Jorge","non-dropping-particle":"","parse-names":false,"suffix":""},{"dropping-particle":"","family":"Razzaghi","given":"Hilda","non-dropping-particle":"","parse-names":false,"suffix":""},{"dropping-particle":"","family":"Wong","given":"Eugene C.","non-dropping-particle":"","parse-names":false,"suffix":""},{"dropping-particle":"","family":"Weakland","given":"Aliki P.","non-dropping-particle":"","parse-names":false,"suffix":""},{"dropping-particle":"","family":"Bailey","given":"Lynn B.","non-dropping-particle":"","parse-names":false,"suffix":""}],"container-title":"Annals of the New York Academy of Sciences","id":"ITEM-1","issue":"1","issued":{"date-parts":[["2018"]]},"publisher":"Ann N Y Acad Sci","title":"Global folate status in women of reproductive age: a systematic review with emphasis on methodological issues","type":"article-journal","volume":"1431"},"uris":["http://www.mendeley.com/documents/?uuid=a584ba0e-1383-3dcb-a468-667e4dba6c2d"]}],"mendeley":{"formattedCitation":"(6)","plainTextFormattedCitation":"(6)","previouslyFormattedCitation":"(6)"},"properties":{"noteIndex":0},"schema":"https://github.com/citation-style-language/schema/raw/master/csl-citation.json"}</w:instrText>
      </w:r>
      <w:r w:rsidR="003528E2">
        <w:rPr>
          <w:rFonts w:cstheme="minorHAnsi"/>
          <w:szCs w:val="22"/>
          <w:lang w:val="en-GB"/>
        </w:rPr>
        <w:fldChar w:fldCharType="separate"/>
      </w:r>
      <w:r w:rsidR="003528E2" w:rsidRPr="00DD18E5">
        <w:rPr>
          <w:rFonts w:cstheme="minorHAnsi"/>
          <w:noProof/>
          <w:szCs w:val="22"/>
          <w:lang w:val="en-GB"/>
        </w:rPr>
        <w:t>(6)</w:t>
      </w:r>
      <w:r w:rsidR="003528E2">
        <w:rPr>
          <w:rFonts w:cstheme="minorHAnsi"/>
          <w:szCs w:val="22"/>
          <w:lang w:val="en-GB"/>
        </w:rPr>
        <w:fldChar w:fldCharType="end"/>
      </w:r>
      <w:r w:rsidR="00B05E9C">
        <w:rPr>
          <w:rFonts w:cstheme="minorHAnsi"/>
          <w:szCs w:val="22"/>
          <w:lang w:val="en-GB"/>
        </w:rPr>
        <w:t xml:space="preserve"> if available, or if not, were </w:t>
      </w:r>
      <w:r w:rsidR="00A22129">
        <w:rPr>
          <w:rFonts w:cstheme="minorHAnsi"/>
          <w:szCs w:val="22"/>
          <w:lang w:val="en-GB"/>
        </w:rPr>
        <w:t>provided by the US CDC (personal communication</w:t>
      </w:r>
      <w:r w:rsidR="00064D9F">
        <w:rPr>
          <w:rFonts w:cstheme="minorHAnsi"/>
          <w:szCs w:val="22"/>
          <w:lang w:val="en-GB"/>
        </w:rPr>
        <w:t>s</w:t>
      </w:r>
      <w:r w:rsidR="00A22129">
        <w:rPr>
          <w:rFonts w:cstheme="minorHAnsi"/>
          <w:szCs w:val="22"/>
          <w:lang w:val="en-GB"/>
        </w:rPr>
        <w:t xml:space="preserve">, Christine Pfeiffer, </w:t>
      </w:r>
      <w:r w:rsidR="00064D9F">
        <w:rPr>
          <w:rFonts w:cstheme="minorHAnsi"/>
          <w:szCs w:val="22"/>
          <w:lang w:val="en-GB"/>
        </w:rPr>
        <w:t>11 November 2021 and 16 November 2021).</w:t>
      </w:r>
      <w:r w:rsidR="00D46BF1">
        <w:rPr>
          <w:rFonts w:cstheme="minorHAnsi"/>
          <w:szCs w:val="22"/>
          <w:lang w:val="en-GB"/>
        </w:rPr>
        <w:t xml:space="preserve"> The WHO thresholds were derived from measurements </w:t>
      </w:r>
      <w:r w:rsidR="000A1B9A">
        <w:rPr>
          <w:rFonts w:cstheme="minorHAnsi"/>
          <w:szCs w:val="22"/>
          <w:lang w:val="en-GB"/>
        </w:rPr>
        <w:t>obtained by radioimmunoassay and in that context indicate metabolic folate insufficiency where homocysteine concentrations start to rise. When these thresholds are a</w:t>
      </w:r>
      <w:r w:rsidR="00EC7B30">
        <w:rPr>
          <w:rFonts w:cstheme="minorHAnsi"/>
          <w:szCs w:val="22"/>
          <w:lang w:val="en-GB"/>
        </w:rPr>
        <w:t>pplied to measurements obtained by or adjusted to the microbiologic assay, as in our study, they are closer to the thresholds indicating risk of megaloblastic anaemia (&lt;7 nmol/L for serum folate and &lt;305 nmol/L for RBC folate</w:t>
      </w:r>
      <w:r w:rsidR="006F0EC5">
        <w:rPr>
          <w:rFonts w:cstheme="minorHAnsi"/>
          <w:szCs w:val="22"/>
          <w:lang w:val="en-GB"/>
        </w:rPr>
        <w:t xml:space="preserve"> </w:t>
      </w:r>
      <w:r w:rsidR="00AD4523">
        <w:rPr>
          <w:rFonts w:cstheme="minorHAnsi"/>
          <w:szCs w:val="22"/>
          <w:lang w:val="en-GB"/>
        </w:rPr>
        <w:fldChar w:fldCharType="begin" w:fldLock="1"/>
      </w:r>
      <w:r w:rsidR="007C2DBC">
        <w:rPr>
          <w:rFonts w:cstheme="minorHAnsi"/>
          <w:szCs w:val="22"/>
          <w:lang w:val="en-GB"/>
        </w:rPr>
        <w:instrText>ADDIN CSL_CITATION {"citationItems":[{"id":"ITEM-1","itemData":{"author":[{"dropping-particle":"","family":"Institute of Medicine Food and Nutrition Board","given":"","non-dropping-particle":"","parse-names":false,"suffix":""}],"id":"ITEM-1","issued":{"date-parts":[["1998"]]},"publisher":"National Academy Press","publisher-place":"Washington, D.C.","title":"Dietary reference intakes: thiamin, riboflavin, niacin, vitamin B6, folate, vitamin B12, pantothenic acid, biotin, and choline","type":"book"},"uris":["http://www.mendeley.com/documents/?uuid=b9e8b8a2-458f-4868-a407-f28f7302402b"]}],"mendeley":{"formattedCitation":"(7)","plainTextFormattedCitation":"(7)","previouslyFormattedCitation":"(7)"},"properties":{"noteIndex":0},"schema":"https://github.com/citation-style-language/schema/raw/master/csl-citation.json"}</w:instrText>
      </w:r>
      <w:r w:rsidR="00AD4523">
        <w:rPr>
          <w:rFonts w:cstheme="minorHAnsi"/>
          <w:szCs w:val="22"/>
          <w:lang w:val="en-GB"/>
        </w:rPr>
        <w:fldChar w:fldCharType="separate"/>
      </w:r>
      <w:r w:rsidR="00AD4523" w:rsidRPr="00AD4523">
        <w:rPr>
          <w:rFonts w:cstheme="minorHAnsi"/>
          <w:noProof/>
          <w:szCs w:val="22"/>
          <w:lang w:val="en-GB"/>
        </w:rPr>
        <w:t>(7)</w:t>
      </w:r>
      <w:r w:rsidR="00AD4523">
        <w:rPr>
          <w:rFonts w:cstheme="minorHAnsi"/>
          <w:szCs w:val="22"/>
          <w:lang w:val="en-GB"/>
        </w:rPr>
        <w:fldChar w:fldCharType="end"/>
      </w:r>
      <w:r w:rsidR="00EC7B30">
        <w:rPr>
          <w:rFonts w:cstheme="minorHAnsi"/>
          <w:szCs w:val="22"/>
          <w:lang w:val="en-GB"/>
        </w:rPr>
        <w:t>).</w:t>
      </w:r>
      <w:r w:rsidR="00684CD2">
        <w:rPr>
          <w:rFonts w:cstheme="minorHAnsi"/>
          <w:szCs w:val="22"/>
          <w:lang w:val="en-GB"/>
        </w:rPr>
        <w:t xml:space="preserve"> </w:t>
      </w:r>
      <w:r w:rsidR="000806B9">
        <w:rPr>
          <w:rFonts w:cstheme="minorHAnsi"/>
          <w:szCs w:val="22"/>
          <w:lang w:val="en-GB"/>
        </w:rPr>
        <w:t xml:space="preserve">Zinc thresholds were selected based on survey </w:t>
      </w:r>
      <w:r w:rsidR="00B37919">
        <w:rPr>
          <w:rFonts w:cstheme="minorHAnsi"/>
          <w:szCs w:val="22"/>
          <w:lang w:val="en-GB"/>
        </w:rPr>
        <w:t xml:space="preserve">protocols, including time of day of blood collection and fasting/non-fasting blood collection (see </w:t>
      </w:r>
      <w:r w:rsidR="00DA2DD7">
        <w:rPr>
          <w:rFonts w:cstheme="minorHAnsi"/>
          <w:szCs w:val="22"/>
          <w:lang w:val="en-GB"/>
        </w:rPr>
        <w:t>Appendix Table</w:t>
      </w:r>
      <w:r w:rsidR="00B37919">
        <w:rPr>
          <w:rFonts w:cstheme="minorHAnsi"/>
          <w:szCs w:val="22"/>
          <w:lang w:val="en-GB"/>
        </w:rPr>
        <w:t xml:space="preserve"> 4). </w:t>
      </w:r>
      <w:r>
        <w:rPr>
          <w:rFonts w:cstheme="minorHAnsi"/>
          <w:szCs w:val="22"/>
          <w:lang w:val="en-GB"/>
        </w:rPr>
        <w:t xml:space="preserve">Survey-specific thresholds for zinc and folate are </w:t>
      </w:r>
      <w:r w:rsidR="007304CC">
        <w:rPr>
          <w:rFonts w:cstheme="minorHAnsi"/>
          <w:szCs w:val="22"/>
          <w:lang w:val="en-GB"/>
        </w:rPr>
        <w:t>shown</w:t>
      </w:r>
      <w:r>
        <w:rPr>
          <w:rFonts w:cstheme="minorHAnsi"/>
          <w:szCs w:val="22"/>
          <w:lang w:val="en-GB"/>
        </w:rPr>
        <w:t xml:space="preserve"> in </w:t>
      </w:r>
      <w:r w:rsidR="00DA2DD7">
        <w:rPr>
          <w:rFonts w:cstheme="minorHAnsi"/>
          <w:szCs w:val="22"/>
          <w:lang w:val="en-GB"/>
        </w:rPr>
        <w:t>Appendix Table</w:t>
      </w:r>
      <w:r>
        <w:rPr>
          <w:rFonts w:cstheme="minorHAnsi"/>
          <w:szCs w:val="22"/>
          <w:lang w:val="en-GB"/>
        </w:rPr>
        <w:t>s 6 and 7.</w:t>
      </w:r>
    </w:p>
    <w:p w14:paraId="152CD8F6" w14:textId="748C205E" w:rsidR="00D536DB" w:rsidRPr="00A34060" w:rsidRDefault="00D536DB" w:rsidP="004D4C0A">
      <w:pPr>
        <w:autoSpaceDE w:val="0"/>
        <w:autoSpaceDN w:val="0"/>
        <w:adjustRightInd w:val="0"/>
        <w:rPr>
          <w:rFonts w:cstheme="minorHAnsi"/>
          <w:szCs w:val="22"/>
          <w:lang w:val="en-GB"/>
        </w:rPr>
      </w:pPr>
    </w:p>
    <w:p w14:paraId="067E98E9" w14:textId="1EC486E9" w:rsidR="00D536DB" w:rsidRPr="00A34060" w:rsidRDefault="03C7B32C" w:rsidP="03C7B32C">
      <w:pPr>
        <w:pStyle w:val="Heading3"/>
        <w:rPr>
          <w:rFonts w:cstheme="minorBidi"/>
          <w:lang w:val="en-GB"/>
        </w:rPr>
      </w:pPr>
      <w:bookmarkStart w:id="6" w:name="_Toc94512106"/>
      <w:r w:rsidRPr="03C7B32C">
        <w:rPr>
          <w:rFonts w:cstheme="minorBidi"/>
          <w:lang w:val="en-GB"/>
        </w:rPr>
        <w:t>Appendix Table 4.</w:t>
      </w:r>
      <w:r w:rsidRPr="03C7B32C">
        <w:rPr>
          <w:rFonts w:cstheme="minorBidi"/>
          <w:b/>
          <w:bCs/>
          <w:lang w:val="en-GB"/>
        </w:rPr>
        <w:t xml:space="preserve"> </w:t>
      </w:r>
      <w:r w:rsidRPr="03C7B32C">
        <w:rPr>
          <w:rFonts w:cstheme="minorBidi"/>
          <w:lang w:val="en-GB"/>
        </w:rPr>
        <w:t>Definition of deficiency and adjustment for inflammation for each included biomarker.</w:t>
      </w:r>
      <w:bookmarkEnd w:id="6"/>
    </w:p>
    <w:tbl>
      <w:tblPr>
        <w:tblW w:w="5000" w:type="pct"/>
        <w:tblLayout w:type="fixed"/>
        <w:tblCellMar>
          <w:left w:w="115" w:type="dxa"/>
          <w:right w:w="115" w:type="dxa"/>
        </w:tblCellMar>
        <w:tblLook w:val="04A0" w:firstRow="1" w:lastRow="0" w:firstColumn="1" w:lastColumn="0" w:noHBand="0" w:noVBand="1"/>
      </w:tblPr>
      <w:tblGrid>
        <w:gridCol w:w="1530"/>
        <w:gridCol w:w="1620"/>
        <w:gridCol w:w="1891"/>
        <w:gridCol w:w="2261"/>
        <w:gridCol w:w="2444"/>
      </w:tblGrid>
      <w:tr w:rsidR="00D536DB" w:rsidRPr="00A34060" w14:paraId="1C196245" w14:textId="77777777" w:rsidTr="00F466C8">
        <w:trPr>
          <w:trHeight w:val="20"/>
          <w:tblHeader/>
        </w:trPr>
        <w:tc>
          <w:tcPr>
            <w:tcW w:w="785" w:type="pct"/>
            <w:tcBorders>
              <w:top w:val="nil"/>
              <w:left w:val="nil"/>
              <w:bottom w:val="single" w:sz="4" w:space="0" w:color="auto"/>
              <w:right w:val="nil"/>
            </w:tcBorders>
            <w:vAlign w:val="bottom"/>
          </w:tcPr>
          <w:p w14:paraId="41BCD5AC" w14:textId="77777777" w:rsidR="00D536DB" w:rsidRPr="00A34060" w:rsidRDefault="00D536DB" w:rsidP="00E97DB9">
            <w:pPr>
              <w:spacing w:line="256" w:lineRule="auto"/>
              <w:rPr>
                <w:rFonts w:cstheme="minorHAnsi"/>
                <w:color w:val="000000"/>
                <w:szCs w:val="22"/>
              </w:rPr>
            </w:pPr>
            <w:r w:rsidRPr="00A34060">
              <w:rPr>
                <w:rFonts w:cstheme="minorHAnsi"/>
                <w:color w:val="000000"/>
                <w:szCs w:val="22"/>
              </w:rPr>
              <w:t>Micronutrient</w:t>
            </w:r>
          </w:p>
        </w:tc>
        <w:tc>
          <w:tcPr>
            <w:tcW w:w="831" w:type="pct"/>
            <w:tcBorders>
              <w:top w:val="nil"/>
              <w:left w:val="nil"/>
              <w:bottom w:val="single" w:sz="4" w:space="0" w:color="auto"/>
              <w:right w:val="nil"/>
            </w:tcBorders>
            <w:noWrap/>
            <w:vAlign w:val="bottom"/>
            <w:hideMark/>
          </w:tcPr>
          <w:p w14:paraId="045DF5B7"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Biomarker</w:t>
            </w:r>
          </w:p>
        </w:tc>
        <w:tc>
          <w:tcPr>
            <w:tcW w:w="970" w:type="pct"/>
            <w:tcBorders>
              <w:top w:val="nil"/>
              <w:left w:val="nil"/>
              <w:bottom w:val="single" w:sz="4" w:space="0" w:color="auto"/>
              <w:right w:val="nil"/>
            </w:tcBorders>
            <w:noWrap/>
            <w:vAlign w:val="bottom"/>
            <w:hideMark/>
          </w:tcPr>
          <w:p w14:paraId="23A812DF"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Definition of deficiency</w:t>
            </w:r>
          </w:p>
        </w:tc>
        <w:tc>
          <w:tcPr>
            <w:tcW w:w="1160" w:type="pct"/>
            <w:tcBorders>
              <w:top w:val="nil"/>
              <w:left w:val="nil"/>
              <w:bottom w:val="single" w:sz="4" w:space="0" w:color="auto"/>
              <w:right w:val="nil"/>
            </w:tcBorders>
            <w:noWrap/>
            <w:vAlign w:val="bottom"/>
            <w:hideMark/>
          </w:tcPr>
          <w:p w14:paraId="01E8C0FE"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Population</w:t>
            </w:r>
          </w:p>
        </w:tc>
        <w:tc>
          <w:tcPr>
            <w:tcW w:w="1254" w:type="pct"/>
            <w:tcBorders>
              <w:top w:val="nil"/>
              <w:left w:val="nil"/>
              <w:bottom w:val="single" w:sz="4" w:space="0" w:color="auto"/>
              <w:right w:val="nil"/>
            </w:tcBorders>
            <w:noWrap/>
            <w:vAlign w:val="bottom"/>
            <w:hideMark/>
          </w:tcPr>
          <w:p w14:paraId="59408ACB"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Adjust for inflammation?</w:t>
            </w:r>
          </w:p>
        </w:tc>
      </w:tr>
      <w:tr w:rsidR="00D536DB" w:rsidRPr="00A34060" w14:paraId="1749D714" w14:textId="77777777" w:rsidTr="00E97DB9">
        <w:trPr>
          <w:trHeight w:val="20"/>
        </w:trPr>
        <w:tc>
          <w:tcPr>
            <w:tcW w:w="785" w:type="pct"/>
            <w:tcBorders>
              <w:top w:val="single" w:sz="4" w:space="0" w:color="auto"/>
              <w:left w:val="nil"/>
              <w:bottom w:val="nil"/>
              <w:right w:val="nil"/>
            </w:tcBorders>
            <w:vAlign w:val="center"/>
          </w:tcPr>
          <w:p w14:paraId="14DBB75A"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B</w:t>
            </w:r>
            <w:r w:rsidRPr="00A34060">
              <w:rPr>
                <w:rFonts w:cstheme="minorHAnsi"/>
                <w:color w:val="000000"/>
                <w:szCs w:val="22"/>
                <w:vertAlign w:val="subscript"/>
              </w:rPr>
              <w:t>12</w:t>
            </w:r>
          </w:p>
        </w:tc>
        <w:tc>
          <w:tcPr>
            <w:tcW w:w="831" w:type="pct"/>
            <w:tcBorders>
              <w:top w:val="single" w:sz="4" w:space="0" w:color="auto"/>
              <w:left w:val="nil"/>
              <w:bottom w:val="nil"/>
              <w:right w:val="nil"/>
            </w:tcBorders>
            <w:noWrap/>
            <w:vAlign w:val="center"/>
            <w:hideMark/>
          </w:tcPr>
          <w:p w14:paraId="4C15B9B5"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Serum B</w:t>
            </w:r>
            <w:r w:rsidRPr="00A34060">
              <w:rPr>
                <w:rFonts w:cstheme="minorHAnsi"/>
                <w:color w:val="000000"/>
                <w:szCs w:val="22"/>
                <w:vertAlign w:val="subscript"/>
              </w:rPr>
              <w:t>12</w:t>
            </w:r>
          </w:p>
        </w:tc>
        <w:tc>
          <w:tcPr>
            <w:tcW w:w="970" w:type="pct"/>
            <w:tcBorders>
              <w:top w:val="single" w:sz="4" w:space="0" w:color="auto"/>
              <w:left w:val="nil"/>
              <w:bottom w:val="nil"/>
              <w:right w:val="nil"/>
            </w:tcBorders>
            <w:noWrap/>
            <w:vAlign w:val="center"/>
            <w:hideMark/>
          </w:tcPr>
          <w:p w14:paraId="78822F90" w14:textId="253E57B0" w:rsidR="00D536DB" w:rsidRPr="00A34060" w:rsidRDefault="00D536DB" w:rsidP="00C94FBC">
            <w:pPr>
              <w:spacing w:line="256" w:lineRule="auto"/>
              <w:rPr>
                <w:rFonts w:cstheme="minorHAnsi"/>
                <w:color w:val="000000"/>
                <w:szCs w:val="22"/>
              </w:rPr>
            </w:pPr>
            <w:r w:rsidRPr="00A34060">
              <w:rPr>
                <w:rFonts w:cstheme="minorHAnsi"/>
                <w:color w:val="000000"/>
                <w:szCs w:val="22"/>
              </w:rPr>
              <w:t xml:space="preserve">&lt; 150 </w:t>
            </w:r>
            <w:proofErr w:type="spellStart"/>
            <w:r w:rsidRPr="00A34060">
              <w:rPr>
                <w:rFonts w:cstheme="minorHAnsi"/>
                <w:color w:val="000000"/>
                <w:szCs w:val="22"/>
              </w:rPr>
              <w:t>pmol</w:t>
            </w:r>
            <w:proofErr w:type="spellEnd"/>
            <w:r w:rsidRPr="00A34060">
              <w:rPr>
                <w:rFonts w:cstheme="minorHAnsi"/>
                <w:color w:val="000000"/>
                <w:szCs w:val="22"/>
              </w:rPr>
              <w:t>/L</w:t>
            </w:r>
            <w:r w:rsidR="00446516">
              <w:rPr>
                <w:rFonts w:cstheme="minorHAnsi"/>
                <w:color w:val="000000"/>
                <w:szCs w:val="22"/>
              </w:rPr>
              <w:t xml:space="preserve"> </w:t>
            </w:r>
            <w:r w:rsidR="00A61685">
              <w:rPr>
                <w:rFonts w:cstheme="minorHAnsi"/>
                <w:color w:val="000000"/>
                <w:szCs w:val="22"/>
              </w:rPr>
              <w:fldChar w:fldCharType="begin" w:fldLock="1"/>
            </w:r>
            <w:r w:rsidR="00BB7850">
              <w:rPr>
                <w:rFonts w:cstheme="minorHAnsi"/>
                <w:color w:val="000000"/>
                <w:szCs w:val="22"/>
              </w:rPr>
              <w:instrText>ADDIN CSL_CITATION {"citationItems":[{"id":"ITEM-1","itemData":{"DOI":"10.1177/15648265080292S129","abstract":"Folate and vitamin B12 deficiencies occur primarily as a result of insufficient dietary intake or, especially in the case of vitamin B12 deficiency in the elderly, poor absorption. Folate is present in high concentrations in legumes, leafy green vegetables, and some fruits, so lower intakes can be expected where the staple diet consists of unfortified wheat, maize, or rice, and when the intake of legumes and folate-rich vegetables and fruits is low. This situation can occur in both wealthy and poorer countries. Animal-source foods are the only natural source of vitamin B12, so deficiency is prevalent when intake of these foods is low due to their high cost, lack of availability, or cultural or religious beliefs. Deficiency is certainly more prevalent in strict vegetarians, but lacto-ovo vegetarians are also at higher risk for inadequate intakes. If the mother is folate-depleted during lactation, breastmilk concentrations of the vitamin are maintained while the mother becomes more depleted. In contrast, vitamin B12 concentrations in breastmilk can be markedly lower in vitamin B12-depleted women. The impact of gene polymorphisms on folate and vitamin B12 status and requirements in a population will vary depending on the underlying prevalence in that population. Although not well understood, gene polymorphisms almost certainly affect the risk of adverse pregnancy outcomes. Folic acid and vitamin B12 in synthetic form are absorbed at about twice the efficiency as the food forms, especially in lower doses. © 2008, The United Nations University.","author":[{"dropping-particle":"","family":"Benoist","given":"Bruno","non-dropping-particle":"de","parse-names":false,"suffix":""}],"container-title":"Food and Nutrition Bulletin","id":"ITEM-1","issue":"2 SUPPL.","issued":{"date-parts":[["2008"]]},"publisher":"United Nations University Press","title":"Conclusions of a WHO Technical Consultation on folate and vitamin B12 deficiencies","type":"article-journal","volume":"29"},"uris":["http://www.mendeley.com/documents/?uuid=36229345-29c9-379c-b5bc-0b6de5865b82"]}],"mendeley":{"formattedCitation":"(8)","plainTextFormattedCitation":"(8)","previouslyFormattedCitation":"(8)"},"properties":{"noteIndex":0},"schema":"https://github.com/citation-style-language/schema/raw/master/csl-citation.json"}</w:instrText>
            </w:r>
            <w:r w:rsidR="00A61685">
              <w:rPr>
                <w:rFonts w:cstheme="minorHAnsi"/>
                <w:color w:val="000000"/>
                <w:szCs w:val="22"/>
              </w:rPr>
              <w:fldChar w:fldCharType="separate"/>
            </w:r>
            <w:r w:rsidR="00AD4523" w:rsidRPr="00AD4523">
              <w:rPr>
                <w:rFonts w:cstheme="minorHAnsi"/>
                <w:noProof/>
                <w:color w:val="000000"/>
                <w:szCs w:val="22"/>
              </w:rPr>
              <w:t>(8)</w:t>
            </w:r>
            <w:r w:rsidR="00A61685">
              <w:rPr>
                <w:rFonts w:cstheme="minorHAnsi"/>
                <w:color w:val="000000"/>
                <w:szCs w:val="22"/>
              </w:rPr>
              <w:fldChar w:fldCharType="end"/>
            </w:r>
          </w:p>
        </w:tc>
        <w:tc>
          <w:tcPr>
            <w:tcW w:w="1160" w:type="pct"/>
            <w:tcBorders>
              <w:top w:val="single" w:sz="4" w:space="0" w:color="auto"/>
              <w:left w:val="nil"/>
              <w:bottom w:val="nil"/>
              <w:right w:val="nil"/>
            </w:tcBorders>
            <w:noWrap/>
            <w:vAlign w:val="center"/>
            <w:hideMark/>
          </w:tcPr>
          <w:p w14:paraId="3567AD36"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All</w:t>
            </w:r>
          </w:p>
        </w:tc>
        <w:tc>
          <w:tcPr>
            <w:tcW w:w="1254" w:type="pct"/>
            <w:tcBorders>
              <w:top w:val="single" w:sz="4" w:space="0" w:color="auto"/>
              <w:left w:val="nil"/>
              <w:bottom w:val="nil"/>
              <w:right w:val="nil"/>
            </w:tcBorders>
            <w:noWrap/>
            <w:vAlign w:val="center"/>
            <w:hideMark/>
          </w:tcPr>
          <w:p w14:paraId="656CBADF" w14:textId="53F2E1CC" w:rsidR="00D536DB" w:rsidRPr="00A34060" w:rsidRDefault="00D536DB" w:rsidP="00C94FBC">
            <w:pPr>
              <w:spacing w:line="256" w:lineRule="auto"/>
              <w:rPr>
                <w:rFonts w:cstheme="minorHAnsi"/>
                <w:color w:val="000000"/>
                <w:szCs w:val="22"/>
              </w:rPr>
            </w:pPr>
            <w:r w:rsidRPr="00A34060">
              <w:rPr>
                <w:rFonts w:cstheme="minorHAnsi"/>
                <w:color w:val="000000"/>
                <w:szCs w:val="22"/>
              </w:rPr>
              <w:t xml:space="preserve">No  </w:t>
            </w:r>
            <w:r w:rsidRPr="00A34060">
              <w:rPr>
                <w:rFonts w:cstheme="minorHAnsi"/>
                <w:color w:val="000000"/>
                <w:szCs w:val="22"/>
              </w:rPr>
              <w:fldChar w:fldCharType="begin" w:fldLock="1"/>
            </w:r>
            <w:r w:rsidR="00BB7850">
              <w:rPr>
                <w:rFonts w:cstheme="minorHAnsi"/>
                <w:color w:val="000000"/>
                <w:szCs w:val="22"/>
              </w:rPr>
              <w:instrText>ADDIN CSL_CITATION {"citationItems":[{"id":"ITEM-1","itemData":{"DOI":"10.1093/AJCN/NQZ303","ISSN":"0002-9165","abstract":"Vitamin B-12 and folate deficiencies in women and children have important public health implications. However, the evidence is conflicting and limited on whether the influence of inflammation on biomarker concentrations may be sufficiently and consistently influenced by inflammation to require adjustment for interpreting concentrations or estimating population prevalence of deficiencies. Objective: We examined correlations between concentrations of the inflammation biomarkers C-reactive protein (CRP) and α1-acid glycoprotein (AGP) and serum vitamin B-12 and serum and RBC folate among nonpregnant women of reproductive age (WRA; 15-49 yr) and preschool children (PSC; 6-59 mo). Methods: We analyzed cross-sectional data from 16 nationally representative nutrition surveys conducted in WRA (n = 32,588) and PSC (n = 8,256) from the Biomarkers Reflecting Inflammation and Nutritional Determinants of Anemia project. Spearman correlations between CRP or AGP and vitamin B-12 or folate concentrations were examined, taking into account complex survey design effects. Results: Correlations between inflammation and vitamin B-12 or folate were weak, with no clear pattern of association in either WRA or PSC. Correlation coefficients between CRP and vitamin B-12 for WRA and PSC ranged from -0.25 to 0.16, and correlations between AGP and vitamin B-12 ranged between -0.07 and 0.14. Similarly, correlations between CRP and serum folate ranged from -0.13 to 0.08, and correlations between AGP and serum folate between -0.21 and 0.02. Only 3 surveys measured RBC folate, and among them, correlations for WRA ranged from -0.07 to 0.08 for CRP and -0.04 for AGP (1 country). Conclusions: Based on the weak and inconsistent correlations between CRP or AGP and vitamin B-12 or folate biomarkers, there is no rationale to adjust for inflammation when estimating population prevalence of vitamin B-12 or folate deficiencies in WRA or PSC.","author":[{"dropping-particle":"","family":"Young","given":"Melissa F","non-dropping-particle":"","parse-names":false,"suffix":""},{"dropping-particle":"","family":"Guo","given":"Junjie","non-dropping-particle":"","parse-names":false,"suffix":""},{"dropping-particle":"","family":"Williams","given":"Anne","non-dropping-particle":"","parse-names":false,"suffix":""},{"dropping-particle":"","family":"Whitfield","given":"Kyly C","non-dropping-particle":"","parse-names":false,"suffix":""},{"dropping-particle":"","family":"Nasrin","given":"Sabiha","non-dropping-particle":"","parse-names":false,"suffix":""},{"dropping-particle":"","family":"Kancherla","given":"Vijaya","non-dropping-particle":"","parse-names":false,"suffix":""},{"dropping-particle":"","family":"Suchdev","given":"Parminder S","non-dropping-particle":"","parse-names":false,"suffix":""},{"dropping-particle":"","family":"Crider","given":"Krista S","non-dropping-particle":"","parse-names":false,"suffix":""},{"dropping-particle":"","family":"Pfeiffer","given":"Christine M","non-dropping-particle":"","parse-names":false,"suffix":""},{"dropping-particle":"","family":"Serdula","given":"Mary","non-dropping-particle":"","parse-names":false,"suffix":""}],"container-title":"The American Journal of Clinical Nutrition","id":"ITEM-1","issue":"4","issued":{"date-parts":[["2020","4","1"]]},"page":"919-926","publisher":"Oxford Academic","title":"Interpretation of vitamin B-12 and folate concentrations in population-based surveys does not require adjustment for inflammation: Biomarkers Reflecting Inflammation and Nutritional Determinants of Anemia (BRINDA) project","type":"article-journal","volume":"111"},"uris":["http://www.mendeley.com/documents/?uuid=aa390292-2baa-32ab-847c-f508f3fdf725"]}],"mendeley":{"formattedCitation":"(9)","plainTextFormattedCitation":"(9)","previouslyFormattedCitation":"(9)"},"properties":{"noteIndex":0},"schema":"https://github.com/citation-style-language/schema/raw/master/csl-citation.json"}</w:instrText>
            </w:r>
            <w:r w:rsidRPr="00A34060">
              <w:rPr>
                <w:rFonts w:cstheme="minorHAnsi"/>
                <w:color w:val="000000"/>
                <w:szCs w:val="22"/>
              </w:rPr>
              <w:fldChar w:fldCharType="separate"/>
            </w:r>
            <w:r w:rsidR="00AD4523" w:rsidRPr="00AD4523">
              <w:rPr>
                <w:rFonts w:cstheme="minorHAnsi"/>
                <w:noProof/>
                <w:color w:val="000000"/>
                <w:szCs w:val="22"/>
              </w:rPr>
              <w:t>(9)</w:t>
            </w:r>
            <w:r w:rsidRPr="00A34060">
              <w:rPr>
                <w:rFonts w:cstheme="minorHAnsi"/>
                <w:color w:val="000000"/>
                <w:szCs w:val="22"/>
              </w:rPr>
              <w:fldChar w:fldCharType="end"/>
            </w:r>
          </w:p>
        </w:tc>
      </w:tr>
      <w:tr w:rsidR="00D536DB" w:rsidRPr="00A34060" w14:paraId="2760CDE4" w14:textId="77777777" w:rsidTr="00E97DB9">
        <w:trPr>
          <w:trHeight w:val="20"/>
        </w:trPr>
        <w:tc>
          <w:tcPr>
            <w:tcW w:w="785" w:type="pct"/>
            <w:vAlign w:val="center"/>
          </w:tcPr>
          <w:p w14:paraId="06CCDA7C" w14:textId="77777777" w:rsidR="00D536DB" w:rsidRPr="00A34060" w:rsidRDefault="00D536DB" w:rsidP="00C94FBC">
            <w:pPr>
              <w:spacing w:line="256" w:lineRule="auto"/>
              <w:rPr>
                <w:rFonts w:cstheme="minorHAnsi"/>
                <w:color w:val="000000"/>
                <w:szCs w:val="22"/>
                <w:vertAlign w:val="superscript"/>
              </w:rPr>
            </w:pPr>
            <w:r w:rsidRPr="00A34060">
              <w:rPr>
                <w:rFonts w:cstheme="minorHAnsi"/>
                <w:color w:val="000000"/>
                <w:szCs w:val="22"/>
              </w:rPr>
              <w:t>Folate</w:t>
            </w:r>
            <w:r w:rsidRPr="00A34060">
              <w:rPr>
                <w:rFonts w:cstheme="minorHAnsi"/>
                <w:color w:val="000000"/>
                <w:szCs w:val="22"/>
                <w:vertAlign w:val="superscript"/>
              </w:rPr>
              <w:t>1</w:t>
            </w:r>
          </w:p>
        </w:tc>
        <w:tc>
          <w:tcPr>
            <w:tcW w:w="831" w:type="pct"/>
            <w:noWrap/>
            <w:vAlign w:val="center"/>
            <w:hideMark/>
          </w:tcPr>
          <w:p w14:paraId="7BE66DB5"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RBC folate</w:t>
            </w:r>
          </w:p>
        </w:tc>
        <w:tc>
          <w:tcPr>
            <w:tcW w:w="970" w:type="pct"/>
            <w:noWrap/>
            <w:vAlign w:val="center"/>
            <w:hideMark/>
          </w:tcPr>
          <w:p w14:paraId="520BAE77" w14:textId="3AF9350F" w:rsidR="00D536DB" w:rsidRPr="00A34060" w:rsidRDefault="00D536DB" w:rsidP="00C94FBC">
            <w:pPr>
              <w:spacing w:line="256" w:lineRule="auto"/>
              <w:rPr>
                <w:rFonts w:cstheme="minorHAnsi"/>
                <w:color w:val="000000"/>
                <w:szCs w:val="22"/>
              </w:rPr>
            </w:pPr>
            <w:r w:rsidRPr="00A34060">
              <w:rPr>
                <w:rFonts w:cstheme="minorHAnsi"/>
                <w:color w:val="000000"/>
                <w:szCs w:val="22"/>
              </w:rPr>
              <w:t>&lt; 340 nmol/L</w:t>
            </w:r>
            <w:r w:rsidR="0032464A">
              <w:rPr>
                <w:rFonts w:cstheme="minorHAnsi"/>
                <w:color w:val="000000"/>
                <w:szCs w:val="22"/>
              </w:rPr>
              <w:t xml:space="preserve"> </w:t>
            </w:r>
            <w:r w:rsidR="0032464A">
              <w:rPr>
                <w:rFonts w:cstheme="minorHAnsi"/>
                <w:color w:val="000000"/>
                <w:szCs w:val="22"/>
              </w:rPr>
              <w:fldChar w:fldCharType="begin" w:fldLock="1"/>
            </w:r>
            <w:r w:rsidR="00BB7850">
              <w:rPr>
                <w:rFonts w:cstheme="minorHAnsi"/>
                <w:color w:val="000000"/>
                <w:szCs w:val="22"/>
              </w:rPr>
              <w:instrText>ADDIN CSL_CITATION {"citationItems":[{"id":"ITEM-1","itemData":{"DOI":"10.1177/15648265080292S129","abstract":"Folate and vitamin B12 deficiencies occur primarily as a result of insufficient dietary intake or, especially in the case of vitamin B12 deficiency in the elderly, poor absorption. Folate is present in high concentrations in legumes, leafy green vegetables, and some fruits, so lower intakes can be expected where the staple diet consists of unfortified wheat, maize, or rice, and when the intake of legumes and folate-rich vegetables and fruits is low. This situation can occur in both wealthy and poorer countries. Animal-source foods are the only natural source of vitamin B12, so deficiency is prevalent when intake of these foods is low due to their high cost, lack of availability, or cultural or religious beliefs. Deficiency is certainly more prevalent in strict vegetarians, but lacto-ovo vegetarians are also at higher risk for inadequate intakes. If the mother is folate-depleted during lactation, breastmilk concentrations of the vitamin are maintained while the mother becomes more depleted. In contrast, vitamin B12 concentrations in breastmilk can be markedly lower in vitamin B12-depleted women. The impact of gene polymorphisms on folate and vitamin B12 status and requirements in a population will vary depending on the underlying prevalence in that population. Although not well understood, gene polymorphisms almost certainly affect the risk of adverse pregnancy outcomes. Folic acid and vitamin B12 in synthetic form are absorbed at about twice the efficiency as the food forms, especially in lower doses. © 2008, The United Nations University.","author":[{"dropping-particle":"","family":"Benoist","given":"Bruno","non-dropping-particle":"de","parse-names":false,"suffix":""}],"container-title":"Food and Nutrition Bulletin","id":"ITEM-1","issue":"2 SUPPL.","issued":{"date-parts":[["2008"]]},"publisher":"United Nations University Press","title":"Conclusions of a WHO Technical Consultation on folate and vitamin B12 deficiencies","type":"article-journal","volume":"29"},"uris":["http://www.mendeley.com/documents/?uuid=36229345-29c9-379c-b5bc-0b6de5865b82"]}],"mendeley":{"formattedCitation":"(8)","plainTextFormattedCitation":"(8)","previouslyFormattedCitation":"(8)"},"properties":{"noteIndex":0},"schema":"https://github.com/citation-style-language/schema/raw/master/csl-citation.json"}</w:instrText>
            </w:r>
            <w:r w:rsidR="0032464A">
              <w:rPr>
                <w:rFonts w:cstheme="minorHAnsi"/>
                <w:color w:val="000000"/>
                <w:szCs w:val="22"/>
              </w:rPr>
              <w:fldChar w:fldCharType="separate"/>
            </w:r>
            <w:r w:rsidR="00AD4523" w:rsidRPr="00AD4523">
              <w:rPr>
                <w:rFonts w:cstheme="minorHAnsi"/>
                <w:noProof/>
                <w:color w:val="000000"/>
                <w:szCs w:val="22"/>
              </w:rPr>
              <w:t>(8)</w:t>
            </w:r>
            <w:r w:rsidR="0032464A">
              <w:rPr>
                <w:rFonts w:cstheme="minorHAnsi"/>
                <w:color w:val="000000"/>
                <w:szCs w:val="22"/>
              </w:rPr>
              <w:fldChar w:fldCharType="end"/>
            </w:r>
          </w:p>
        </w:tc>
        <w:tc>
          <w:tcPr>
            <w:tcW w:w="1160" w:type="pct"/>
            <w:noWrap/>
            <w:vAlign w:val="center"/>
            <w:hideMark/>
          </w:tcPr>
          <w:p w14:paraId="2530F2DC"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All</w:t>
            </w:r>
          </w:p>
        </w:tc>
        <w:tc>
          <w:tcPr>
            <w:tcW w:w="1254" w:type="pct"/>
            <w:noWrap/>
            <w:vAlign w:val="center"/>
            <w:hideMark/>
          </w:tcPr>
          <w:p w14:paraId="61E19D6A" w14:textId="08F67640" w:rsidR="00D536DB" w:rsidRPr="00A34060" w:rsidRDefault="00D536DB" w:rsidP="00C94FBC">
            <w:pPr>
              <w:spacing w:line="256" w:lineRule="auto"/>
              <w:rPr>
                <w:rFonts w:cstheme="minorHAnsi"/>
                <w:color w:val="000000"/>
                <w:szCs w:val="22"/>
              </w:rPr>
            </w:pPr>
            <w:r w:rsidRPr="00A34060">
              <w:rPr>
                <w:rFonts w:cstheme="minorHAnsi"/>
                <w:color w:val="000000"/>
                <w:szCs w:val="22"/>
              </w:rPr>
              <w:t xml:space="preserve">No  </w:t>
            </w:r>
            <w:r w:rsidRPr="00A34060">
              <w:rPr>
                <w:rFonts w:cstheme="minorHAnsi"/>
                <w:color w:val="000000"/>
                <w:szCs w:val="22"/>
              </w:rPr>
              <w:fldChar w:fldCharType="begin" w:fldLock="1"/>
            </w:r>
            <w:r w:rsidR="00BB7850">
              <w:rPr>
                <w:rFonts w:cstheme="minorHAnsi"/>
                <w:color w:val="000000"/>
                <w:szCs w:val="22"/>
              </w:rPr>
              <w:instrText>ADDIN CSL_CITATION {"citationItems":[{"id":"ITEM-1","itemData":{"DOI":"10.1093/AJCN/NQZ303","ISSN":"0002-9165","abstract":"Vitamin B-12 and folate deficiencies in women and children have important public health implications. However, the evidence is conflicting and limited on whether the influence of inflammation on biomarker concentrations may be sufficiently and consistently influenced by inflammation to require adjustment for interpreting concentrations or estimating population prevalence of deficiencies. Objective: We examined correlations between concentrations of the inflammation biomarkers C-reactive protein (CRP) and α1-acid glycoprotein (AGP) and serum vitamin B-12 and serum and RBC folate among nonpregnant women of reproductive age (WRA; 15-49 yr) and preschool children (PSC; 6-59 mo). Methods: We analyzed cross-sectional data from 16 nationally representative nutrition surveys conducted in WRA (n = 32,588) and PSC (n = 8,256) from the Biomarkers Reflecting Inflammation and Nutritional Determinants of Anemia project. Spearman correlations between CRP or AGP and vitamin B-12 or folate concentrations were examined, taking into account complex survey design effects. Results: Correlations between inflammation and vitamin B-12 or folate were weak, with no clear pattern of association in either WRA or PSC. Correlation coefficients between CRP and vitamin B-12 for WRA and PSC ranged from -0.25 to 0.16, and correlations between AGP and vitamin B-12 ranged between -0.07 and 0.14. Similarly, correlations between CRP and serum folate ranged from -0.13 to 0.08, and correlations between AGP and serum folate between -0.21 and 0.02. Only 3 surveys measured RBC folate, and among them, correlations for WRA ranged from -0.07 to 0.08 for CRP and -0.04 for AGP (1 country). Conclusions: Based on the weak and inconsistent correlations between CRP or AGP and vitamin B-12 or folate biomarkers, there is no rationale to adjust for inflammation when estimating population prevalence of vitamin B-12 or folate deficiencies in WRA or PSC.","author":[{"dropping-particle":"","family":"Young","given":"Melissa F","non-dropping-particle":"","parse-names":false,"suffix":""},{"dropping-particle":"","family":"Guo","given":"Junjie","non-dropping-particle":"","parse-names":false,"suffix":""},{"dropping-particle":"","family":"Williams","given":"Anne","non-dropping-particle":"","parse-names":false,"suffix":""},{"dropping-particle":"","family":"Whitfield","given":"Kyly C","non-dropping-particle":"","parse-names":false,"suffix":""},{"dropping-particle":"","family":"Nasrin","given":"Sabiha","non-dropping-particle":"","parse-names":false,"suffix":""},{"dropping-particle":"","family":"Kancherla","given":"Vijaya","non-dropping-particle":"","parse-names":false,"suffix":""},{"dropping-particle":"","family":"Suchdev","given":"Parminder S","non-dropping-particle":"","parse-names":false,"suffix":""},{"dropping-particle":"","family":"Crider","given":"Krista S","non-dropping-particle":"","parse-names":false,"suffix":""},{"dropping-particle":"","family":"Pfeiffer","given":"Christine M","non-dropping-particle":"","parse-names":false,"suffix":""},{"dropping-particle":"","family":"Serdula","given":"Mary","non-dropping-particle":"","parse-names":false,"suffix":""}],"container-title":"The American Journal of Clinical Nutrition","id":"ITEM-1","issue":"4","issued":{"date-parts":[["2020","4","1"]]},"page":"919-926","publisher":"Oxford Academic","title":"Interpretation of vitamin B-12 and folate concentrations in population-based surveys does not require adjustment for inflammation: Biomarkers Reflecting Inflammation and Nutritional Determinants of Anemia (BRINDA) project","type":"article-journal","volume":"111"},"uris":["http://www.mendeley.com/documents/?uuid=aa390292-2baa-32ab-847c-f508f3fdf725"]}],"mendeley":{"formattedCitation":"(9)","plainTextFormattedCitation":"(9)","previouslyFormattedCitation":"(9)"},"properties":{"noteIndex":0},"schema":"https://github.com/citation-style-language/schema/raw/master/csl-citation.json"}</w:instrText>
            </w:r>
            <w:r w:rsidRPr="00A34060">
              <w:rPr>
                <w:rFonts w:cstheme="minorHAnsi"/>
                <w:color w:val="000000"/>
                <w:szCs w:val="22"/>
              </w:rPr>
              <w:fldChar w:fldCharType="separate"/>
            </w:r>
            <w:r w:rsidR="00AD4523" w:rsidRPr="00AD4523">
              <w:rPr>
                <w:rFonts w:cstheme="minorHAnsi"/>
                <w:noProof/>
                <w:color w:val="000000"/>
                <w:szCs w:val="22"/>
              </w:rPr>
              <w:t>(9)</w:t>
            </w:r>
            <w:r w:rsidRPr="00A34060">
              <w:rPr>
                <w:rFonts w:cstheme="minorHAnsi"/>
                <w:color w:val="000000"/>
                <w:szCs w:val="22"/>
              </w:rPr>
              <w:fldChar w:fldCharType="end"/>
            </w:r>
            <w:r w:rsidRPr="00A34060">
              <w:rPr>
                <w:rFonts w:cstheme="minorHAnsi"/>
                <w:color w:val="000000"/>
                <w:szCs w:val="22"/>
              </w:rPr>
              <w:t xml:space="preserve"> </w:t>
            </w:r>
          </w:p>
        </w:tc>
      </w:tr>
      <w:tr w:rsidR="00D536DB" w:rsidRPr="00A34060" w14:paraId="67193B02" w14:textId="77777777" w:rsidTr="00E97DB9">
        <w:trPr>
          <w:trHeight w:val="20"/>
        </w:trPr>
        <w:tc>
          <w:tcPr>
            <w:tcW w:w="785" w:type="pct"/>
            <w:vAlign w:val="center"/>
          </w:tcPr>
          <w:p w14:paraId="47C76A43" w14:textId="77777777" w:rsidR="00D536DB" w:rsidRPr="00A34060" w:rsidRDefault="00D536DB" w:rsidP="00C94FBC">
            <w:pPr>
              <w:spacing w:line="256" w:lineRule="auto"/>
              <w:rPr>
                <w:rFonts w:cstheme="minorHAnsi"/>
                <w:color w:val="000000"/>
                <w:szCs w:val="22"/>
                <w:vertAlign w:val="superscript"/>
              </w:rPr>
            </w:pPr>
            <w:r w:rsidRPr="00A34060">
              <w:rPr>
                <w:rFonts w:cstheme="minorHAnsi"/>
                <w:color w:val="000000"/>
                <w:szCs w:val="22"/>
              </w:rPr>
              <w:t>Folate</w:t>
            </w:r>
            <w:r w:rsidRPr="00A34060">
              <w:rPr>
                <w:rFonts w:cstheme="minorHAnsi"/>
                <w:color w:val="000000"/>
                <w:szCs w:val="22"/>
                <w:vertAlign w:val="superscript"/>
              </w:rPr>
              <w:t>1</w:t>
            </w:r>
          </w:p>
        </w:tc>
        <w:tc>
          <w:tcPr>
            <w:tcW w:w="831" w:type="pct"/>
            <w:noWrap/>
            <w:vAlign w:val="center"/>
            <w:hideMark/>
          </w:tcPr>
          <w:p w14:paraId="48445C4A"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Serum folate</w:t>
            </w:r>
          </w:p>
        </w:tc>
        <w:tc>
          <w:tcPr>
            <w:tcW w:w="970" w:type="pct"/>
            <w:noWrap/>
            <w:vAlign w:val="center"/>
            <w:hideMark/>
          </w:tcPr>
          <w:p w14:paraId="01955575" w14:textId="10A09569" w:rsidR="00D536DB" w:rsidRPr="00A34060" w:rsidRDefault="00D536DB" w:rsidP="00C94FBC">
            <w:pPr>
              <w:spacing w:line="256" w:lineRule="auto"/>
              <w:rPr>
                <w:rFonts w:cstheme="minorHAnsi"/>
                <w:color w:val="000000"/>
                <w:szCs w:val="22"/>
              </w:rPr>
            </w:pPr>
            <w:r w:rsidRPr="00A34060">
              <w:rPr>
                <w:rFonts w:cstheme="minorHAnsi"/>
                <w:color w:val="000000"/>
                <w:szCs w:val="22"/>
              </w:rPr>
              <w:t>&lt; 10 nmol/L</w:t>
            </w:r>
            <w:r w:rsidR="0032464A">
              <w:rPr>
                <w:rFonts w:cstheme="minorHAnsi"/>
                <w:color w:val="000000"/>
                <w:szCs w:val="22"/>
              </w:rPr>
              <w:t xml:space="preserve"> </w:t>
            </w:r>
            <w:r w:rsidR="0032464A">
              <w:rPr>
                <w:rFonts w:cstheme="minorHAnsi"/>
                <w:color w:val="000000"/>
                <w:szCs w:val="22"/>
              </w:rPr>
              <w:fldChar w:fldCharType="begin" w:fldLock="1"/>
            </w:r>
            <w:r w:rsidR="00BB7850">
              <w:rPr>
                <w:rFonts w:cstheme="minorHAnsi"/>
                <w:color w:val="000000"/>
                <w:szCs w:val="22"/>
              </w:rPr>
              <w:instrText>ADDIN CSL_CITATION {"citationItems":[{"id":"ITEM-1","itemData":{"DOI":"10.1177/15648265080292S129","abstract":"Folate and vitamin B12 deficiencies occur primarily as a result of insufficient dietary intake or, especially in the case of vitamin B12 deficiency in the elderly, poor absorption. Folate is present in high concentrations in legumes, leafy green vegetables, and some fruits, so lower intakes can be expected where the staple diet consists of unfortified wheat, maize, or rice, and when the intake of legumes and folate-rich vegetables and fruits is low. This situation can occur in both wealthy and poorer countries. Animal-source foods are the only natural source of vitamin B12, so deficiency is prevalent when intake of these foods is low due to their high cost, lack of availability, or cultural or religious beliefs. Deficiency is certainly more prevalent in strict vegetarians, but lacto-ovo vegetarians are also at higher risk for inadequate intakes. If the mother is folate-depleted during lactation, breastmilk concentrations of the vitamin are maintained while the mother becomes more depleted. In contrast, vitamin B12 concentrations in breastmilk can be markedly lower in vitamin B12-depleted women. The impact of gene polymorphisms on folate and vitamin B12 status and requirements in a population will vary depending on the underlying prevalence in that population. Although not well understood, gene polymorphisms almost certainly affect the risk of adverse pregnancy outcomes. Folic acid and vitamin B12 in synthetic form are absorbed at about twice the efficiency as the food forms, especially in lower doses. © 2008, The United Nations University.","author":[{"dropping-particle":"","family":"Benoist","given":"Bruno","non-dropping-particle":"de","parse-names":false,"suffix":""}],"container-title":"Food and Nutrition Bulletin","id":"ITEM-1","issue":"2 SUPPL.","issued":{"date-parts":[["2008"]]},"publisher":"United Nations University Press","title":"Conclusions of a WHO Technical Consultation on folate and vitamin B12 deficiencies","type":"article-journal","volume":"29"},"uris":["http://www.mendeley.com/documents/?uuid=36229345-29c9-379c-b5bc-0b6de5865b82"]}],"mendeley":{"formattedCitation":"(8)","plainTextFormattedCitation":"(8)","previouslyFormattedCitation":"(8)"},"properties":{"noteIndex":0},"schema":"https://github.com/citation-style-language/schema/raw/master/csl-citation.json"}</w:instrText>
            </w:r>
            <w:r w:rsidR="0032464A">
              <w:rPr>
                <w:rFonts w:cstheme="minorHAnsi"/>
                <w:color w:val="000000"/>
                <w:szCs w:val="22"/>
              </w:rPr>
              <w:fldChar w:fldCharType="separate"/>
            </w:r>
            <w:r w:rsidR="00AD4523" w:rsidRPr="00AD4523">
              <w:rPr>
                <w:rFonts w:cstheme="minorHAnsi"/>
                <w:noProof/>
                <w:color w:val="000000"/>
                <w:szCs w:val="22"/>
              </w:rPr>
              <w:t>(8)</w:t>
            </w:r>
            <w:r w:rsidR="0032464A">
              <w:rPr>
                <w:rFonts w:cstheme="minorHAnsi"/>
                <w:color w:val="000000"/>
                <w:szCs w:val="22"/>
              </w:rPr>
              <w:fldChar w:fldCharType="end"/>
            </w:r>
          </w:p>
        </w:tc>
        <w:tc>
          <w:tcPr>
            <w:tcW w:w="1160" w:type="pct"/>
            <w:noWrap/>
            <w:vAlign w:val="center"/>
            <w:hideMark/>
          </w:tcPr>
          <w:p w14:paraId="58FC236C"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All</w:t>
            </w:r>
          </w:p>
        </w:tc>
        <w:tc>
          <w:tcPr>
            <w:tcW w:w="1254" w:type="pct"/>
            <w:noWrap/>
            <w:vAlign w:val="center"/>
            <w:hideMark/>
          </w:tcPr>
          <w:p w14:paraId="5BE7CFBC" w14:textId="08CA9AE9" w:rsidR="00D536DB" w:rsidRPr="00A34060" w:rsidRDefault="00D536DB" w:rsidP="00C94FBC">
            <w:pPr>
              <w:spacing w:line="256" w:lineRule="auto"/>
              <w:rPr>
                <w:rFonts w:cstheme="minorHAnsi"/>
                <w:color w:val="000000"/>
                <w:szCs w:val="22"/>
              </w:rPr>
            </w:pPr>
            <w:r w:rsidRPr="00A34060">
              <w:rPr>
                <w:rFonts w:cstheme="minorHAnsi"/>
                <w:color w:val="000000"/>
                <w:szCs w:val="22"/>
              </w:rPr>
              <w:t xml:space="preserve">No  </w:t>
            </w:r>
            <w:r w:rsidRPr="00A34060">
              <w:rPr>
                <w:rFonts w:cstheme="minorHAnsi"/>
                <w:color w:val="000000"/>
                <w:szCs w:val="22"/>
              </w:rPr>
              <w:fldChar w:fldCharType="begin" w:fldLock="1"/>
            </w:r>
            <w:r w:rsidR="00BB7850">
              <w:rPr>
                <w:rFonts w:cstheme="minorHAnsi"/>
                <w:color w:val="000000"/>
                <w:szCs w:val="22"/>
              </w:rPr>
              <w:instrText>ADDIN CSL_CITATION {"citationItems":[{"id":"ITEM-1","itemData":{"DOI":"10.1093/AJCN/NQZ303","ISSN":"0002-9165","abstract":"Vitamin B-12 and folate deficiencies in women and children have important public health implications. However, the evidence is conflicting and limited on whether the influence of inflammation on biomarker concentrations may be sufficiently and consistently influenced by inflammation to require adjustment for interpreting concentrations or estimating population prevalence of deficiencies. Objective: We examined correlations between concentrations of the inflammation biomarkers C-reactive protein (CRP) and α1-acid glycoprotein (AGP) and serum vitamin B-12 and serum and RBC folate among nonpregnant women of reproductive age (WRA; 15-49 yr) and preschool children (PSC; 6-59 mo). Methods: We analyzed cross-sectional data from 16 nationally representative nutrition surveys conducted in WRA (n = 32,588) and PSC (n = 8,256) from the Biomarkers Reflecting Inflammation and Nutritional Determinants of Anemia project. Spearman correlations between CRP or AGP and vitamin B-12 or folate concentrations were examined, taking into account complex survey design effects. Results: Correlations between inflammation and vitamin B-12 or folate were weak, with no clear pattern of association in either WRA or PSC. Correlation coefficients between CRP and vitamin B-12 for WRA and PSC ranged from -0.25 to 0.16, and correlations between AGP and vitamin B-12 ranged between -0.07 and 0.14. Similarly, correlations between CRP and serum folate ranged from -0.13 to 0.08, and correlations between AGP and serum folate between -0.21 and 0.02. Only 3 surveys measured RBC folate, and among them, correlations for WRA ranged from -0.07 to 0.08 for CRP and -0.04 for AGP (1 country). Conclusions: Based on the weak and inconsistent correlations between CRP or AGP and vitamin B-12 or folate biomarkers, there is no rationale to adjust for inflammation when estimating population prevalence of vitamin B-12 or folate deficiencies in WRA or PSC.","author":[{"dropping-particle":"","family":"Young","given":"Melissa F","non-dropping-particle":"","parse-names":false,"suffix":""},{"dropping-particle":"","family":"Guo","given":"Junjie","non-dropping-particle":"","parse-names":false,"suffix":""},{"dropping-particle":"","family":"Williams","given":"Anne","non-dropping-particle":"","parse-names":false,"suffix":""},{"dropping-particle":"","family":"Whitfield","given":"Kyly C","non-dropping-particle":"","parse-names":false,"suffix":""},{"dropping-particle":"","family":"Nasrin","given":"Sabiha","non-dropping-particle":"","parse-names":false,"suffix":""},{"dropping-particle":"","family":"Kancherla","given":"Vijaya","non-dropping-particle":"","parse-names":false,"suffix":""},{"dropping-particle":"","family":"Suchdev","given":"Parminder S","non-dropping-particle":"","parse-names":false,"suffix":""},{"dropping-particle":"","family":"Crider","given":"Krista S","non-dropping-particle":"","parse-names":false,"suffix":""},{"dropping-particle":"","family":"Pfeiffer","given":"Christine M","non-dropping-particle":"","parse-names":false,"suffix":""},{"dropping-particle":"","family":"Serdula","given":"Mary","non-dropping-particle":"","parse-names":false,"suffix":""}],"container-title":"The American Journal of Clinical Nutrition","id":"ITEM-1","issue":"4","issued":{"date-parts":[["2020","4","1"]]},"page":"919-926","publisher":"Oxford Academic","title":"Interpretation of vitamin B-12 and folate concentrations in population-based surveys does not require adjustment for inflammation: Biomarkers Reflecting Inflammation and Nutritional Determinants of Anemia (BRINDA) project","type":"article-journal","volume":"111"},"uris":["http://www.mendeley.com/documents/?uuid=aa390292-2baa-32ab-847c-f508f3fdf725"]}],"mendeley":{"formattedCitation":"(9)","plainTextFormattedCitation":"(9)","previouslyFormattedCitation":"(9)"},"properties":{"noteIndex":0},"schema":"https://github.com/citation-style-language/schema/raw/master/csl-citation.json"}</w:instrText>
            </w:r>
            <w:r w:rsidRPr="00A34060">
              <w:rPr>
                <w:rFonts w:cstheme="minorHAnsi"/>
                <w:color w:val="000000"/>
                <w:szCs w:val="22"/>
              </w:rPr>
              <w:fldChar w:fldCharType="separate"/>
            </w:r>
            <w:r w:rsidR="00AD4523" w:rsidRPr="00AD4523">
              <w:rPr>
                <w:rFonts w:cstheme="minorHAnsi"/>
                <w:noProof/>
                <w:color w:val="000000"/>
                <w:szCs w:val="22"/>
              </w:rPr>
              <w:t>(9)</w:t>
            </w:r>
            <w:r w:rsidRPr="00A34060">
              <w:rPr>
                <w:rFonts w:cstheme="minorHAnsi"/>
                <w:color w:val="000000"/>
                <w:szCs w:val="22"/>
              </w:rPr>
              <w:fldChar w:fldCharType="end"/>
            </w:r>
            <w:r w:rsidRPr="00A34060">
              <w:rPr>
                <w:rFonts w:cstheme="minorHAnsi"/>
                <w:color w:val="000000"/>
                <w:szCs w:val="22"/>
              </w:rPr>
              <w:t xml:space="preserve"> </w:t>
            </w:r>
          </w:p>
        </w:tc>
      </w:tr>
      <w:tr w:rsidR="00D536DB" w:rsidRPr="00A34060" w14:paraId="42323A6A" w14:textId="77777777" w:rsidTr="00E97DB9">
        <w:trPr>
          <w:trHeight w:val="20"/>
        </w:trPr>
        <w:tc>
          <w:tcPr>
            <w:tcW w:w="785" w:type="pct"/>
            <w:vAlign w:val="center"/>
          </w:tcPr>
          <w:p w14:paraId="4DF9A227" w14:textId="77777777" w:rsidR="00D536DB" w:rsidRPr="00A34060" w:rsidRDefault="00D536DB" w:rsidP="00C94FBC">
            <w:pPr>
              <w:spacing w:line="256" w:lineRule="auto"/>
              <w:rPr>
                <w:rFonts w:cstheme="minorHAnsi"/>
                <w:color w:val="000000"/>
                <w:szCs w:val="22"/>
                <w:vertAlign w:val="superscript"/>
              </w:rPr>
            </w:pPr>
            <w:r w:rsidRPr="00A34060">
              <w:rPr>
                <w:rFonts w:cstheme="minorHAnsi"/>
                <w:color w:val="000000"/>
                <w:szCs w:val="22"/>
              </w:rPr>
              <w:t>Vitamin A</w:t>
            </w:r>
            <w:r w:rsidRPr="00A34060">
              <w:rPr>
                <w:rFonts w:cstheme="minorHAnsi"/>
                <w:color w:val="000000"/>
                <w:szCs w:val="22"/>
                <w:vertAlign w:val="superscript"/>
              </w:rPr>
              <w:t>2</w:t>
            </w:r>
          </w:p>
        </w:tc>
        <w:tc>
          <w:tcPr>
            <w:tcW w:w="831" w:type="pct"/>
            <w:noWrap/>
            <w:vAlign w:val="center"/>
            <w:hideMark/>
          </w:tcPr>
          <w:p w14:paraId="7CCE979E"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Serum retinol</w:t>
            </w:r>
          </w:p>
        </w:tc>
        <w:tc>
          <w:tcPr>
            <w:tcW w:w="970" w:type="pct"/>
            <w:noWrap/>
            <w:vAlign w:val="center"/>
            <w:hideMark/>
          </w:tcPr>
          <w:p w14:paraId="1C9B865B" w14:textId="3C9192D3" w:rsidR="00D536DB" w:rsidRPr="00A34060" w:rsidRDefault="00D536DB" w:rsidP="00C94FBC">
            <w:pPr>
              <w:spacing w:line="256" w:lineRule="auto"/>
              <w:rPr>
                <w:rFonts w:cstheme="minorHAnsi"/>
                <w:color w:val="000000"/>
                <w:szCs w:val="22"/>
              </w:rPr>
            </w:pPr>
            <w:r w:rsidRPr="00A34060">
              <w:rPr>
                <w:rFonts w:cstheme="minorHAnsi"/>
                <w:color w:val="000000"/>
                <w:szCs w:val="22"/>
              </w:rPr>
              <w:t xml:space="preserve">&lt; 0.7 </w:t>
            </w:r>
            <w:proofErr w:type="spellStart"/>
            <w:r w:rsidRPr="00A34060">
              <w:rPr>
                <w:rFonts w:cstheme="minorHAnsi"/>
                <w:color w:val="000000"/>
                <w:szCs w:val="22"/>
              </w:rPr>
              <w:t>μmol</w:t>
            </w:r>
            <w:proofErr w:type="spellEnd"/>
            <w:r w:rsidRPr="00A34060">
              <w:rPr>
                <w:rFonts w:cstheme="minorHAnsi"/>
                <w:color w:val="000000"/>
                <w:szCs w:val="22"/>
              </w:rPr>
              <w:t>/L</w:t>
            </w:r>
            <w:r w:rsidR="0032464A">
              <w:rPr>
                <w:rFonts w:cstheme="minorHAnsi"/>
                <w:color w:val="000000"/>
                <w:szCs w:val="22"/>
              </w:rPr>
              <w:t xml:space="preserve"> </w:t>
            </w:r>
            <w:r w:rsidR="0032464A">
              <w:rPr>
                <w:rFonts w:cstheme="minorHAnsi"/>
                <w:color w:val="000000"/>
                <w:szCs w:val="22"/>
              </w:rPr>
              <w:fldChar w:fldCharType="begin" w:fldLock="1"/>
            </w:r>
            <w:r w:rsidR="00BB7850">
              <w:rPr>
                <w:rFonts w:cstheme="minorHAnsi"/>
                <w:color w:val="000000"/>
                <w:szCs w:val="22"/>
              </w:rPr>
              <w:instrText>ADDIN CSL_CITATION {"citationItems":[{"id":"ITEM-1","itemData":{"author":[{"dropping-particle":"","family":"World Health Organization","given":"","non-dropping-particle":"","parse-names":false,"suffix":""}],"id":"ITEM-1","issued":{"date-parts":[["2011"]]},"publisher-place":"Geneva","title":"Serum retinol cencentrations for determining the prevalence of vitamin A deficiency in populations","type":"report"},"uris":["http://www.mendeley.com/documents/?uuid=a344ab31-bba4-4b7c-abb8-84eebab7d375"]}],"mendeley":{"formattedCitation":"(10)","plainTextFormattedCitation":"(10)","previouslyFormattedCitation":"(10)"},"properties":{"noteIndex":0},"schema":"https://github.com/citation-style-language/schema/raw/master/csl-citation.json"}</w:instrText>
            </w:r>
            <w:r w:rsidR="0032464A">
              <w:rPr>
                <w:rFonts w:cstheme="minorHAnsi"/>
                <w:color w:val="000000"/>
                <w:szCs w:val="22"/>
              </w:rPr>
              <w:fldChar w:fldCharType="separate"/>
            </w:r>
            <w:r w:rsidR="00AD4523" w:rsidRPr="00AD4523">
              <w:rPr>
                <w:rFonts w:cstheme="minorHAnsi"/>
                <w:noProof/>
                <w:color w:val="000000"/>
                <w:szCs w:val="22"/>
              </w:rPr>
              <w:t>(10)</w:t>
            </w:r>
            <w:r w:rsidR="0032464A">
              <w:rPr>
                <w:rFonts w:cstheme="minorHAnsi"/>
                <w:color w:val="000000"/>
                <w:szCs w:val="22"/>
              </w:rPr>
              <w:fldChar w:fldCharType="end"/>
            </w:r>
          </w:p>
        </w:tc>
        <w:tc>
          <w:tcPr>
            <w:tcW w:w="1160" w:type="pct"/>
            <w:noWrap/>
            <w:vAlign w:val="center"/>
            <w:hideMark/>
          </w:tcPr>
          <w:p w14:paraId="157E1193"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All</w:t>
            </w:r>
          </w:p>
        </w:tc>
        <w:tc>
          <w:tcPr>
            <w:tcW w:w="1254" w:type="pct"/>
            <w:noWrap/>
            <w:vAlign w:val="center"/>
            <w:hideMark/>
          </w:tcPr>
          <w:p w14:paraId="2074F6F1" w14:textId="17655CEC" w:rsidR="00D536DB" w:rsidRPr="00A34060" w:rsidRDefault="00D536DB" w:rsidP="00C94FBC">
            <w:pPr>
              <w:spacing w:line="256" w:lineRule="auto"/>
              <w:rPr>
                <w:rFonts w:cstheme="minorHAnsi"/>
                <w:color w:val="000000"/>
                <w:szCs w:val="22"/>
              </w:rPr>
            </w:pPr>
            <w:r w:rsidRPr="00A34060">
              <w:rPr>
                <w:rFonts w:cstheme="minorHAnsi"/>
                <w:color w:val="000000"/>
                <w:szCs w:val="22"/>
              </w:rPr>
              <w:t xml:space="preserve">Pre-school children only </w:t>
            </w:r>
            <w:r w:rsidRPr="00A34060">
              <w:rPr>
                <w:rFonts w:cstheme="minorHAnsi"/>
                <w:color w:val="000000"/>
                <w:szCs w:val="22"/>
              </w:rPr>
              <w:fldChar w:fldCharType="begin" w:fldLock="1"/>
            </w:r>
            <w:r w:rsidR="00511689">
              <w:rPr>
                <w:rFonts w:cstheme="minorHAnsi"/>
                <w:color w:val="000000"/>
                <w:szCs w:val="22"/>
              </w:rPr>
              <w:instrText>ADDIN CSL_CITATION {"citationItems":[{"id":"ITEM-1","itemData":{"DOI":"10.3945/AJCN.116.142166","ISSN":"0002-9165","abstract":"Background: The accurate estimation of the prevalence of vitamin A deficiency (VAD) is important in planning and implementing interventions. Retinol-binding protein (RBP) is often used in population surveys to measure vitamin A status, but its interpretation is challenging in settings where inflammation is common because RBP concentrations decrease during the acute-phase response.Objectives: We aimed to assess the relation between RBP concentrations and inflammation and malaria in preschool children (PSC) (age range: 6-59 mo) and women of reproductive age (WRA) (age range: 15-49 y) and to investigate adjustment algorithms to account for these effects.Design: Cross-sectional data from 8 surveys for PSC (n = 8803) and 4 surveys for WRA (n = 4191) from the Biomarkers Reflecting Inflammation and Nutritional Determinants of Anemia (BRINDA) project were analyzed individually and combined with the use of a meta-analysis. Several approaches were explored to adjust RBP concentrations in PSC in inflammation and malaria settings as follows: 1) the exclusion of subjects with C-reactive protein (CRP) concentrations &gt;5 mg/L or α-1-acid glycoprotein (AGP) concentrations &gt;1 g/L, 2) the application of arithmetic correction factors, and 3) the use of a regression correction approach. The impact of adjustment on the estimated prevalence of VAD (defined as &lt;0.7 μmol/L) was examined in PSC.Results: The relation between estimated VAD and CRP and AGP deciles followed a linear pattern in PSC. In women, the correlations between RBP and CRP and AGP were too weak to justify adjustments for inflammation. Depending on the approach used to adjust for inflammation (CRP+AGP), the estimated prevalence of VAD decreased by a median of 11-18 percentage points in PSC compared with unadjusted values. There was no added effect of adjusting for malaria on the estimated VAD after adjusting for CRP and AGP.Conclusions: The use of regression correction (derived from internal data), which accounts for the severity of inflammation, to estimate the prevalence of VAD in PSC in regions with inflammation and malaria is supported by the analysis of the BRINDA data. These findings contribute to the evidence on adjusting for inflammation when estimating VAD with the use of RBP.","author":[{"dropping-particle":"","family":"Larson","given":"Leila M","non-dropping-particle":"","parse-names":false,"suffix":""},{"dropping-particle":"","family":"Namaste","given":"Sorrel ML","non-dropping-particle":"","parse-names":false,"suffix":""},{"dropping-particle":"","family":"Williams","given":"Anne M","non-dropping-particle":"","parse-names":false,"suffix":""},{"dropping-particle":"","family":"Engle-Stone","given":"Reina","non-dropping-particle":"","parse-names":false,"suffix":""},{"dropping-particle":"","family":"Addo","given":"O Yaw","non-dropping-particle":"","parse-names":false,"suffix":""},{"dropping-particle":"","family":"Suchdev","given":"Parminder S","non-dropping-particle":"","parse-names":false,"suffix":""},{"dropping-particle":"","family":"Wirth","given":"James P","non-dropping-particle":"","parse-names":false,"suffix":""},{"dropping-particle":"","family":"Temple","given":"Victor","non-dropping-particle":"","parse-names":false,"suffix":""},{"dropping-particle":"","family":"Serdula","given":"Mary","non-dropping-particle":"","parse-names":false,"suffix":""},{"dropping-particle":"","family":"Northrop-Clewes","given":"Christine A","non-dropping-particle":"","parse-names":false,"suffix":""}],"container-title":"The American Journal of Clinical Nutrition","id":"ITEM-1","issue":"suppl_1","issued":{"date-parts":[["2017","7","1"]]},"page":"390S-401S","publisher":"Oxford Academic","title":"Adjusting retinol-binding protein concentrations for inflammation: Biomarkers Reflecting Inflammation and Nutritional Determinants of Anemia (BRINDA) project","type":"article-journal","volume":"106"},"uris":["http://www.mendeley.com/documents/?uuid=e8c4b49c-49c3-380f-8631-01e6691b226d"]}],"mendeley":{"formattedCitation":"(4)","plainTextFormattedCitation":"(4)","previouslyFormattedCitation":"(4)"},"properties":{"noteIndex":0},"schema":"https://github.com/citation-style-language/schema/raw/master/csl-citation.json"}</w:instrText>
            </w:r>
            <w:r w:rsidRPr="00A34060">
              <w:rPr>
                <w:rFonts w:cstheme="minorHAnsi"/>
                <w:color w:val="000000"/>
                <w:szCs w:val="22"/>
              </w:rPr>
              <w:fldChar w:fldCharType="separate"/>
            </w:r>
            <w:r w:rsidR="00DA42B2" w:rsidRPr="00DA42B2">
              <w:rPr>
                <w:rFonts w:cstheme="minorHAnsi"/>
                <w:noProof/>
                <w:color w:val="000000"/>
                <w:szCs w:val="22"/>
              </w:rPr>
              <w:t>(4)</w:t>
            </w:r>
            <w:r w:rsidRPr="00A34060">
              <w:rPr>
                <w:rFonts w:cstheme="minorHAnsi"/>
                <w:color w:val="000000"/>
                <w:szCs w:val="22"/>
              </w:rPr>
              <w:fldChar w:fldCharType="end"/>
            </w:r>
          </w:p>
        </w:tc>
      </w:tr>
      <w:tr w:rsidR="00D536DB" w:rsidRPr="00A34060" w14:paraId="785FDE4A" w14:textId="77777777" w:rsidTr="00E97DB9">
        <w:trPr>
          <w:trHeight w:val="20"/>
        </w:trPr>
        <w:tc>
          <w:tcPr>
            <w:tcW w:w="785" w:type="pct"/>
            <w:vAlign w:val="center"/>
          </w:tcPr>
          <w:p w14:paraId="1BF7DD8F" w14:textId="77777777" w:rsidR="00D536DB" w:rsidRPr="00A34060" w:rsidRDefault="00D536DB" w:rsidP="00C94FBC">
            <w:pPr>
              <w:spacing w:line="256" w:lineRule="auto"/>
              <w:rPr>
                <w:rFonts w:cstheme="minorHAnsi"/>
                <w:color w:val="000000"/>
                <w:szCs w:val="22"/>
                <w:vertAlign w:val="superscript"/>
              </w:rPr>
            </w:pPr>
            <w:r w:rsidRPr="00A34060">
              <w:rPr>
                <w:rFonts w:cstheme="minorHAnsi"/>
                <w:color w:val="000000"/>
                <w:szCs w:val="22"/>
              </w:rPr>
              <w:t>Vitamin A</w:t>
            </w:r>
            <w:r w:rsidRPr="00A34060">
              <w:rPr>
                <w:rFonts w:cstheme="minorHAnsi"/>
                <w:color w:val="000000"/>
                <w:szCs w:val="22"/>
                <w:vertAlign w:val="superscript"/>
              </w:rPr>
              <w:t>2</w:t>
            </w:r>
          </w:p>
        </w:tc>
        <w:tc>
          <w:tcPr>
            <w:tcW w:w="831" w:type="pct"/>
            <w:noWrap/>
            <w:vAlign w:val="center"/>
            <w:hideMark/>
          </w:tcPr>
          <w:p w14:paraId="0EFB83C1"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 xml:space="preserve">Retinol-binding </w:t>
            </w:r>
          </w:p>
          <w:p w14:paraId="61FA3D8E"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protein</w:t>
            </w:r>
          </w:p>
        </w:tc>
        <w:tc>
          <w:tcPr>
            <w:tcW w:w="970" w:type="pct"/>
            <w:noWrap/>
            <w:vAlign w:val="center"/>
            <w:hideMark/>
          </w:tcPr>
          <w:p w14:paraId="58186480" w14:textId="7E3830D3" w:rsidR="00D536DB" w:rsidRPr="00A34060" w:rsidRDefault="00D536DB" w:rsidP="00C94FBC">
            <w:pPr>
              <w:spacing w:line="256" w:lineRule="auto"/>
              <w:rPr>
                <w:rFonts w:cstheme="minorHAnsi"/>
                <w:color w:val="000000"/>
                <w:szCs w:val="22"/>
              </w:rPr>
            </w:pPr>
            <w:r w:rsidRPr="00A34060">
              <w:rPr>
                <w:rFonts w:cstheme="minorHAnsi"/>
                <w:color w:val="000000"/>
                <w:szCs w:val="22"/>
              </w:rPr>
              <w:t xml:space="preserve">&lt; 0.7 </w:t>
            </w:r>
            <w:proofErr w:type="spellStart"/>
            <w:r w:rsidRPr="00A34060">
              <w:rPr>
                <w:rFonts w:cstheme="minorHAnsi"/>
                <w:color w:val="000000"/>
                <w:szCs w:val="22"/>
              </w:rPr>
              <w:t>μmol</w:t>
            </w:r>
            <w:proofErr w:type="spellEnd"/>
            <w:r w:rsidRPr="00A34060">
              <w:rPr>
                <w:rFonts w:cstheme="minorHAnsi"/>
                <w:color w:val="000000"/>
                <w:szCs w:val="22"/>
              </w:rPr>
              <w:t>/L</w:t>
            </w:r>
            <w:r w:rsidR="00002787">
              <w:rPr>
                <w:rFonts w:cstheme="minorHAnsi"/>
                <w:color w:val="000000"/>
                <w:szCs w:val="22"/>
              </w:rPr>
              <w:t xml:space="preserve"> </w:t>
            </w:r>
            <w:r w:rsidR="00E97DB9">
              <w:rPr>
                <w:rFonts w:cstheme="minorHAnsi"/>
                <w:color w:val="000000"/>
                <w:szCs w:val="22"/>
              </w:rPr>
              <w:fldChar w:fldCharType="begin" w:fldLock="1"/>
            </w:r>
            <w:r w:rsidR="00BB7850">
              <w:rPr>
                <w:rFonts w:cstheme="minorHAnsi"/>
                <w:color w:val="000000"/>
                <w:szCs w:val="22"/>
              </w:rPr>
              <w:instrText>ADDIN CSL_CITATION {"citationItems":[{"id":"ITEM-1","itemData":{"DOI":"10.1093/TROPEJ/48.2.84","ISSN":"0142-6338","PMID":"12022434","abstract":"Although plasma retinol-binding protein (RBP) has been proposed as an indicator of vitamin A status of populations in less technologically developed settings, potential factors which could influence this indicator include inflammation and protein energy status. Plasma RBP, retinol, α1-acid glycoprotein (AGP), C-reactive protein (CRP), and albumin were measured in a study of 236 preschool children in Bandung, Indonesia. Spearman correlation coefficient between plasma RBP and retinol concentrations was 0.55 (p &lt; 0.0001). By linear regression, 0.70 μmol/l retinol was equivalent to 0.69 μmol/l RBP. With these cut-off points for defining vitamin A deficiency and plasma retinol as the standard for comparison, RBP had a sensitivity and specificity of 75.0 per cent and 63.2 per cent, respectively. The correlation between RBP and retinol was not affected by plasma AGP, CRP, or albumin concentration. Measurement of plasma RBP by radial immunodiffusion is simple and inexpensive, and this test can be used as a simple surrogate measure for vitamin A concentrations in large field studies.","author":[{"dropping-particle":"","family":"Semba","given":"R. D.","non-dropping-particle":"","parse-names":false,"suffix":""},{"dropping-particle":"","family":"Yuniar","given":"Y.","non-dropping-particle":"","parse-names":false,"suffix":""},{"dropping-particle":"V.","family":"Gamble","given":"M.","non-dropping-particle":"","parse-names":false,"suffix":""},{"dropping-particle":"","family":"Natadisastra","given":"G.","non-dropping-particle":"","parse-names":false,"suffix":""},{"dropping-particle":"","family":"Muhilal","given":"","non-dropping-particle":"","parse-names":false,"suffix":""}],"container-title":"Journal of Tropical Pediatrics","id":"ITEM-1","issue":"2","issued":{"date-parts":[["2002","4","1"]]},"page":"84-87","publisher":"Oxford Academic","title":"Assessment of Vitamin A Status of Preschool Children in Indonesia Using Plasma Retinol‐binding Protein","type":"article-journal","volume":"48"},"uris":["http://www.mendeley.com/documents/?uuid=a7115623-06d7-3faa-a31c-6f5142093326"]},{"id":"ITEM-2","itemData":{"DOI":"10.1093/AJCN/73.3.594","ISSN":"0002-9165","PMID":"11237937","abstract":"Background: Serum retinol is transported by retinol binding protein (RBP), which has one high-affinity binding site for retinol; consequently, the molar ratio of retinol to RBP in the circulation is ≈1 to 1. In vitamin A deficiency (VAD), both serum retinol and RBP decline. However, the retinol-RBP relation has not been well studied in populations with a high incidence of severe VAD. Objective: The purpose of this study was to determine whether RBP is a good surrogate for serum retinol at the very low retinol concentrations encountered in VAD. Design: The stoichiometric relation between retinol and RBP was studied in 239 Marshallese children: 65 with severe VAD (≤0.35 μmol retinol/L), 94 with moderate VAD (0.36-0.70 μmol retinol/L), and 80 with vitamin A sufficiency (&gt;0.70 μmol retinol/L). Results: Excellent correlation between retinol and RBP (r = 0.94) was observed across all retinol concentrations. Severe VAD was predicted with 96% sensitivity and 91% specificity on the basis of an RBP cutoff of ≤0.48 μmol/L, whereas moderate VAD was predicted with 87% sensitivity and 98% specificity on the basis of an RBP cutoff of ≤0.70 μmol/L. Conclusions: The use of RBP results in the classification of essentially the same children with VAD as does retinol, and RBP is an excellent surrogate for serum retinol. Considering the relative ease of measuring RBP with immunodiagnostic kits compared with that of serum retinol by HPLC, the use of RBP concentrations to assess VAD may be particularly advantageous in field settings. Consequently, measuring RBP concentrations may be a practical alternative to measuring serum retinol in population surveys assessing the prevalence of VAD.","author":[{"dropping-particle":"V.","family":"Gamble","given":"M.","non-dropping-particle":"","parse-names":false,"suffix":""},{"dropping-particle":"","family":"Ramakrishnan","given":"R.","non-dropping-particle":"","parse-names":false,"suffix":""},{"dropping-particle":"","family":"Palafox","given":"N. A.","non-dropping-particle":"","parse-names":false,"suffix":""},{"dropping-particle":"","family":"Briand","given":"K.","non-dropping-particle":"","parse-names":false,"suffix":""},{"dropping-particle":"","family":"Berglund","given":"L.","non-dropping-particle":"","parse-names":false,"suffix":""},{"dropping-particle":"","family":"Blaner","given":"W. S.","non-dropping-particle":"","parse-names":false,"suffix":""}],"container-title":"The American Journal of Clinical Nutrition","id":"ITEM-2","issue":"3","issued":{"date-parts":[["2001","3","1"]]},"page":"594-601","publisher":"Oxford Academic","title":"Retinol binding protein as a surrogate measure for serum retinol: studies in vitamin A–deficient children from the Republic of the Marshall Islands","type":"article-journal","volume":"73"},"uris":["http://www.mendeley.com/documents/?uuid=c9475ef6-8c43-35ca-b459-d701f3c58025"]}],"mendeley":{"formattedCitation":"(11,12)","plainTextFormattedCitation":"(11,12)","previouslyFormattedCitation":"(11,12)"},"properties":{"noteIndex":0},"schema":"https://github.com/citation-style-language/schema/raw/master/csl-citation.json"}</w:instrText>
            </w:r>
            <w:r w:rsidR="00E97DB9">
              <w:rPr>
                <w:rFonts w:cstheme="minorHAnsi"/>
                <w:color w:val="000000"/>
                <w:szCs w:val="22"/>
              </w:rPr>
              <w:fldChar w:fldCharType="separate"/>
            </w:r>
            <w:r w:rsidR="00AD4523" w:rsidRPr="00AD4523">
              <w:rPr>
                <w:rFonts w:cstheme="minorHAnsi"/>
                <w:noProof/>
                <w:color w:val="000000"/>
                <w:szCs w:val="22"/>
              </w:rPr>
              <w:t>(11,12)</w:t>
            </w:r>
            <w:r w:rsidR="00E97DB9">
              <w:rPr>
                <w:rFonts w:cstheme="minorHAnsi"/>
                <w:color w:val="000000"/>
                <w:szCs w:val="22"/>
              </w:rPr>
              <w:fldChar w:fldCharType="end"/>
            </w:r>
          </w:p>
        </w:tc>
        <w:tc>
          <w:tcPr>
            <w:tcW w:w="1160" w:type="pct"/>
            <w:noWrap/>
            <w:vAlign w:val="center"/>
            <w:hideMark/>
          </w:tcPr>
          <w:p w14:paraId="3AD45C44"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All</w:t>
            </w:r>
          </w:p>
        </w:tc>
        <w:tc>
          <w:tcPr>
            <w:tcW w:w="1254" w:type="pct"/>
            <w:noWrap/>
            <w:vAlign w:val="center"/>
            <w:hideMark/>
          </w:tcPr>
          <w:p w14:paraId="7FE46767" w14:textId="34820367" w:rsidR="00D536DB" w:rsidRPr="00A34060" w:rsidRDefault="00D536DB" w:rsidP="00C94FBC">
            <w:pPr>
              <w:spacing w:line="256" w:lineRule="auto"/>
              <w:rPr>
                <w:rFonts w:cstheme="minorHAnsi"/>
                <w:color w:val="000000"/>
                <w:szCs w:val="22"/>
              </w:rPr>
            </w:pPr>
            <w:r w:rsidRPr="00A34060">
              <w:rPr>
                <w:rFonts w:cstheme="minorHAnsi"/>
                <w:color w:val="000000"/>
                <w:szCs w:val="22"/>
              </w:rPr>
              <w:t xml:space="preserve">Pre-school children only </w:t>
            </w:r>
            <w:r w:rsidRPr="00A34060">
              <w:rPr>
                <w:rFonts w:cstheme="minorHAnsi"/>
                <w:color w:val="000000"/>
                <w:szCs w:val="22"/>
              </w:rPr>
              <w:fldChar w:fldCharType="begin" w:fldLock="1"/>
            </w:r>
            <w:r w:rsidR="00511689">
              <w:rPr>
                <w:rFonts w:cstheme="minorHAnsi"/>
                <w:color w:val="000000"/>
                <w:szCs w:val="22"/>
              </w:rPr>
              <w:instrText>ADDIN CSL_CITATION {"citationItems":[{"id":"ITEM-1","itemData":{"DOI":"10.3945/AJCN.116.142166","ISSN":"0002-9165","abstract":"Background: The accurate estimation of the prevalence of vitamin A deficiency (VAD) is important in planning and implementing interventions. Retinol-binding protein (RBP) is often used in population surveys to measure vitamin A status, but its interpretation is challenging in settings where inflammation is common because RBP concentrations decrease during the acute-phase response.Objectives: We aimed to assess the relation between RBP concentrations and inflammation and malaria in preschool children (PSC) (age range: 6-59 mo) and women of reproductive age (WRA) (age range: 15-49 y) and to investigate adjustment algorithms to account for these effects.Design: Cross-sectional data from 8 surveys for PSC (n = 8803) and 4 surveys for WRA (n = 4191) from the Biomarkers Reflecting Inflammation and Nutritional Determinants of Anemia (BRINDA) project were analyzed individually and combined with the use of a meta-analysis. Several approaches were explored to adjust RBP concentrations in PSC in inflammation and malaria settings as follows: 1) the exclusion of subjects with C-reactive protein (CRP) concentrations &gt;5 mg/L or α-1-acid glycoprotein (AGP) concentrations &gt;1 g/L, 2) the application of arithmetic correction factors, and 3) the use of a regression correction approach. The impact of adjustment on the estimated prevalence of VAD (defined as &lt;0.7 μmol/L) was examined in PSC.Results: The relation between estimated VAD and CRP and AGP deciles followed a linear pattern in PSC. In women, the correlations between RBP and CRP and AGP were too weak to justify adjustments for inflammation. Depending on the approach used to adjust for inflammation (CRP+AGP), the estimated prevalence of VAD decreased by a median of 11-18 percentage points in PSC compared with unadjusted values. There was no added effect of adjusting for malaria on the estimated VAD after adjusting for CRP and AGP.Conclusions: The use of regression correction (derived from internal data), which accounts for the severity of inflammation, to estimate the prevalence of VAD in PSC in regions with inflammation and malaria is supported by the analysis of the BRINDA data. These findings contribute to the evidence on adjusting for inflammation when estimating VAD with the use of RBP.","author":[{"dropping-particle":"","family":"Larson","given":"Leila M","non-dropping-particle":"","parse-names":false,"suffix":""},{"dropping-particle":"","family":"Namaste","given":"Sorrel ML","non-dropping-particle":"","parse-names":false,"suffix":""},{"dropping-particle":"","family":"Williams","given":"Anne M","non-dropping-particle":"","parse-names":false,"suffix":""},{"dropping-particle":"","family":"Engle-Stone","given":"Reina","non-dropping-particle":"","parse-names":false,"suffix":""},{"dropping-particle":"","family":"Addo","given":"O Yaw","non-dropping-particle":"","parse-names":false,"suffix":""},{"dropping-particle":"","family":"Suchdev","given":"Parminder S","non-dropping-particle":"","parse-names":false,"suffix":""},{"dropping-particle":"","family":"Wirth","given":"James P","non-dropping-particle":"","parse-names":false,"suffix":""},{"dropping-particle":"","family":"Temple","given":"Victor","non-dropping-particle":"","parse-names":false,"suffix":""},{"dropping-particle":"","family":"Serdula","given":"Mary","non-dropping-particle":"","parse-names":false,"suffix":""},{"dropping-particle":"","family":"Northrop-Clewes","given":"Christine A","non-dropping-particle":"","parse-names":false,"suffix":""}],"container-title":"The American Journal of Clinical Nutrition","id":"ITEM-1","issue":"suppl_1","issued":{"date-parts":[["2017","7","1"]]},"page":"390S-401S","publisher":"Oxford Academic","title":"Adjusting retinol-binding protein concentrations for inflammation: Biomarkers Reflecting Inflammation and Nutritional Determinants of Anemia (BRINDA) project","type":"article-journal","volume":"106"},"uris":["http://www.mendeley.com/documents/?uuid=e8c4b49c-49c3-380f-8631-01e6691b226d"]}],"mendeley":{"formattedCitation":"(4)","plainTextFormattedCitation":"(4)","previouslyFormattedCitation":"(4)"},"properties":{"noteIndex":0},"schema":"https://github.com/citation-style-language/schema/raw/master/csl-citation.json"}</w:instrText>
            </w:r>
            <w:r w:rsidRPr="00A34060">
              <w:rPr>
                <w:rFonts w:cstheme="minorHAnsi"/>
                <w:color w:val="000000"/>
                <w:szCs w:val="22"/>
              </w:rPr>
              <w:fldChar w:fldCharType="separate"/>
            </w:r>
            <w:r w:rsidR="00DA42B2" w:rsidRPr="00DA42B2">
              <w:rPr>
                <w:rFonts w:cstheme="minorHAnsi"/>
                <w:noProof/>
                <w:color w:val="000000"/>
                <w:szCs w:val="22"/>
              </w:rPr>
              <w:t>(4)</w:t>
            </w:r>
            <w:r w:rsidRPr="00A34060">
              <w:rPr>
                <w:rFonts w:cstheme="minorHAnsi"/>
                <w:color w:val="000000"/>
                <w:szCs w:val="22"/>
              </w:rPr>
              <w:fldChar w:fldCharType="end"/>
            </w:r>
          </w:p>
        </w:tc>
      </w:tr>
      <w:tr w:rsidR="00D536DB" w:rsidRPr="00A34060" w14:paraId="772ED567" w14:textId="77777777" w:rsidTr="00E97DB9">
        <w:trPr>
          <w:trHeight w:val="20"/>
        </w:trPr>
        <w:tc>
          <w:tcPr>
            <w:tcW w:w="785" w:type="pct"/>
            <w:vAlign w:val="center"/>
          </w:tcPr>
          <w:p w14:paraId="10DFB11A"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Zinc</w:t>
            </w:r>
            <w:r w:rsidRPr="00A34060">
              <w:rPr>
                <w:rFonts w:cstheme="minorHAnsi"/>
                <w:color w:val="000000"/>
                <w:szCs w:val="22"/>
                <w:vertAlign w:val="superscript"/>
              </w:rPr>
              <w:t>3</w:t>
            </w:r>
          </w:p>
        </w:tc>
        <w:tc>
          <w:tcPr>
            <w:tcW w:w="831" w:type="pct"/>
            <w:noWrap/>
            <w:vAlign w:val="center"/>
            <w:hideMark/>
          </w:tcPr>
          <w:p w14:paraId="7099DB6E"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Serum zinc</w:t>
            </w:r>
          </w:p>
        </w:tc>
        <w:tc>
          <w:tcPr>
            <w:tcW w:w="970" w:type="pct"/>
            <w:noWrap/>
            <w:vAlign w:val="center"/>
            <w:hideMark/>
          </w:tcPr>
          <w:p w14:paraId="5983F283" w14:textId="541CDDBE" w:rsidR="00D536DB" w:rsidRPr="00A34060" w:rsidRDefault="03C7B32C" w:rsidP="03C7B32C">
            <w:pPr>
              <w:spacing w:line="256" w:lineRule="auto"/>
              <w:rPr>
                <w:rFonts w:cstheme="minorBidi"/>
                <w:color w:val="000000"/>
              </w:rPr>
            </w:pPr>
            <w:r w:rsidRPr="03C7B32C">
              <w:rPr>
                <w:rFonts w:cstheme="minorBidi"/>
                <w:color w:val="000000" w:themeColor="text1"/>
              </w:rPr>
              <w:t xml:space="preserve">&lt; 9.9 </w:t>
            </w:r>
            <w:proofErr w:type="spellStart"/>
            <w:r w:rsidRPr="03C7B32C">
              <w:rPr>
                <w:rFonts w:cstheme="minorBidi"/>
                <w:color w:val="000000" w:themeColor="text1"/>
              </w:rPr>
              <w:t>μmol</w:t>
            </w:r>
            <w:proofErr w:type="spellEnd"/>
            <w:r w:rsidRPr="03C7B32C">
              <w:rPr>
                <w:rFonts w:cstheme="minorBidi"/>
                <w:color w:val="000000" w:themeColor="text1"/>
              </w:rPr>
              <w:t>/L</w:t>
            </w:r>
            <w:r w:rsidR="009E0F8E">
              <w:rPr>
                <w:rFonts w:cstheme="minorBidi"/>
                <w:color w:val="000000" w:themeColor="text1"/>
              </w:rPr>
              <w:t xml:space="preserve"> </w:t>
            </w:r>
            <w:r w:rsidR="00110063">
              <w:rPr>
                <w:rFonts w:cstheme="minorBidi"/>
                <w:color w:val="000000" w:themeColor="text1"/>
              </w:rPr>
              <w:fldChar w:fldCharType="begin" w:fldLock="1"/>
            </w:r>
            <w:r w:rsidR="00BB7850">
              <w:rPr>
                <w:rFonts w:cstheme="minorBidi"/>
                <w:color w:val="000000" w:themeColor="text1"/>
              </w:rPr>
              <w:instrText>ADDIN CSL_CITATION {"citationItems":[{"id":"ITEM-1","itemData":{"author":[{"dropping-particle":"","family":"International Zinc Nutrition Consultative Group","given":"","non-dropping-particle":"","parse-names":false,"suffix":""}],"id":"ITEM-1","issued":{"date-parts":[["2012"]]},"number-of-pages":"4","publisher-place":"Davis, CA","title":"IZiNCG Technical Brief","type":"report"},"uris":["http://www.mendeley.com/documents/?uuid=3d22cfaa-59a0-30fb-a822-9b36a94f9fe5"]}],"mendeley":{"formattedCitation":"(13)","plainTextFormattedCitation":"(13)","previouslyFormattedCitation":"(13)"},"properties":{"noteIndex":0},"schema":"https://github.com/citation-style-language/schema/raw/master/csl-citation.json"}</w:instrText>
            </w:r>
            <w:r w:rsidR="00110063">
              <w:rPr>
                <w:rFonts w:cstheme="minorBidi"/>
                <w:color w:val="000000" w:themeColor="text1"/>
              </w:rPr>
              <w:fldChar w:fldCharType="separate"/>
            </w:r>
            <w:r w:rsidR="00AD4523" w:rsidRPr="00AD4523">
              <w:rPr>
                <w:rFonts w:cstheme="minorBidi"/>
                <w:noProof/>
                <w:color w:val="000000" w:themeColor="text1"/>
              </w:rPr>
              <w:t>(13)</w:t>
            </w:r>
            <w:r w:rsidR="00110063">
              <w:rPr>
                <w:rFonts w:cstheme="minorBidi"/>
                <w:color w:val="000000" w:themeColor="text1"/>
              </w:rPr>
              <w:fldChar w:fldCharType="end"/>
            </w:r>
          </w:p>
        </w:tc>
        <w:tc>
          <w:tcPr>
            <w:tcW w:w="1160" w:type="pct"/>
            <w:noWrap/>
            <w:vAlign w:val="center"/>
            <w:hideMark/>
          </w:tcPr>
          <w:p w14:paraId="35FB66A1"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 xml:space="preserve">Children &lt; 10 years </w:t>
            </w:r>
          </w:p>
          <w:p w14:paraId="089CFC91"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(morning, non-fasting)</w:t>
            </w:r>
          </w:p>
        </w:tc>
        <w:tc>
          <w:tcPr>
            <w:tcW w:w="1254" w:type="pct"/>
            <w:noWrap/>
            <w:vAlign w:val="center"/>
            <w:hideMark/>
          </w:tcPr>
          <w:p w14:paraId="0992047F"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 xml:space="preserve">Yes, provided </w:t>
            </w:r>
          </w:p>
          <w:p w14:paraId="41C329FE" w14:textId="594D8331" w:rsidR="00D536DB" w:rsidRPr="00A34060" w:rsidRDefault="00D536DB" w:rsidP="00C94FBC">
            <w:pPr>
              <w:spacing w:line="256" w:lineRule="auto"/>
              <w:rPr>
                <w:rFonts w:cstheme="minorHAnsi"/>
                <w:color w:val="000000"/>
                <w:szCs w:val="22"/>
              </w:rPr>
            </w:pPr>
            <w:r w:rsidRPr="00A34060">
              <w:rPr>
                <w:rFonts w:cstheme="minorHAnsi"/>
                <w:color w:val="000000"/>
                <w:szCs w:val="22"/>
              </w:rPr>
              <w:t xml:space="preserve">conditions are met </w:t>
            </w:r>
            <w:r w:rsidRPr="00A34060">
              <w:rPr>
                <w:rFonts w:cstheme="minorHAnsi"/>
                <w:color w:val="000000"/>
                <w:szCs w:val="22"/>
              </w:rPr>
              <w:fldChar w:fldCharType="begin" w:fldLock="1"/>
            </w:r>
            <w:r w:rsidR="00511689">
              <w:rPr>
                <w:rFonts w:cstheme="minorHAnsi"/>
                <w:color w:val="000000"/>
                <w:szCs w:val="22"/>
              </w:rPr>
              <w:instrText>ADDIN CSL_CITATION {"citationItems":[{"id":"ITEM-1","itemData":{"DOI":"10.1093/AJCN/NQZ304","ISSN":"0002-9165","abstract":"The accurate estimation of zinc deficiency at the population level is important, as it guides the design, targeting, and evaluation of nutrition interventions. Plasma or serum zinc concentration (PZC) is recommended to estimate zinc nutritional status; however, concentrations may decrease in the presence of inflammation. Objectives: We aimed to assess the relation between PZC and inflammation in preschool children (PSC; 6-59 mo) and nonpregnant women of reproductive age (WRA; 15-49 y), and to compare different inflammation adjustment approaches, if adjustment is warranted. Methods: Cross-sectional data from 13 nationally representative surveys (18,859 PSC, 22,695 WRA) from the Biomarkers Reflecting Inflammation and Nutritional Determinants of Anemia (BRINDA) project were analyzed. Correlation and decile analyses were conducted, and the following 3 adjustment methods were compared if a consistent negative association between PZC and C-reactive protein (CRP) or α-1-acid glycoprotein (AGP) was observed: 1) exclude individuals with CRP &gt; 5 mg/L or AGP &gt; 1 g/L; 2) apply arithmetic correction factors; and 3) use the BRINDA regression correction (RC) approach. Results: In 6 of 12 PSC surveys, the estimated prevalence of zinc deficiency increased with increasing CRP deciles, and to a lesser extent, with increasing AGP deciles. In WRA, the association of PZC with CRP and AGP was weak and inconsistent. In the 6 PSC surveys in which adjustment methods were compared, application of RC reduced the estimated prevalence of zinc deficiency by a median of 11 (range: 4-18) percentage points, compared with the unadjusted prevalence. Conclusions: Relations between PZC and inflammatory markers were inconsistent, suggesting that correlation and decile analyses should be conducted before applying any inflammation adjustments. In populations of PSC that exhibit a significant negative association between PZC and CRP or AGP, application of the RC approach is supported. At this time, there is insufficient evidence to warrant inflammation adjustment in WRA.","author":[{"dropping-particle":"","family":"McDonald","given":"Christine M","non-dropping-particle":"","parse-names":false,"suffix":""},{"dropping-particle":"","family":"Suchdev","given":"Parminder S","non-dropping-particle":"","parse-names":false,"suffix":""},{"dropping-particle":"","family":"Krebs","given":"Nancy F","non-dropping-particle":"","parse-names":false,"suffix":""},{"dropping-particle":"","family":"Hess","given":"Sonja Y","non-dropping-particle":"","parse-names":false,"suffix":""},{"dropping-particle":"","family":"Wessells","given":"K Ryan","non-dropping-particle":"","parse-names":false,"suffix":""},{"dropping-particle":"","family":"Ismaily","given":"Sanober","non-dropping-particle":"","parse-names":false,"suffix":""},{"dropping-particle":"","family":"Rahman","given":"Sabuktagin","non-dropping-particle":"","parse-names":false,"suffix":""},{"dropping-particle":"","family":"Wieringa","given":"Frank T","non-dropping-particle":"","parse-names":false,"suffix":""},{"dropping-particle":"","family":"Williams","given":"Anne M","non-dropping-particle":"","parse-names":false,"suffix":""},{"dropping-particle":"","family":"Brown","given":"Kenneth H","non-dropping-particle":"","parse-names":false,"suffix":""},{"dropping-particle":"","family":"King","given":"Janet C","non-dropping-particle":"","parse-names":false,"suffix":""}],"container-title":"The American Journal of Clinical Nutrition","id":"ITEM-1","issue":"4","issued":{"date-parts":[["2020","4","1"]]},"page":"927-937","publisher":"Oxford Academic","title":"Adjusting plasma or serum zinc concentrations for inflammation: Biomarkers Reflecting Inflammation and Nutritional Determinants of Anemia (BRINDA) project","type":"article-journal","volume":"111"},"uris":["http://www.mendeley.com/documents/?uuid=76a2fb9e-9331-3e3f-a4c0-f2501de2868b"]}],"mendeley":{"formattedCitation":"(5)","plainTextFormattedCitation":"(5)","previouslyFormattedCitation":"(5)"},"properties":{"noteIndex":0},"schema":"https://github.com/citation-style-language/schema/raw/master/csl-citation.json"}</w:instrText>
            </w:r>
            <w:r w:rsidRPr="00A34060">
              <w:rPr>
                <w:rFonts w:cstheme="minorHAnsi"/>
                <w:color w:val="000000"/>
                <w:szCs w:val="22"/>
              </w:rPr>
              <w:fldChar w:fldCharType="separate"/>
            </w:r>
            <w:r w:rsidR="00DA42B2" w:rsidRPr="00DA42B2">
              <w:rPr>
                <w:rFonts w:cstheme="minorHAnsi"/>
                <w:noProof/>
                <w:color w:val="000000"/>
                <w:szCs w:val="22"/>
              </w:rPr>
              <w:t>(5)</w:t>
            </w:r>
            <w:r w:rsidRPr="00A34060">
              <w:rPr>
                <w:rFonts w:cstheme="minorHAnsi"/>
                <w:color w:val="000000"/>
                <w:szCs w:val="22"/>
              </w:rPr>
              <w:fldChar w:fldCharType="end"/>
            </w:r>
          </w:p>
        </w:tc>
      </w:tr>
      <w:tr w:rsidR="00D536DB" w:rsidRPr="00A34060" w14:paraId="59F844EF" w14:textId="77777777" w:rsidTr="00E97DB9">
        <w:trPr>
          <w:trHeight w:val="20"/>
        </w:trPr>
        <w:tc>
          <w:tcPr>
            <w:tcW w:w="785" w:type="pct"/>
            <w:vAlign w:val="center"/>
          </w:tcPr>
          <w:p w14:paraId="5ABDD258"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Zinc</w:t>
            </w:r>
            <w:r w:rsidRPr="00A34060">
              <w:rPr>
                <w:rFonts w:cstheme="minorHAnsi"/>
                <w:color w:val="000000"/>
                <w:szCs w:val="22"/>
                <w:vertAlign w:val="superscript"/>
              </w:rPr>
              <w:t>3</w:t>
            </w:r>
          </w:p>
        </w:tc>
        <w:tc>
          <w:tcPr>
            <w:tcW w:w="831" w:type="pct"/>
            <w:noWrap/>
            <w:vAlign w:val="center"/>
            <w:hideMark/>
          </w:tcPr>
          <w:p w14:paraId="3F3B529C"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Serum zinc</w:t>
            </w:r>
          </w:p>
        </w:tc>
        <w:tc>
          <w:tcPr>
            <w:tcW w:w="970" w:type="pct"/>
            <w:noWrap/>
            <w:vAlign w:val="center"/>
            <w:hideMark/>
          </w:tcPr>
          <w:p w14:paraId="61DCFFF0" w14:textId="5F91C920" w:rsidR="00D536DB" w:rsidRPr="00A34060" w:rsidRDefault="00D536DB" w:rsidP="00C94FBC">
            <w:pPr>
              <w:spacing w:line="256" w:lineRule="auto"/>
              <w:rPr>
                <w:rFonts w:cstheme="minorHAnsi"/>
                <w:color w:val="000000"/>
                <w:szCs w:val="22"/>
              </w:rPr>
            </w:pPr>
            <w:r w:rsidRPr="00A34060">
              <w:rPr>
                <w:rFonts w:cstheme="minorHAnsi"/>
                <w:color w:val="000000"/>
                <w:szCs w:val="22"/>
              </w:rPr>
              <w:t xml:space="preserve">&lt; 8.7 </w:t>
            </w:r>
            <w:proofErr w:type="spellStart"/>
            <w:r w:rsidRPr="00A34060">
              <w:rPr>
                <w:rFonts w:cstheme="minorHAnsi"/>
                <w:color w:val="000000"/>
                <w:szCs w:val="22"/>
              </w:rPr>
              <w:t>μmol</w:t>
            </w:r>
            <w:proofErr w:type="spellEnd"/>
            <w:r w:rsidRPr="00A34060">
              <w:rPr>
                <w:rFonts w:cstheme="minorHAnsi"/>
                <w:color w:val="000000"/>
                <w:szCs w:val="22"/>
              </w:rPr>
              <w:t>/L</w:t>
            </w:r>
            <w:r w:rsidR="00110063">
              <w:rPr>
                <w:rFonts w:cstheme="minorHAnsi"/>
                <w:color w:val="000000"/>
                <w:szCs w:val="22"/>
              </w:rPr>
              <w:t xml:space="preserve"> </w:t>
            </w:r>
            <w:r w:rsidR="00110063" w:rsidRPr="00110063">
              <w:rPr>
                <w:rFonts w:cstheme="minorBidi"/>
                <w:noProof/>
                <w:color w:val="000000" w:themeColor="text1"/>
              </w:rPr>
              <w:t>)</w:t>
            </w:r>
            <w:r w:rsidR="00110063">
              <w:rPr>
                <w:rFonts w:cstheme="minorBidi"/>
                <w:color w:val="000000" w:themeColor="text1"/>
              </w:rPr>
              <w:t xml:space="preserve"> </w:t>
            </w:r>
            <w:r w:rsidR="00110063">
              <w:rPr>
                <w:rFonts w:cstheme="minorBidi"/>
                <w:color w:val="000000" w:themeColor="text1"/>
              </w:rPr>
              <w:fldChar w:fldCharType="begin" w:fldLock="1"/>
            </w:r>
            <w:r w:rsidR="00BB7850">
              <w:rPr>
                <w:rFonts w:cstheme="minorBidi"/>
                <w:color w:val="000000" w:themeColor="text1"/>
              </w:rPr>
              <w:instrText>ADDIN CSL_CITATION {"citationItems":[{"id":"ITEM-1","itemData":{"author":[{"dropping-particle":"","family":"International Zinc Nutrition Consultative Group","given":"","non-dropping-particle":"","parse-names":false,"suffix":""}],"id":"ITEM-1","issued":{"date-parts":[["2012"]]},"number-of-pages":"4","publisher-place":"Davis, CA","title":"IZiNCG Technical Brief","type":"report"},"uris":["http://www.mendeley.com/documents/?uuid=3d22cfaa-59a0-30fb-a822-9b36a94f9fe5"]}],"mendeley":{"formattedCitation":"(13)","plainTextFormattedCitation":"(13)","previouslyFormattedCitation":"(13)"},"properties":{"noteIndex":0},"schema":"https://github.com/citation-style-language/schema/raw/master/csl-citation.json"}</w:instrText>
            </w:r>
            <w:r w:rsidR="00110063">
              <w:rPr>
                <w:rFonts w:cstheme="minorBidi"/>
                <w:color w:val="000000" w:themeColor="text1"/>
              </w:rPr>
              <w:fldChar w:fldCharType="separate"/>
            </w:r>
            <w:r w:rsidR="00AD4523" w:rsidRPr="00AD4523">
              <w:rPr>
                <w:rFonts w:cstheme="minorBidi"/>
                <w:noProof/>
                <w:color w:val="000000" w:themeColor="text1"/>
              </w:rPr>
              <w:t>(13)</w:t>
            </w:r>
            <w:r w:rsidR="00110063">
              <w:rPr>
                <w:rFonts w:cstheme="minorBidi"/>
                <w:color w:val="000000" w:themeColor="text1"/>
              </w:rPr>
              <w:fldChar w:fldCharType="end"/>
            </w:r>
          </w:p>
        </w:tc>
        <w:tc>
          <w:tcPr>
            <w:tcW w:w="1160" w:type="pct"/>
            <w:noWrap/>
            <w:vAlign w:val="center"/>
            <w:hideMark/>
          </w:tcPr>
          <w:p w14:paraId="76538F26"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 xml:space="preserve">Children &lt; 10 years </w:t>
            </w:r>
          </w:p>
          <w:p w14:paraId="7EA79365"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(afternoon, non-fasting)</w:t>
            </w:r>
          </w:p>
        </w:tc>
        <w:tc>
          <w:tcPr>
            <w:tcW w:w="1254" w:type="pct"/>
            <w:noWrap/>
            <w:vAlign w:val="center"/>
            <w:hideMark/>
          </w:tcPr>
          <w:p w14:paraId="7DCE8DC9"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Yes, provided</w:t>
            </w:r>
          </w:p>
          <w:p w14:paraId="78226136" w14:textId="295BA4C3" w:rsidR="00D536DB" w:rsidRPr="00A34060" w:rsidRDefault="00D536DB" w:rsidP="00C94FBC">
            <w:pPr>
              <w:spacing w:line="256" w:lineRule="auto"/>
              <w:rPr>
                <w:rFonts w:cstheme="minorHAnsi"/>
                <w:color w:val="000000"/>
                <w:szCs w:val="22"/>
              </w:rPr>
            </w:pPr>
            <w:r w:rsidRPr="00A34060">
              <w:rPr>
                <w:rFonts w:cstheme="minorHAnsi"/>
                <w:color w:val="000000"/>
                <w:szCs w:val="22"/>
              </w:rPr>
              <w:t xml:space="preserve">conditions are met </w:t>
            </w:r>
            <w:r w:rsidRPr="00A34060">
              <w:rPr>
                <w:rFonts w:cstheme="minorHAnsi"/>
                <w:color w:val="000000"/>
                <w:szCs w:val="22"/>
              </w:rPr>
              <w:fldChar w:fldCharType="begin" w:fldLock="1"/>
            </w:r>
            <w:r w:rsidR="00511689">
              <w:rPr>
                <w:rFonts w:cstheme="minorHAnsi"/>
                <w:color w:val="000000"/>
                <w:szCs w:val="22"/>
              </w:rPr>
              <w:instrText>ADDIN CSL_CITATION {"citationItems":[{"id":"ITEM-1","itemData":{"DOI":"10.1093/AJCN/NQZ304","ISSN":"0002-9165","abstract":"The accurate estimation of zinc deficiency at the population level is important, as it guides the design, targeting, and evaluation of nutrition interventions. Plasma or serum zinc concentration (PZC) is recommended to estimate zinc nutritional status; however, concentrations may decrease in the presence of inflammation. Objectives: We aimed to assess the relation between PZC and inflammation in preschool children (PSC; 6-59 mo) and nonpregnant women of reproductive age (WRA; 15-49 y), and to compare different inflammation adjustment approaches, if adjustment is warranted. Methods: Cross-sectional data from 13 nationally representative surveys (18,859 PSC, 22,695 WRA) from the Biomarkers Reflecting Inflammation and Nutritional Determinants of Anemia (BRINDA) project were analyzed. Correlation and decile analyses were conducted, and the following 3 adjustment methods were compared if a consistent negative association between PZC and C-reactive protein (CRP) or α-1-acid glycoprotein (AGP) was observed: 1) exclude individuals with CRP &gt; 5 mg/L or AGP &gt; 1 g/L; 2) apply arithmetic correction factors; and 3) use the BRINDA regression correction (RC) approach. Results: In 6 of 12 PSC surveys, the estimated prevalence of zinc deficiency increased with increasing CRP deciles, and to a lesser extent, with increasing AGP deciles. In WRA, the association of PZC with CRP and AGP was weak and inconsistent. In the 6 PSC surveys in which adjustment methods were compared, application of RC reduced the estimated prevalence of zinc deficiency by a median of 11 (range: 4-18) percentage points, compared with the unadjusted prevalence. Conclusions: Relations between PZC and inflammatory markers were inconsistent, suggesting that correlation and decile analyses should be conducted before applying any inflammation adjustments. In populations of PSC that exhibit a significant negative association between PZC and CRP or AGP, application of the RC approach is supported. At this time, there is insufficient evidence to warrant inflammation adjustment in WRA.","author":[{"dropping-particle":"","family":"McDonald","given":"Christine M","non-dropping-particle":"","parse-names":false,"suffix":""},{"dropping-particle":"","family":"Suchdev","given":"Parminder S","non-dropping-particle":"","parse-names":false,"suffix":""},{"dropping-particle":"","family":"Krebs","given":"Nancy F","non-dropping-particle":"","parse-names":false,"suffix":""},{"dropping-particle":"","family":"Hess","given":"Sonja Y","non-dropping-particle":"","parse-names":false,"suffix":""},{"dropping-particle":"","family":"Wessells","given":"K Ryan","non-dropping-particle":"","parse-names":false,"suffix":""},{"dropping-particle":"","family":"Ismaily","given":"Sanober","non-dropping-particle":"","parse-names":false,"suffix":""},{"dropping-particle":"","family":"Rahman","given":"Sabuktagin","non-dropping-particle":"","parse-names":false,"suffix":""},{"dropping-particle":"","family":"Wieringa","given":"Frank T","non-dropping-particle":"","parse-names":false,"suffix":""},{"dropping-particle":"","family":"Williams","given":"Anne M","non-dropping-particle":"","parse-names":false,"suffix":""},{"dropping-particle":"","family":"Brown","given":"Kenneth H","non-dropping-particle":"","parse-names":false,"suffix":""},{"dropping-particle":"","family":"King","given":"Janet C","non-dropping-particle":"","parse-names":false,"suffix":""}],"container-title":"The American Journal of Clinical Nutrition","id":"ITEM-1","issue":"4","issued":{"date-parts":[["2020","4","1"]]},"page":"927-937","publisher":"Oxford Academic","title":"Adjusting plasma or serum zinc concentrations for inflammation: Biomarkers Reflecting Inflammation and Nutritional Determinants of Anemia (BRINDA) project","type":"article-journal","volume":"111"},"uris":["http://www.mendeley.com/documents/?uuid=76a2fb9e-9331-3e3f-a4c0-f2501de2868b"]}],"mendeley":{"formattedCitation":"(5)","plainTextFormattedCitation":"(5)","previouslyFormattedCitation":"(5)"},"properties":{"noteIndex":0},"schema":"https://github.com/citation-style-language/schema/raw/master/csl-citation.json"}</w:instrText>
            </w:r>
            <w:r w:rsidRPr="00A34060">
              <w:rPr>
                <w:rFonts w:cstheme="minorHAnsi"/>
                <w:color w:val="000000"/>
                <w:szCs w:val="22"/>
              </w:rPr>
              <w:fldChar w:fldCharType="separate"/>
            </w:r>
            <w:r w:rsidR="00DA42B2" w:rsidRPr="00DA42B2">
              <w:rPr>
                <w:rFonts w:cstheme="minorHAnsi"/>
                <w:noProof/>
                <w:color w:val="000000"/>
                <w:szCs w:val="22"/>
              </w:rPr>
              <w:t>(5)</w:t>
            </w:r>
            <w:r w:rsidRPr="00A34060">
              <w:rPr>
                <w:rFonts w:cstheme="minorHAnsi"/>
                <w:color w:val="000000"/>
                <w:szCs w:val="22"/>
              </w:rPr>
              <w:fldChar w:fldCharType="end"/>
            </w:r>
          </w:p>
        </w:tc>
      </w:tr>
      <w:tr w:rsidR="00D536DB" w:rsidRPr="00A34060" w14:paraId="3A957D17" w14:textId="77777777" w:rsidTr="00E97DB9">
        <w:trPr>
          <w:trHeight w:val="20"/>
        </w:trPr>
        <w:tc>
          <w:tcPr>
            <w:tcW w:w="785" w:type="pct"/>
            <w:vAlign w:val="center"/>
          </w:tcPr>
          <w:p w14:paraId="24796974" w14:textId="469D00D4" w:rsidR="00D536DB" w:rsidRPr="00A34060" w:rsidRDefault="03C7B32C" w:rsidP="03C7B32C">
            <w:pPr>
              <w:spacing w:line="256" w:lineRule="auto"/>
              <w:rPr>
                <w:rFonts w:cstheme="minorBidi"/>
                <w:color w:val="000000"/>
              </w:rPr>
            </w:pPr>
            <w:r w:rsidRPr="03C7B32C">
              <w:rPr>
                <w:rFonts w:cstheme="minorBidi"/>
                <w:color w:val="000000" w:themeColor="text1"/>
              </w:rPr>
              <w:lastRenderedPageBreak/>
              <w:t>Zinc</w:t>
            </w:r>
            <w:r w:rsidRPr="00EC18D0">
              <w:rPr>
                <w:rFonts w:cstheme="minorBidi"/>
                <w:color w:val="000000" w:themeColor="text1"/>
                <w:vertAlign w:val="superscript"/>
              </w:rPr>
              <w:t>3</w:t>
            </w:r>
          </w:p>
        </w:tc>
        <w:tc>
          <w:tcPr>
            <w:tcW w:w="831" w:type="pct"/>
            <w:noWrap/>
            <w:vAlign w:val="center"/>
            <w:hideMark/>
          </w:tcPr>
          <w:p w14:paraId="60CF5ECE"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Serum zinc</w:t>
            </w:r>
          </w:p>
        </w:tc>
        <w:tc>
          <w:tcPr>
            <w:tcW w:w="970" w:type="pct"/>
            <w:noWrap/>
            <w:vAlign w:val="center"/>
            <w:hideMark/>
          </w:tcPr>
          <w:p w14:paraId="0E74F29C" w14:textId="7A909F42" w:rsidR="00D536DB" w:rsidRPr="00A34060" w:rsidRDefault="00D536DB" w:rsidP="00C94FBC">
            <w:pPr>
              <w:spacing w:line="256" w:lineRule="auto"/>
              <w:rPr>
                <w:rFonts w:cstheme="minorHAnsi"/>
                <w:color w:val="000000"/>
                <w:szCs w:val="22"/>
              </w:rPr>
            </w:pPr>
            <w:r w:rsidRPr="00A34060">
              <w:rPr>
                <w:rFonts w:cstheme="minorHAnsi"/>
                <w:color w:val="000000"/>
                <w:szCs w:val="22"/>
              </w:rPr>
              <w:t xml:space="preserve">&lt; 10.7 </w:t>
            </w:r>
            <w:proofErr w:type="spellStart"/>
            <w:r w:rsidRPr="00A34060">
              <w:rPr>
                <w:rFonts w:cstheme="minorHAnsi"/>
                <w:color w:val="000000"/>
                <w:szCs w:val="22"/>
              </w:rPr>
              <w:t>μmol</w:t>
            </w:r>
            <w:proofErr w:type="spellEnd"/>
            <w:r w:rsidRPr="00A34060">
              <w:rPr>
                <w:rFonts w:cstheme="minorHAnsi"/>
                <w:color w:val="000000"/>
                <w:szCs w:val="22"/>
              </w:rPr>
              <w:t>/L</w:t>
            </w:r>
            <w:r w:rsidR="00110063">
              <w:rPr>
                <w:rFonts w:cstheme="minorBidi"/>
                <w:color w:val="000000" w:themeColor="text1"/>
              </w:rPr>
              <w:t xml:space="preserve"> </w:t>
            </w:r>
            <w:r w:rsidR="00110063">
              <w:rPr>
                <w:rFonts w:cstheme="minorBidi"/>
                <w:color w:val="000000" w:themeColor="text1"/>
              </w:rPr>
              <w:fldChar w:fldCharType="begin" w:fldLock="1"/>
            </w:r>
            <w:r w:rsidR="00BB7850">
              <w:rPr>
                <w:rFonts w:cstheme="minorBidi"/>
                <w:color w:val="000000" w:themeColor="text1"/>
              </w:rPr>
              <w:instrText>ADDIN CSL_CITATION {"citationItems":[{"id":"ITEM-1","itemData":{"author":[{"dropping-particle":"","family":"International Zinc Nutrition Consultative Group","given":"","non-dropping-particle":"","parse-names":false,"suffix":""}],"id":"ITEM-1","issued":{"date-parts":[["2012"]]},"number-of-pages":"4","publisher-place":"Davis, CA","title":"IZiNCG Technical Brief","type":"report"},"uris":["http://www.mendeley.com/documents/?uuid=3d22cfaa-59a0-30fb-a822-9b36a94f9fe5"]}],"mendeley":{"formattedCitation":"(13)","plainTextFormattedCitation":"(13)","previouslyFormattedCitation":"(13)"},"properties":{"noteIndex":0},"schema":"https://github.com/citation-style-language/schema/raw/master/csl-citation.json"}</w:instrText>
            </w:r>
            <w:r w:rsidR="00110063">
              <w:rPr>
                <w:rFonts w:cstheme="minorBidi"/>
                <w:color w:val="000000" w:themeColor="text1"/>
              </w:rPr>
              <w:fldChar w:fldCharType="separate"/>
            </w:r>
            <w:r w:rsidR="00AD4523" w:rsidRPr="00AD4523">
              <w:rPr>
                <w:rFonts w:cstheme="minorBidi"/>
                <w:noProof/>
                <w:color w:val="000000" w:themeColor="text1"/>
              </w:rPr>
              <w:t>(13)</w:t>
            </w:r>
            <w:r w:rsidR="00110063">
              <w:rPr>
                <w:rFonts w:cstheme="minorBidi"/>
                <w:color w:val="000000" w:themeColor="text1"/>
              </w:rPr>
              <w:fldChar w:fldCharType="end"/>
            </w:r>
          </w:p>
        </w:tc>
        <w:tc>
          <w:tcPr>
            <w:tcW w:w="1160" w:type="pct"/>
            <w:noWrap/>
            <w:vAlign w:val="center"/>
            <w:hideMark/>
          </w:tcPr>
          <w:p w14:paraId="378C021F"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 xml:space="preserve">Females ≥ 10 years </w:t>
            </w:r>
          </w:p>
          <w:p w14:paraId="113A22A0"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(morning, fasting)</w:t>
            </w:r>
          </w:p>
        </w:tc>
        <w:tc>
          <w:tcPr>
            <w:tcW w:w="1254" w:type="pct"/>
            <w:noWrap/>
            <w:vAlign w:val="center"/>
            <w:hideMark/>
          </w:tcPr>
          <w:p w14:paraId="7E4F12E9" w14:textId="6C5C254F" w:rsidR="00D536DB" w:rsidRPr="00A34060" w:rsidRDefault="00D536DB" w:rsidP="00C94FBC">
            <w:pPr>
              <w:spacing w:line="256" w:lineRule="auto"/>
              <w:rPr>
                <w:rFonts w:cstheme="minorHAnsi"/>
                <w:color w:val="000000"/>
                <w:szCs w:val="22"/>
              </w:rPr>
            </w:pPr>
            <w:r w:rsidRPr="00A34060">
              <w:rPr>
                <w:rFonts w:cstheme="minorHAnsi"/>
                <w:color w:val="000000"/>
                <w:szCs w:val="22"/>
              </w:rPr>
              <w:t xml:space="preserve">No </w:t>
            </w:r>
            <w:r w:rsidRPr="00A34060">
              <w:rPr>
                <w:rFonts w:cstheme="minorHAnsi"/>
                <w:color w:val="000000"/>
                <w:szCs w:val="22"/>
              </w:rPr>
              <w:fldChar w:fldCharType="begin" w:fldLock="1"/>
            </w:r>
            <w:r w:rsidR="00511689">
              <w:rPr>
                <w:rFonts w:cstheme="minorHAnsi"/>
                <w:color w:val="000000"/>
                <w:szCs w:val="22"/>
              </w:rPr>
              <w:instrText>ADDIN CSL_CITATION {"citationItems":[{"id":"ITEM-1","itemData":{"DOI":"10.1093/AJCN/NQZ304","ISSN":"0002-9165","abstract":"The accurate estimation of zinc deficiency at the population level is important, as it guides the design, targeting, and evaluation of nutrition interventions. Plasma or serum zinc concentration (PZC) is recommended to estimate zinc nutritional status; however, concentrations may decrease in the presence of inflammation. Objectives: We aimed to assess the relation between PZC and inflammation in preschool children (PSC; 6-59 mo) and nonpregnant women of reproductive age (WRA; 15-49 y), and to compare different inflammation adjustment approaches, if adjustment is warranted. Methods: Cross-sectional data from 13 nationally representative surveys (18,859 PSC, 22,695 WRA) from the Biomarkers Reflecting Inflammation and Nutritional Determinants of Anemia (BRINDA) project were analyzed. Correlation and decile analyses were conducted, and the following 3 adjustment methods were compared if a consistent negative association between PZC and C-reactive protein (CRP) or α-1-acid glycoprotein (AGP) was observed: 1) exclude individuals with CRP &gt; 5 mg/L or AGP &gt; 1 g/L; 2) apply arithmetic correction factors; and 3) use the BRINDA regression correction (RC) approach. Results: In 6 of 12 PSC surveys, the estimated prevalence of zinc deficiency increased with increasing CRP deciles, and to a lesser extent, with increasing AGP deciles. In WRA, the association of PZC with CRP and AGP was weak and inconsistent. In the 6 PSC surveys in which adjustment methods were compared, application of RC reduced the estimated prevalence of zinc deficiency by a median of 11 (range: 4-18) percentage points, compared with the unadjusted prevalence. Conclusions: Relations between PZC and inflammatory markers were inconsistent, suggesting that correlation and decile analyses should be conducted before applying any inflammation adjustments. In populations of PSC that exhibit a significant negative association between PZC and CRP or AGP, application of the RC approach is supported. At this time, there is insufficient evidence to warrant inflammation adjustment in WRA.","author":[{"dropping-particle":"","family":"McDonald","given":"Christine M","non-dropping-particle":"","parse-names":false,"suffix":""},{"dropping-particle":"","family":"Suchdev","given":"Parminder S","non-dropping-particle":"","parse-names":false,"suffix":""},{"dropping-particle":"","family":"Krebs","given":"Nancy F","non-dropping-particle":"","parse-names":false,"suffix":""},{"dropping-particle":"","family":"Hess","given":"Sonja Y","non-dropping-particle":"","parse-names":false,"suffix":""},{"dropping-particle":"","family":"Wessells","given":"K Ryan","non-dropping-particle":"","parse-names":false,"suffix":""},{"dropping-particle":"","family":"Ismaily","given":"Sanober","non-dropping-particle":"","parse-names":false,"suffix":""},{"dropping-particle":"","family":"Rahman","given":"Sabuktagin","non-dropping-particle":"","parse-names":false,"suffix":""},{"dropping-particle":"","family":"Wieringa","given":"Frank T","non-dropping-particle":"","parse-names":false,"suffix":""},{"dropping-particle":"","family":"Williams","given":"Anne M","non-dropping-particle":"","parse-names":false,"suffix":""},{"dropping-particle":"","family":"Brown","given":"Kenneth H","non-dropping-particle":"","parse-names":false,"suffix":""},{"dropping-particle":"","family":"King","given":"Janet C","non-dropping-particle":"","parse-names":false,"suffix":""}],"container-title":"The American Journal of Clinical Nutrition","id":"ITEM-1","issue":"4","issued":{"date-parts":[["2020","4","1"]]},"page":"927-937","publisher":"Oxford Academic","title":"Adjusting plasma or serum zinc concentrations for inflammation: Biomarkers Reflecting Inflammation and Nutritional Determinants of Anemia (BRINDA) project","type":"article-journal","volume":"111"},"uris":["http://www.mendeley.com/documents/?uuid=76a2fb9e-9331-3e3f-a4c0-f2501de2868b"]}],"mendeley":{"formattedCitation":"(5)","plainTextFormattedCitation":"(5)","previouslyFormattedCitation":"(5)"},"properties":{"noteIndex":0},"schema":"https://github.com/citation-style-language/schema/raw/master/csl-citation.json"}</w:instrText>
            </w:r>
            <w:r w:rsidRPr="00A34060">
              <w:rPr>
                <w:rFonts w:cstheme="minorHAnsi"/>
                <w:color w:val="000000"/>
                <w:szCs w:val="22"/>
              </w:rPr>
              <w:fldChar w:fldCharType="separate"/>
            </w:r>
            <w:r w:rsidR="00DA42B2" w:rsidRPr="00DA42B2">
              <w:rPr>
                <w:rFonts w:cstheme="minorHAnsi"/>
                <w:noProof/>
                <w:color w:val="000000"/>
                <w:szCs w:val="22"/>
              </w:rPr>
              <w:t>(5)</w:t>
            </w:r>
            <w:r w:rsidRPr="00A34060">
              <w:rPr>
                <w:rFonts w:cstheme="minorHAnsi"/>
                <w:color w:val="000000"/>
                <w:szCs w:val="22"/>
              </w:rPr>
              <w:fldChar w:fldCharType="end"/>
            </w:r>
          </w:p>
        </w:tc>
      </w:tr>
      <w:tr w:rsidR="00D536DB" w:rsidRPr="00A34060" w14:paraId="33DF181C" w14:textId="77777777" w:rsidTr="00E97DB9">
        <w:trPr>
          <w:trHeight w:val="20"/>
        </w:trPr>
        <w:tc>
          <w:tcPr>
            <w:tcW w:w="785" w:type="pct"/>
            <w:vAlign w:val="center"/>
          </w:tcPr>
          <w:p w14:paraId="13ECAC5B"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Zinc</w:t>
            </w:r>
            <w:r w:rsidRPr="00A34060">
              <w:rPr>
                <w:rFonts w:cstheme="minorHAnsi"/>
                <w:color w:val="000000"/>
                <w:szCs w:val="22"/>
                <w:vertAlign w:val="superscript"/>
              </w:rPr>
              <w:t>3</w:t>
            </w:r>
          </w:p>
        </w:tc>
        <w:tc>
          <w:tcPr>
            <w:tcW w:w="831" w:type="pct"/>
            <w:noWrap/>
            <w:vAlign w:val="center"/>
            <w:hideMark/>
          </w:tcPr>
          <w:p w14:paraId="799CE018"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Serum zinc</w:t>
            </w:r>
          </w:p>
        </w:tc>
        <w:tc>
          <w:tcPr>
            <w:tcW w:w="970" w:type="pct"/>
            <w:noWrap/>
            <w:vAlign w:val="center"/>
            <w:hideMark/>
          </w:tcPr>
          <w:p w14:paraId="124DEC09" w14:textId="75C0A0A6" w:rsidR="00D536DB" w:rsidRPr="00A34060" w:rsidRDefault="00D536DB" w:rsidP="00C94FBC">
            <w:pPr>
              <w:spacing w:line="256" w:lineRule="auto"/>
              <w:rPr>
                <w:rFonts w:cstheme="minorHAnsi"/>
                <w:color w:val="000000"/>
                <w:szCs w:val="22"/>
              </w:rPr>
            </w:pPr>
            <w:r w:rsidRPr="00A34060">
              <w:rPr>
                <w:rFonts w:cstheme="minorHAnsi"/>
                <w:color w:val="000000"/>
                <w:szCs w:val="22"/>
              </w:rPr>
              <w:t xml:space="preserve">&lt; 10.1 </w:t>
            </w:r>
            <w:proofErr w:type="spellStart"/>
            <w:r w:rsidRPr="00A34060">
              <w:rPr>
                <w:rFonts w:cstheme="minorHAnsi"/>
                <w:color w:val="000000"/>
                <w:szCs w:val="22"/>
              </w:rPr>
              <w:t>μmol</w:t>
            </w:r>
            <w:proofErr w:type="spellEnd"/>
            <w:r w:rsidRPr="00A34060">
              <w:rPr>
                <w:rFonts w:cstheme="minorHAnsi"/>
                <w:color w:val="000000"/>
                <w:szCs w:val="22"/>
              </w:rPr>
              <w:t>/L</w:t>
            </w:r>
            <w:r w:rsidR="00110063">
              <w:rPr>
                <w:rFonts w:cstheme="minorBidi"/>
                <w:color w:val="000000" w:themeColor="text1"/>
              </w:rPr>
              <w:t xml:space="preserve"> </w:t>
            </w:r>
            <w:r w:rsidR="00110063">
              <w:rPr>
                <w:rFonts w:cstheme="minorBidi"/>
                <w:color w:val="000000" w:themeColor="text1"/>
              </w:rPr>
              <w:fldChar w:fldCharType="begin" w:fldLock="1"/>
            </w:r>
            <w:r w:rsidR="00BB7850">
              <w:rPr>
                <w:rFonts w:cstheme="minorBidi"/>
                <w:color w:val="000000" w:themeColor="text1"/>
              </w:rPr>
              <w:instrText>ADDIN CSL_CITATION {"citationItems":[{"id":"ITEM-1","itemData":{"author":[{"dropping-particle":"","family":"International Zinc Nutrition Consultative Group","given":"","non-dropping-particle":"","parse-names":false,"suffix":""}],"id":"ITEM-1","issued":{"date-parts":[["2012"]]},"number-of-pages":"4","publisher-place":"Davis, CA","title":"IZiNCG Technical Brief","type":"report"},"uris":["http://www.mendeley.com/documents/?uuid=3d22cfaa-59a0-30fb-a822-9b36a94f9fe5"]}],"mendeley":{"formattedCitation":"(13)","plainTextFormattedCitation":"(13)","previouslyFormattedCitation":"(13)"},"properties":{"noteIndex":0},"schema":"https://github.com/citation-style-language/schema/raw/master/csl-citation.json"}</w:instrText>
            </w:r>
            <w:r w:rsidR="00110063">
              <w:rPr>
                <w:rFonts w:cstheme="minorBidi"/>
                <w:color w:val="000000" w:themeColor="text1"/>
              </w:rPr>
              <w:fldChar w:fldCharType="separate"/>
            </w:r>
            <w:r w:rsidR="00AD4523" w:rsidRPr="00AD4523">
              <w:rPr>
                <w:rFonts w:cstheme="minorBidi"/>
                <w:noProof/>
                <w:color w:val="000000" w:themeColor="text1"/>
              </w:rPr>
              <w:t>(13)</w:t>
            </w:r>
            <w:r w:rsidR="00110063">
              <w:rPr>
                <w:rFonts w:cstheme="minorBidi"/>
                <w:color w:val="000000" w:themeColor="text1"/>
              </w:rPr>
              <w:fldChar w:fldCharType="end"/>
            </w:r>
          </w:p>
        </w:tc>
        <w:tc>
          <w:tcPr>
            <w:tcW w:w="1160" w:type="pct"/>
            <w:noWrap/>
            <w:vAlign w:val="center"/>
            <w:hideMark/>
          </w:tcPr>
          <w:p w14:paraId="5264DDB9"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Females ≥ 10 years</w:t>
            </w:r>
          </w:p>
          <w:p w14:paraId="029AF4DA"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 xml:space="preserve"> (morning, non-fasting)</w:t>
            </w:r>
          </w:p>
        </w:tc>
        <w:tc>
          <w:tcPr>
            <w:tcW w:w="1254" w:type="pct"/>
            <w:noWrap/>
            <w:vAlign w:val="center"/>
            <w:hideMark/>
          </w:tcPr>
          <w:p w14:paraId="0DAFFF3A" w14:textId="4AED8347" w:rsidR="00D536DB" w:rsidRPr="00A34060" w:rsidRDefault="00D536DB" w:rsidP="00C94FBC">
            <w:pPr>
              <w:spacing w:line="256" w:lineRule="auto"/>
              <w:rPr>
                <w:rFonts w:cstheme="minorHAnsi"/>
                <w:color w:val="000000"/>
                <w:szCs w:val="22"/>
              </w:rPr>
            </w:pPr>
            <w:r w:rsidRPr="00A34060">
              <w:rPr>
                <w:rFonts w:cstheme="minorHAnsi"/>
                <w:color w:val="000000"/>
                <w:szCs w:val="22"/>
              </w:rPr>
              <w:t xml:space="preserve">No </w:t>
            </w:r>
            <w:r w:rsidRPr="00A34060">
              <w:rPr>
                <w:rFonts w:cstheme="minorHAnsi"/>
                <w:color w:val="000000"/>
                <w:szCs w:val="22"/>
              </w:rPr>
              <w:fldChar w:fldCharType="begin" w:fldLock="1"/>
            </w:r>
            <w:r w:rsidR="00511689">
              <w:rPr>
                <w:rFonts w:cstheme="minorHAnsi"/>
                <w:color w:val="000000"/>
                <w:szCs w:val="22"/>
              </w:rPr>
              <w:instrText>ADDIN CSL_CITATION {"citationItems":[{"id":"ITEM-1","itemData":{"DOI":"10.1093/AJCN/NQZ304","ISSN":"0002-9165","abstract":"The accurate estimation of zinc deficiency at the population level is important, as it guides the design, targeting, and evaluation of nutrition interventions. Plasma or serum zinc concentration (PZC) is recommended to estimate zinc nutritional status; however, concentrations may decrease in the presence of inflammation. Objectives: We aimed to assess the relation between PZC and inflammation in preschool children (PSC; 6-59 mo) and nonpregnant women of reproductive age (WRA; 15-49 y), and to compare different inflammation adjustment approaches, if adjustment is warranted. Methods: Cross-sectional data from 13 nationally representative surveys (18,859 PSC, 22,695 WRA) from the Biomarkers Reflecting Inflammation and Nutritional Determinants of Anemia (BRINDA) project were analyzed. Correlation and decile analyses were conducted, and the following 3 adjustment methods were compared if a consistent negative association between PZC and C-reactive protein (CRP) or α-1-acid glycoprotein (AGP) was observed: 1) exclude individuals with CRP &gt; 5 mg/L or AGP &gt; 1 g/L; 2) apply arithmetic correction factors; and 3) use the BRINDA regression correction (RC) approach. Results: In 6 of 12 PSC surveys, the estimated prevalence of zinc deficiency increased with increasing CRP deciles, and to a lesser extent, with increasing AGP deciles. In WRA, the association of PZC with CRP and AGP was weak and inconsistent. In the 6 PSC surveys in which adjustment methods were compared, application of RC reduced the estimated prevalence of zinc deficiency by a median of 11 (range: 4-18) percentage points, compared with the unadjusted prevalence. Conclusions: Relations between PZC and inflammatory markers were inconsistent, suggesting that correlation and decile analyses should be conducted before applying any inflammation adjustments. In populations of PSC that exhibit a significant negative association between PZC and CRP or AGP, application of the RC approach is supported. At this time, there is insufficient evidence to warrant inflammation adjustment in WRA.","author":[{"dropping-particle":"","family":"McDonald","given":"Christine M","non-dropping-particle":"","parse-names":false,"suffix":""},{"dropping-particle":"","family":"Suchdev","given":"Parminder S","non-dropping-particle":"","parse-names":false,"suffix":""},{"dropping-particle":"","family":"Krebs","given":"Nancy F","non-dropping-particle":"","parse-names":false,"suffix":""},{"dropping-particle":"","family":"Hess","given":"Sonja Y","non-dropping-particle":"","parse-names":false,"suffix":""},{"dropping-particle":"","family":"Wessells","given":"K Ryan","non-dropping-particle":"","parse-names":false,"suffix":""},{"dropping-particle":"","family":"Ismaily","given":"Sanober","non-dropping-particle":"","parse-names":false,"suffix":""},{"dropping-particle":"","family":"Rahman","given":"Sabuktagin","non-dropping-particle":"","parse-names":false,"suffix":""},{"dropping-particle":"","family":"Wieringa","given":"Frank T","non-dropping-particle":"","parse-names":false,"suffix":""},{"dropping-particle":"","family":"Williams","given":"Anne M","non-dropping-particle":"","parse-names":false,"suffix":""},{"dropping-particle":"","family":"Brown","given":"Kenneth H","non-dropping-particle":"","parse-names":false,"suffix":""},{"dropping-particle":"","family":"King","given":"Janet C","non-dropping-particle":"","parse-names":false,"suffix":""}],"container-title":"The American Journal of Clinical Nutrition","id":"ITEM-1","issue":"4","issued":{"date-parts":[["2020","4","1"]]},"page":"927-937","publisher":"Oxford Academic","title":"Adjusting plasma or serum zinc concentrations for inflammation: Biomarkers Reflecting Inflammation and Nutritional Determinants of Anemia (BRINDA) project","type":"article-journal","volume":"111"},"uris":["http://www.mendeley.com/documents/?uuid=76a2fb9e-9331-3e3f-a4c0-f2501de2868b"]}],"mendeley":{"formattedCitation":"(5)","plainTextFormattedCitation":"(5)","previouslyFormattedCitation":"(5)"},"properties":{"noteIndex":0},"schema":"https://github.com/citation-style-language/schema/raw/master/csl-citation.json"}</w:instrText>
            </w:r>
            <w:r w:rsidRPr="00A34060">
              <w:rPr>
                <w:rFonts w:cstheme="minorHAnsi"/>
                <w:color w:val="000000"/>
                <w:szCs w:val="22"/>
              </w:rPr>
              <w:fldChar w:fldCharType="separate"/>
            </w:r>
            <w:r w:rsidR="00DA42B2" w:rsidRPr="00DA42B2">
              <w:rPr>
                <w:rFonts w:cstheme="minorHAnsi"/>
                <w:noProof/>
                <w:color w:val="000000"/>
                <w:szCs w:val="22"/>
              </w:rPr>
              <w:t>(5)</w:t>
            </w:r>
            <w:r w:rsidRPr="00A34060">
              <w:rPr>
                <w:rFonts w:cstheme="minorHAnsi"/>
                <w:color w:val="000000"/>
                <w:szCs w:val="22"/>
              </w:rPr>
              <w:fldChar w:fldCharType="end"/>
            </w:r>
          </w:p>
        </w:tc>
      </w:tr>
      <w:tr w:rsidR="00D536DB" w:rsidRPr="00A34060" w14:paraId="75412134" w14:textId="77777777" w:rsidTr="00E97DB9">
        <w:trPr>
          <w:trHeight w:val="20"/>
        </w:trPr>
        <w:tc>
          <w:tcPr>
            <w:tcW w:w="785" w:type="pct"/>
            <w:vAlign w:val="center"/>
          </w:tcPr>
          <w:p w14:paraId="10ACB1F5"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Zinc</w:t>
            </w:r>
            <w:r w:rsidRPr="00A34060">
              <w:rPr>
                <w:rFonts w:cstheme="minorHAnsi"/>
                <w:color w:val="000000"/>
                <w:szCs w:val="22"/>
                <w:vertAlign w:val="superscript"/>
              </w:rPr>
              <w:t>3</w:t>
            </w:r>
          </w:p>
        </w:tc>
        <w:tc>
          <w:tcPr>
            <w:tcW w:w="831" w:type="pct"/>
            <w:noWrap/>
            <w:vAlign w:val="center"/>
            <w:hideMark/>
          </w:tcPr>
          <w:p w14:paraId="4C33B7EE"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Serum zinc</w:t>
            </w:r>
          </w:p>
        </w:tc>
        <w:tc>
          <w:tcPr>
            <w:tcW w:w="970" w:type="pct"/>
            <w:noWrap/>
            <w:vAlign w:val="center"/>
            <w:hideMark/>
          </w:tcPr>
          <w:p w14:paraId="7723FA94" w14:textId="0C83215F" w:rsidR="00D536DB" w:rsidRPr="00A34060" w:rsidRDefault="00D536DB" w:rsidP="00C94FBC">
            <w:pPr>
              <w:spacing w:line="256" w:lineRule="auto"/>
              <w:rPr>
                <w:rFonts w:cstheme="minorHAnsi"/>
                <w:color w:val="000000"/>
                <w:szCs w:val="22"/>
              </w:rPr>
            </w:pPr>
            <w:r w:rsidRPr="00A34060">
              <w:rPr>
                <w:rFonts w:cstheme="minorHAnsi"/>
                <w:color w:val="000000"/>
                <w:szCs w:val="22"/>
              </w:rPr>
              <w:t xml:space="preserve">&lt; 9.0 </w:t>
            </w:r>
            <w:proofErr w:type="spellStart"/>
            <w:r w:rsidRPr="00A34060">
              <w:rPr>
                <w:rFonts w:cstheme="minorHAnsi"/>
                <w:color w:val="000000"/>
                <w:szCs w:val="22"/>
              </w:rPr>
              <w:t>μmol</w:t>
            </w:r>
            <w:proofErr w:type="spellEnd"/>
            <w:r w:rsidRPr="00A34060">
              <w:rPr>
                <w:rFonts w:cstheme="minorHAnsi"/>
                <w:color w:val="000000"/>
                <w:szCs w:val="22"/>
              </w:rPr>
              <w:t>/L</w:t>
            </w:r>
            <w:r w:rsidR="00110063">
              <w:rPr>
                <w:rFonts w:cstheme="minorBidi"/>
                <w:color w:val="000000" w:themeColor="text1"/>
              </w:rPr>
              <w:t xml:space="preserve"> </w:t>
            </w:r>
            <w:r w:rsidR="00110063">
              <w:rPr>
                <w:rFonts w:cstheme="minorBidi"/>
                <w:color w:val="000000" w:themeColor="text1"/>
              </w:rPr>
              <w:fldChar w:fldCharType="begin" w:fldLock="1"/>
            </w:r>
            <w:r w:rsidR="00BB7850">
              <w:rPr>
                <w:rFonts w:cstheme="minorBidi"/>
                <w:color w:val="000000" w:themeColor="text1"/>
              </w:rPr>
              <w:instrText>ADDIN CSL_CITATION {"citationItems":[{"id":"ITEM-1","itemData":{"author":[{"dropping-particle":"","family":"International Zinc Nutrition Consultative Group","given":"","non-dropping-particle":"","parse-names":false,"suffix":""}],"id":"ITEM-1","issued":{"date-parts":[["2012"]]},"number-of-pages":"4","publisher-place":"Davis, CA","title":"IZiNCG Technical Brief","type":"report"},"uris":["http://www.mendeley.com/documents/?uuid=3d22cfaa-59a0-30fb-a822-9b36a94f9fe5"]}],"mendeley":{"formattedCitation":"(13)","plainTextFormattedCitation":"(13)","previouslyFormattedCitation":"(13)"},"properties":{"noteIndex":0},"schema":"https://github.com/citation-style-language/schema/raw/master/csl-citation.json"}</w:instrText>
            </w:r>
            <w:r w:rsidR="00110063">
              <w:rPr>
                <w:rFonts w:cstheme="minorBidi"/>
                <w:color w:val="000000" w:themeColor="text1"/>
              </w:rPr>
              <w:fldChar w:fldCharType="separate"/>
            </w:r>
            <w:r w:rsidR="00AD4523" w:rsidRPr="00AD4523">
              <w:rPr>
                <w:rFonts w:cstheme="minorBidi"/>
                <w:noProof/>
                <w:color w:val="000000" w:themeColor="text1"/>
              </w:rPr>
              <w:t>(13)</w:t>
            </w:r>
            <w:r w:rsidR="00110063">
              <w:rPr>
                <w:rFonts w:cstheme="minorBidi"/>
                <w:color w:val="000000" w:themeColor="text1"/>
              </w:rPr>
              <w:fldChar w:fldCharType="end"/>
            </w:r>
          </w:p>
        </w:tc>
        <w:tc>
          <w:tcPr>
            <w:tcW w:w="1160" w:type="pct"/>
            <w:noWrap/>
            <w:vAlign w:val="center"/>
            <w:hideMark/>
          </w:tcPr>
          <w:p w14:paraId="3A50E6CB"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 xml:space="preserve">Females ≥ 10 years </w:t>
            </w:r>
          </w:p>
          <w:p w14:paraId="4CB2CA4B"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(afternoon, non-fasting)</w:t>
            </w:r>
          </w:p>
        </w:tc>
        <w:tc>
          <w:tcPr>
            <w:tcW w:w="1254" w:type="pct"/>
            <w:noWrap/>
            <w:vAlign w:val="center"/>
            <w:hideMark/>
          </w:tcPr>
          <w:p w14:paraId="02078334" w14:textId="70F33E1B" w:rsidR="00D536DB" w:rsidRPr="00A34060" w:rsidRDefault="00D536DB" w:rsidP="00C94FBC">
            <w:pPr>
              <w:spacing w:line="256" w:lineRule="auto"/>
              <w:rPr>
                <w:rFonts w:cstheme="minorHAnsi"/>
                <w:color w:val="000000"/>
                <w:szCs w:val="22"/>
              </w:rPr>
            </w:pPr>
            <w:r w:rsidRPr="00A34060">
              <w:rPr>
                <w:rFonts w:cstheme="minorHAnsi"/>
                <w:color w:val="000000"/>
                <w:szCs w:val="22"/>
              </w:rPr>
              <w:t xml:space="preserve">No </w:t>
            </w:r>
            <w:r w:rsidRPr="00A34060">
              <w:rPr>
                <w:rFonts w:cstheme="minorHAnsi"/>
                <w:color w:val="000000"/>
                <w:szCs w:val="22"/>
              </w:rPr>
              <w:fldChar w:fldCharType="begin" w:fldLock="1"/>
            </w:r>
            <w:r w:rsidR="00511689">
              <w:rPr>
                <w:rFonts w:cstheme="minorHAnsi"/>
                <w:color w:val="000000"/>
                <w:szCs w:val="22"/>
              </w:rPr>
              <w:instrText>ADDIN CSL_CITATION {"citationItems":[{"id":"ITEM-1","itemData":{"DOI":"10.1093/AJCN/NQZ304","ISSN":"0002-9165","abstract":"The accurate estimation of zinc deficiency at the population level is important, as it guides the design, targeting, and evaluation of nutrition interventions. Plasma or serum zinc concentration (PZC) is recommended to estimate zinc nutritional status; however, concentrations may decrease in the presence of inflammation. Objectives: We aimed to assess the relation between PZC and inflammation in preschool children (PSC; 6-59 mo) and nonpregnant women of reproductive age (WRA; 15-49 y), and to compare different inflammation adjustment approaches, if adjustment is warranted. Methods: Cross-sectional data from 13 nationally representative surveys (18,859 PSC, 22,695 WRA) from the Biomarkers Reflecting Inflammation and Nutritional Determinants of Anemia (BRINDA) project were analyzed. Correlation and decile analyses were conducted, and the following 3 adjustment methods were compared if a consistent negative association between PZC and C-reactive protein (CRP) or α-1-acid glycoprotein (AGP) was observed: 1) exclude individuals with CRP &gt; 5 mg/L or AGP &gt; 1 g/L; 2) apply arithmetic correction factors; and 3) use the BRINDA regression correction (RC) approach. Results: In 6 of 12 PSC surveys, the estimated prevalence of zinc deficiency increased with increasing CRP deciles, and to a lesser extent, with increasing AGP deciles. In WRA, the association of PZC with CRP and AGP was weak and inconsistent. In the 6 PSC surveys in which adjustment methods were compared, application of RC reduced the estimated prevalence of zinc deficiency by a median of 11 (range: 4-18) percentage points, compared with the unadjusted prevalence. Conclusions: Relations between PZC and inflammatory markers were inconsistent, suggesting that correlation and decile analyses should be conducted before applying any inflammation adjustments. In populations of PSC that exhibit a significant negative association between PZC and CRP or AGP, application of the RC approach is supported. At this time, there is insufficient evidence to warrant inflammation adjustment in WRA.","author":[{"dropping-particle":"","family":"McDonald","given":"Christine M","non-dropping-particle":"","parse-names":false,"suffix":""},{"dropping-particle":"","family":"Suchdev","given":"Parminder S","non-dropping-particle":"","parse-names":false,"suffix":""},{"dropping-particle":"","family":"Krebs","given":"Nancy F","non-dropping-particle":"","parse-names":false,"suffix":""},{"dropping-particle":"","family":"Hess","given":"Sonja Y","non-dropping-particle":"","parse-names":false,"suffix":""},{"dropping-particle":"","family":"Wessells","given":"K Ryan","non-dropping-particle":"","parse-names":false,"suffix":""},{"dropping-particle":"","family":"Ismaily","given":"Sanober","non-dropping-particle":"","parse-names":false,"suffix":""},{"dropping-particle":"","family":"Rahman","given":"Sabuktagin","non-dropping-particle":"","parse-names":false,"suffix":""},{"dropping-particle":"","family":"Wieringa","given":"Frank T","non-dropping-particle":"","parse-names":false,"suffix":""},{"dropping-particle":"","family":"Williams","given":"Anne M","non-dropping-particle":"","parse-names":false,"suffix":""},{"dropping-particle":"","family":"Brown","given":"Kenneth H","non-dropping-particle":"","parse-names":false,"suffix":""},{"dropping-particle":"","family":"King","given":"Janet C","non-dropping-particle":"","parse-names":false,"suffix":""}],"container-title":"The American Journal of Clinical Nutrition","id":"ITEM-1","issue":"4","issued":{"date-parts":[["2020","4","1"]]},"page":"927-937","publisher":"Oxford Academic","title":"Adjusting plasma or serum zinc concentrations for inflammation: Biomarkers Reflecting Inflammation and Nutritional Determinants of Anemia (BRINDA) project","type":"article-journal","volume":"111"},"uris":["http://www.mendeley.com/documents/?uuid=76a2fb9e-9331-3e3f-a4c0-f2501de2868b"]}],"mendeley":{"formattedCitation":"(5)","plainTextFormattedCitation":"(5)","previouslyFormattedCitation":"(5)"},"properties":{"noteIndex":0},"schema":"https://github.com/citation-style-language/schema/raw/master/csl-citation.json"}</w:instrText>
            </w:r>
            <w:r w:rsidRPr="00A34060">
              <w:rPr>
                <w:rFonts w:cstheme="minorHAnsi"/>
                <w:color w:val="000000"/>
                <w:szCs w:val="22"/>
              </w:rPr>
              <w:fldChar w:fldCharType="separate"/>
            </w:r>
            <w:r w:rsidR="00DA42B2" w:rsidRPr="00DA42B2">
              <w:rPr>
                <w:rFonts w:cstheme="minorHAnsi"/>
                <w:noProof/>
                <w:color w:val="000000"/>
                <w:szCs w:val="22"/>
              </w:rPr>
              <w:t>(5)</w:t>
            </w:r>
            <w:r w:rsidRPr="00A34060">
              <w:rPr>
                <w:rFonts w:cstheme="minorHAnsi"/>
                <w:color w:val="000000"/>
                <w:szCs w:val="22"/>
              </w:rPr>
              <w:fldChar w:fldCharType="end"/>
            </w:r>
          </w:p>
        </w:tc>
      </w:tr>
      <w:tr w:rsidR="00D536DB" w:rsidRPr="00A34060" w14:paraId="72B2347A" w14:textId="77777777" w:rsidTr="00E97DB9">
        <w:trPr>
          <w:trHeight w:val="20"/>
        </w:trPr>
        <w:tc>
          <w:tcPr>
            <w:tcW w:w="785" w:type="pct"/>
            <w:vAlign w:val="center"/>
          </w:tcPr>
          <w:p w14:paraId="5EA3B463"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Iron</w:t>
            </w:r>
          </w:p>
        </w:tc>
        <w:tc>
          <w:tcPr>
            <w:tcW w:w="831" w:type="pct"/>
            <w:noWrap/>
            <w:vAlign w:val="center"/>
            <w:hideMark/>
          </w:tcPr>
          <w:p w14:paraId="494C2B7B"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Serum ferritin</w:t>
            </w:r>
          </w:p>
        </w:tc>
        <w:tc>
          <w:tcPr>
            <w:tcW w:w="970" w:type="pct"/>
            <w:noWrap/>
            <w:vAlign w:val="center"/>
            <w:hideMark/>
          </w:tcPr>
          <w:p w14:paraId="0A2CEEA5" w14:textId="4214C76C" w:rsidR="00D536DB" w:rsidRPr="00A34060" w:rsidRDefault="00D536DB" w:rsidP="00C94FBC">
            <w:pPr>
              <w:spacing w:line="256" w:lineRule="auto"/>
              <w:rPr>
                <w:rFonts w:cstheme="minorHAnsi"/>
                <w:color w:val="000000"/>
                <w:szCs w:val="22"/>
              </w:rPr>
            </w:pPr>
            <w:r w:rsidRPr="00A34060">
              <w:rPr>
                <w:rFonts w:cstheme="minorHAnsi"/>
                <w:color w:val="000000"/>
                <w:szCs w:val="22"/>
              </w:rPr>
              <w:t>&lt; 12 µg/l</w:t>
            </w:r>
            <w:r w:rsidR="00110063">
              <w:rPr>
                <w:rFonts w:cstheme="minorHAnsi"/>
                <w:color w:val="000000"/>
                <w:szCs w:val="22"/>
              </w:rPr>
              <w:t xml:space="preserve"> </w:t>
            </w:r>
            <w:r w:rsidR="00E561A7">
              <w:rPr>
                <w:rFonts w:cstheme="minorHAnsi"/>
                <w:color w:val="000000"/>
                <w:szCs w:val="22"/>
              </w:rPr>
              <w:fldChar w:fldCharType="begin" w:fldLock="1"/>
            </w:r>
            <w:r w:rsidR="00BB7850">
              <w:rPr>
                <w:rFonts w:cstheme="minorHAnsi"/>
                <w:color w:val="000000"/>
                <w:szCs w:val="22"/>
              </w:rPr>
              <w:instrText>ADDIN CSL_CITATION {"citationItems":[{"id":"ITEM-1","itemData":{"DOI":"10.3945/JN.112.167775","ISSN":"1541-6100","PMID":"23343673","abstract":"Available iron status indicators reflect different aspects of metabolism. We compared the prevalence and distribution of iron deficiency (ID) and iron-deficiency anemia (IDA) among Cameroonian women and children, asmeasured by plasma ferritin, and soluble transferrin receptor concentrations, body iron stores (BIS), and hemoglobin, and evaluated the impact of adjustments for inflammation on thesemeasures. In a nationally representative survey,we randomly selected 30 clusters in each of 3 zones (north, south, and large cities) and 10 households/cluster, each with a child aged 12-59mo and a woman 15-49 y. Ferritin and BIS were mathematically adjusted for inflammation, using plasma C-reactive protein and a1-acid glycoprotein both as continuous and categorical variables. Inflammation was present in 48.0% of children and 20.8% of women and anemia was diagnosed in 57.6% of children and 38.8% of women. Depending on the iron status indicator applied, the prevalence of ID ranged from 14.2 to 68.4%among children and 11.5 to 31.8%among women, and the prevalence of IDA ranged from 12.0 to 47.4% among children and 9.0 to 19.4% among women; the proportion of anemia associated with ID ranged from 20.8 to 82.3% among children and 23.2 to 50.0% among women. The different iron indicators generally identified similar groups at greatest risk of deficiency, using both conventional and derived cutoffs: younger children, pregnant women, and women and children in the north and rural areas. Research is needed to clarify the relationships between iron status indicators, particularly in the presence of inflammation, to harmonize global data on prevalence of ID. © 2013 American Society for Nutrition.","author":[{"dropping-particle":"","family":"Engle-Stone","given":"Reina","non-dropping-particle":"","parse-names":false,"suffix":""},{"dropping-particle":"","family":"Nankap","given":"Martin","non-dropping-particle":"","parse-names":false,"suffix":""},{"dropping-particle":"","family":"Ndjebayi","given":"Alex O.","non-dropping-particle":"","parse-names":false,"suffix":""},{"dropping-particle":"","family":"Erhardt","given":"Juergen G.","non-dropping-particle":"","parse-names":false,"suffix":""},{"dropping-particle":"","family":"Brown","given":"Kenneth H.","non-dropping-particle":"","parse-names":false,"suffix":""}],"container-title":"The Journal of nutrition","id":"ITEM-1","issue":"3","issued":{"date-parts":[["2013","3"]]},"page":"369-377","publisher":"J Nutr","title":"Plasma ferritin and soluble transferrin receptor concentrations and body iron stores identify similar risk factors for iron deficiency but result in different estimates of the national prevalence of iron deficiency and iron-deficiency anemia among women and children in Cameroon","type":"article-journal","volume":"143"},"uris":["http://www.mendeley.com/documents/?uuid=55f7e58a-3765-3f30-a131-a532587cc668"]}],"mendeley":{"formattedCitation":"(14)","plainTextFormattedCitation":"(14)","previouslyFormattedCitation":"(14)"},"properties":{"noteIndex":0},"schema":"https://github.com/citation-style-language/schema/raw/master/csl-citation.json"}</w:instrText>
            </w:r>
            <w:r w:rsidR="00E561A7">
              <w:rPr>
                <w:rFonts w:cstheme="minorHAnsi"/>
                <w:color w:val="000000"/>
                <w:szCs w:val="22"/>
              </w:rPr>
              <w:fldChar w:fldCharType="separate"/>
            </w:r>
            <w:r w:rsidR="00AD4523" w:rsidRPr="00AD4523">
              <w:rPr>
                <w:rFonts w:cstheme="minorHAnsi"/>
                <w:noProof/>
                <w:color w:val="000000"/>
                <w:szCs w:val="22"/>
              </w:rPr>
              <w:t>(14)</w:t>
            </w:r>
            <w:r w:rsidR="00E561A7">
              <w:rPr>
                <w:rFonts w:cstheme="minorHAnsi"/>
                <w:color w:val="000000"/>
                <w:szCs w:val="22"/>
              </w:rPr>
              <w:fldChar w:fldCharType="end"/>
            </w:r>
          </w:p>
        </w:tc>
        <w:tc>
          <w:tcPr>
            <w:tcW w:w="1160" w:type="pct"/>
            <w:noWrap/>
            <w:vAlign w:val="center"/>
            <w:hideMark/>
          </w:tcPr>
          <w:p w14:paraId="78CBE510"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Children &lt; 5 years</w:t>
            </w:r>
          </w:p>
        </w:tc>
        <w:tc>
          <w:tcPr>
            <w:tcW w:w="1254" w:type="pct"/>
            <w:noWrap/>
            <w:vAlign w:val="center"/>
            <w:hideMark/>
          </w:tcPr>
          <w:p w14:paraId="411F8EB3" w14:textId="6624CBE2" w:rsidR="00D536DB" w:rsidRPr="00A34060" w:rsidRDefault="00D536DB" w:rsidP="00C94FBC">
            <w:pPr>
              <w:spacing w:line="256" w:lineRule="auto"/>
              <w:rPr>
                <w:rFonts w:cstheme="minorHAnsi"/>
                <w:color w:val="000000"/>
                <w:szCs w:val="22"/>
              </w:rPr>
            </w:pPr>
            <w:r w:rsidRPr="00A34060">
              <w:rPr>
                <w:rFonts w:cstheme="minorHAnsi"/>
                <w:color w:val="000000"/>
                <w:szCs w:val="22"/>
              </w:rPr>
              <w:t xml:space="preserve">Yes </w:t>
            </w:r>
            <w:r w:rsidRPr="00A34060">
              <w:rPr>
                <w:rFonts w:cstheme="minorHAnsi"/>
                <w:color w:val="000000"/>
                <w:szCs w:val="22"/>
              </w:rPr>
              <w:fldChar w:fldCharType="begin" w:fldLock="1"/>
            </w:r>
            <w:r w:rsidR="00C623EA">
              <w:rPr>
                <w:rFonts w:cstheme="minorHAnsi"/>
                <w:color w:val="000000"/>
                <w:szCs w:val="22"/>
              </w:rPr>
              <w:instrText xml:space="preserve">ADDIN CSL_CITATION {"citationItems":[{"id":"ITEM-1","itemData":{"DOI":"10.3945/ajcn.116.142273","ISSN":"19383207","PMID":"28615254","abstract":"Background: The Biomarkers Reflecting Inflammation and Nutritional Determinants of Anemia (BRINDA) project is a multiagency and multicountry collaboration that was formed to improve micronutrient assessment and to better characterize anemia.Objectives: The aims of the project were to 1) identify factors associated with inflammation, 2) assess the relations between inflammation, malaria infection, and biomarkers of iron and vitamin A status and compare adjustment approaches, and 3) assess risk factors for anemia in preschool children (PSC) and women of reproductive age (WRA).Design: The BRINDA database inclusion criteria included surveys that 1) were conducted after 2004, 2) had target groups of PSC, WRA, or both, and 3) used a similar laboratory methodology for the measurement of ≥1 biomarker of iron [ferritin or soluble transferrin receptor or vitamin A status (retinol-binding protein or retinol)] and ≥1 biomarker of inflammation (α-1-acid glycoprotein or C-reactive protein). Individual data sets were standardized and merged into a BRINDA database comprising 16 nationally and regionally representative surveys from 14 countries. Collectively, the database covered all 6 WHO geographic regions and contained </w:instrText>
            </w:r>
            <w:r w:rsidR="00C623EA">
              <w:rPr>
                <w:rFonts w:ascii="Cambria Math" w:hAnsi="Cambria Math" w:cs="Cambria Math"/>
                <w:color w:val="000000"/>
                <w:szCs w:val="22"/>
              </w:rPr>
              <w:instrText>∼</w:instrText>
            </w:r>
            <w:r w:rsidR="00C623EA">
              <w:rPr>
                <w:rFonts w:cstheme="minorHAnsi"/>
                <w:color w:val="000000"/>
                <w:szCs w:val="22"/>
              </w:rPr>
              <w:instrText>30,000 PSC and 27,000 WRA. Data were analyzed individually and combined with the use of a meta-analysis.Results: The methods that were used to standardize the BRINDA database and the analytic approaches used to address the project's research questions are presented in this article. Three approaches to adjust micronutrient biomarker concentrations in the presence of inflammation and malaria infection are presented, along with an anemia conceptual framework that guided the BRINDA project's anemia analyses.Conclusions: The BRINDA project refines approaches to interpret iron and vitamin A biomarker values in settings of inflammation and malaria infection and suggests the use of a new regression approach as well as proposes an anemia framework to which real-world data can be applied. Findings can inform guidelines and strategies to prevent and control micronutrient deficiencies and anemia globally.","author":[{"dropping-particle":"","family":"Namaste","given":"Sorrel ML","non-dropping-particle":"","parse-names":false,"suffix":""},{"dropping-particle":"","family":"Aaron","given":"Grant J","non-dropping-particle":"","parse-names":false,"suffix":""},{"dropping-particle":"","family":"Varadhan","given":"Ravi","non-dropping-particle":"","parse-names":false,"suffix":""},{"dropping-particle":"","family":"Peerson","given":"Janet M","non-dropping-particle":"","parse-names":false,"suffix":""},{"dropping-particle":"","family":"Suchdev","given":"Parminder S","non-dropping-particle":"","parse-names":false,"suffix":""}],"container-title":"The American journal of clinical nutrition","id":"ITEM-1","issue":"suppl_1","issued":{"date-parts":[["2017","7","1"]]},"page":"333S-347S","publisher":"Oxford Academic","title":"Methodologic approach for the Biomarkers Reflecting Inflammation and Nutritional Determinants of Anemia (BRINDA) project","type":"article-journal","volume":"106"},"uris":["http://www.mendeley.com/documents/?uuid=a6d34631-78d3-33cf-812b-2dbdb96b6c5c"]}],"mendeley":{"formattedCitation":"(3)","plainTextFormattedCitation":"(3)","previouslyFormattedCitation":"(3)"},"properties":{"noteIndex":0},"schema":"https://github.com/citation-style-language/schema/raw/master/csl-citation.json"}</w:instrText>
            </w:r>
            <w:r w:rsidRPr="00A34060">
              <w:rPr>
                <w:rFonts w:cstheme="minorHAnsi"/>
                <w:color w:val="000000"/>
                <w:szCs w:val="22"/>
              </w:rPr>
              <w:fldChar w:fldCharType="separate"/>
            </w:r>
            <w:r w:rsidR="00DA42B2" w:rsidRPr="00DA42B2">
              <w:rPr>
                <w:rFonts w:cstheme="minorHAnsi"/>
                <w:noProof/>
                <w:color w:val="000000"/>
                <w:szCs w:val="22"/>
              </w:rPr>
              <w:t>(3)</w:t>
            </w:r>
            <w:r w:rsidRPr="00A34060">
              <w:rPr>
                <w:rFonts w:cstheme="minorHAnsi"/>
                <w:color w:val="000000"/>
                <w:szCs w:val="22"/>
              </w:rPr>
              <w:fldChar w:fldCharType="end"/>
            </w:r>
          </w:p>
        </w:tc>
      </w:tr>
      <w:tr w:rsidR="00D536DB" w:rsidRPr="00A34060" w14:paraId="18978103" w14:textId="77777777" w:rsidTr="00E97DB9">
        <w:trPr>
          <w:trHeight w:val="20"/>
        </w:trPr>
        <w:tc>
          <w:tcPr>
            <w:tcW w:w="785" w:type="pct"/>
            <w:vAlign w:val="center"/>
          </w:tcPr>
          <w:p w14:paraId="39942927"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Iron</w:t>
            </w:r>
          </w:p>
        </w:tc>
        <w:tc>
          <w:tcPr>
            <w:tcW w:w="831" w:type="pct"/>
            <w:noWrap/>
            <w:vAlign w:val="center"/>
            <w:hideMark/>
          </w:tcPr>
          <w:p w14:paraId="03FB8853"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Serum ferritin</w:t>
            </w:r>
          </w:p>
        </w:tc>
        <w:tc>
          <w:tcPr>
            <w:tcW w:w="970" w:type="pct"/>
            <w:noWrap/>
            <w:vAlign w:val="center"/>
            <w:hideMark/>
          </w:tcPr>
          <w:p w14:paraId="63A992BF" w14:textId="4F9312FA" w:rsidR="00D536DB" w:rsidRPr="00A34060" w:rsidRDefault="00D536DB" w:rsidP="00C94FBC">
            <w:pPr>
              <w:spacing w:line="256" w:lineRule="auto"/>
              <w:rPr>
                <w:rFonts w:cstheme="minorHAnsi"/>
                <w:color w:val="000000"/>
                <w:szCs w:val="22"/>
              </w:rPr>
            </w:pPr>
            <w:r w:rsidRPr="00A34060">
              <w:rPr>
                <w:rFonts w:cstheme="minorHAnsi"/>
                <w:color w:val="000000"/>
                <w:szCs w:val="22"/>
              </w:rPr>
              <w:t>&lt; 15 µg/l</w:t>
            </w:r>
            <w:r w:rsidR="00791B9F">
              <w:rPr>
                <w:rFonts w:cstheme="minorHAnsi"/>
                <w:color w:val="000000"/>
                <w:szCs w:val="22"/>
              </w:rPr>
              <w:t xml:space="preserve"> </w:t>
            </w:r>
            <w:r w:rsidR="00791B9F">
              <w:rPr>
                <w:rFonts w:cstheme="minorHAnsi"/>
                <w:color w:val="000000"/>
                <w:szCs w:val="22"/>
              </w:rPr>
              <w:fldChar w:fldCharType="begin" w:fldLock="1"/>
            </w:r>
            <w:r w:rsidR="00BB7850">
              <w:rPr>
                <w:rFonts w:cstheme="minorHAnsi"/>
                <w:color w:val="000000"/>
                <w:szCs w:val="22"/>
              </w:rPr>
              <w:instrText>ADDIN CSL_CITATION {"citationItems":[{"id":"ITEM-1","itemData":{"DOI":"10.3945/JN.112.167775","ISSN":"1541-6100","PMID":"23343673","abstract":"Available iron status indicators reflect different aspects of metabolism. We compared the prevalence and distribution of iron deficiency (ID) and iron-deficiency anemia (IDA) among Cameroonian women and children, asmeasured by plasma ferritin, and soluble transferrin receptor concentrations, body iron stores (BIS), and hemoglobin, and evaluated the impact of adjustments for inflammation on thesemeasures. In a nationally representative survey,we randomly selected 30 clusters in each of 3 zones (north, south, and large cities) and 10 households/cluster, each with a child aged 12-59mo and a woman 15-49 y. Ferritin and BIS were mathematically adjusted for inflammation, using plasma C-reactive protein and a1-acid glycoprotein both as continuous and categorical variables. Inflammation was present in 48.0% of children and 20.8% of women and anemia was diagnosed in 57.6% of children and 38.8% of women. Depending on the iron status indicator applied, the prevalence of ID ranged from 14.2 to 68.4%among children and 11.5 to 31.8%among women, and the prevalence of IDA ranged from 12.0 to 47.4% among children and 9.0 to 19.4% among women; the proportion of anemia associated with ID ranged from 20.8 to 82.3% among children and 23.2 to 50.0% among women. The different iron indicators generally identified similar groups at greatest risk of deficiency, using both conventional and derived cutoffs: younger children, pregnant women, and women and children in the north and rural areas. Research is needed to clarify the relationships between iron status indicators, particularly in the presence of inflammation, to harmonize global data on prevalence of ID. © 2013 American Society for Nutrition.","author":[{"dropping-particle":"","family":"Engle-Stone","given":"Reina","non-dropping-particle":"","parse-names":false,"suffix":""},{"dropping-particle":"","family":"Nankap","given":"Martin","non-dropping-particle":"","parse-names":false,"suffix":""},{"dropping-particle":"","family":"Ndjebayi","given":"Alex O.","non-dropping-particle":"","parse-names":false,"suffix":""},{"dropping-particle":"","family":"Erhardt","given":"Juergen G.","non-dropping-particle":"","parse-names":false,"suffix":""},{"dropping-particle":"","family":"Brown","given":"Kenneth H.","non-dropping-particle":"","parse-names":false,"suffix":""}],"container-title":"The Journal of nutrition","id":"ITEM-1","issue":"3","issued":{"date-parts":[["2013","3"]]},"page":"369-377","publisher":"J Nutr","title":"Plasma ferritin and soluble transferrin receptor concentrations and body iron stores identify similar risk factors for iron deficiency but result in different estimates of the national prevalence of iron deficiency and iron-deficiency anemia among women and children in Cameroon","type":"article-journal","volume":"143"},"uris":["http://www.mendeley.com/documents/?uuid=55f7e58a-3765-3f30-a131-a532587cc668"]}],"mendeley":{"formattedCitation":"(14)","plainTextFormattedCitation":"(14)","previouslyFormattedCitation":"(14)"},"properties":{"noteIndex":0},"schema":"https://github.com/citation-style-language/schema/raw/master/csl-citation.json"}</w:instrText>
            </w:r>
            <w:r w:rsidR="00791B9F">
              <w:rPr>
                <w:rFonts w:cstheme="minorHAnsi"/>
                <w:color w:val="000000"/>
                <w:szCs w:val="22"/>
              </w:rPr>
              <w:fldChar w:fldCharType="separate"/>
            </w:r>
            <w:r w:rsidR="00AD4523" w:rsidRPr="00AD4523">
              <w:rPr>
                <w:rFonts w:cstheme="minorHAnsi"/>
                <w:noProof/>
                <w:color w:val="000000"/>
                <w:szCs w:val="22"/>
              </w:rPr>
              <w:t>(14)</w:t>
            </w:r>
            <w:r w:rsidR="00791B9F">
              <w:rPr>
                <w:rFonts w:cstheme="minorHAnsi"/>
                <w:color w:val="000000"/>
                <w:szCs w:val="22"/>
              </w:rPr>
              <w:fldChar w:fldCharType="end"/>
            </w:r>
          </w:p>
        </w:tc>
        <w:tc>
          <w:tcPr>
            <w:tcW w:w="1160" w:type="pct"/>
            <w:noWrap/>
            <w:vAlign w:val="center"/>
            <w:hideMark/>
          </w:tcPr>
          <w:p w14:paraId="7B6F84DF"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Individuals ≥ 5 years</w:t>
            </w:r>
          </w:p>
        </w:tc>
        <w:tc>
          <w:tcPr>
            <w:tcW w:w="1254" w:type="pct"/>
            <w:noWrap/>
            <w:vAlign w:val="center"/>
            <w:hideMark/>
          </w:tcPr>
          <w:p w14:paraId="004956E7" w14:textId="14E1E206" w:rsidR="00D536DB" w:rsidRPr="00A34060" w:rsidRDefault="00D536DB" w:rsidP="00C94FBC">
            <w:pPr>
              <w:spacing w:line="256" w:lineRule="auto"/>
              <w:rPr>
                <w:rFonts w:cstheme="minorHAnsi"/>
                <w:color w:val="000000"/>
                <w:szCs w:val="22"/>
              </w:rPr>
            </w:pPr>
            <w:r w:rsidRPr="00A34060">
              <w:rPr>
                <w:rFonts w:cstheme="minorHAnsi"/>
                <w:color w:val="000000"/>
                <w:szCs w:val="22"/>
              </w:rPr>
              <w:t xml:space="preserve">Yes </w:t>
            </w:r>
            <w:r w:rsidRPr="00A34060">
              <w:rPr>
                <w:rFonts w:cstheme="minorHAnsi"/>
                <w:color w:val="000000"/>
                <w:szCs w:val="22"/>
              </w:rPr>
              <w:fldChar w:fldCharType="begin" w:fldLock="1"/>
            </w:r>
            <w:r w:rsidR="00C623EA">
              <w:rPr>
                <w:rFonts w:cstheme="minorHAnsi"/>
                <w:color w:val="000000"/>
                <w:szCs w:val="22"/>
              </w:rPr>
              <w:instrText xml:space="preserve">ADDIN CSL_CITATION {"citationItems":[{"id":"ITEM-1","itemData":{"DOI":"10.3945/ajcn.116.142273","ISSN":"19383207","PMID":"28615254","abstract":"Background: The Biomarkers Reflecting Inflammation and Nutritional Determinants of Anemia (BRINDA) project is a multiagency and multicountry collaboration that was formed to improve micronutrient assessment and to better characterize anemia.Objectives: The aims of the project were to 1) identify factors associated with inflammation, 2) assess the relations between inflammation, malaria infection, and biomarkers of iron and vitamin A status and compare adjustment approaches, and 3) assess risk factors for anemia in preschool children (PSC) and women of reproductive age (WRA).Design: The BRINDA database inclusion criteria included surveys that 1) were conducted after 2004, 2) had target groups of PSC, WRA, or both, and 3) used a similar laboratory methodology for the measurement of ≥1 biomarker of iron [ferritin or soluble transferrin receptor or vitamin A status (retinol-binding protein or retinol)] and ≥1 biomarker of inflammation (α-1-acid glycoprotein or C-reactive protein). Individual data sets were standardized and merged into a BRINDA database comprising 16 nationally and regionally representative surveys from 14 countries. Collectively, the database covered all 6 WHO geographic regions and contained </w:instrText>
            </w:r>
            <w:r w:rsidR="00C623EA">
              <w:rPr>
                <w:rFonts w:ascii="Cambria Math" w:hAnsi="Cambria Math" w:cs="Cambria Math"/>
                <w:color w:val="000000"/>
                <w:szCs w:val="22"/>
              </w:rPr>
              <w:instrText>∼</w:instrText>
            </w:r>
            <w:r w:rsidR="00C623EA">
              <w:rPr>
                <w:rFonts w:cstheme="minorHAnsi"/>
                <w:color w:val="000000"/>
                <w:szCs w:val="22"/>
              </w:rPr>
              <w:instrText>30,000 PSC and 27,000 WRA. Data were analyzed individually and combined with the use of a meta-analysis.Results: The methods that were used to standardize the BRINDA database and the analytic approaches used to address the project's research questions are presented in this article. Three approaches to adjust micronutrient biomarker concentrations in the presence of inflammation and malaria infection are presented, along with an anemia conceptual framework that guided the BRINDA project's anemia analyses.Conclusions: The BRINDA project refines approaches to interpret iron and vitamin A biomarker values in settings of inflammation and malaria infection and suggests the use of a new regression approach as well as proposes an anemia framework to which real-world data can be applied. Findings can inform guidelines and strategies to prevent and control micronutrient deficiencies and anemia globally.","author":[{"dropping-particle":"","family":"Namaste","given":"Sorrel ML","non-dropping-particle":"","parse-names":false,"suffix":""},{"dropping-particle":"","family":"Aaron","given":"Grant J","non-dropping-particle":"","parse-names":false,"suffix":""},{"dropping-particle":"","family":"Varadhan","given":"Ravi","non-dropping-particle":"","parse-names":false,"suffix":""},{"dropping-particle":"","family":"Peerson","given":"Janet M","non-dropping-particle":"","parse-names":false,"suffix":""},{"dropping-particle":"","family":"Suchdev","given":"Parminder S","non-dropping-particle":"","parse-names":false,"suffix":""}],"container-title":"The American journal of clinical nutrition","id":"ITEM-1","issue":"suppl_1","issued":{"date-parts":[["2017","7","1"]]},"page":"333S-347S","publisher":"Oxford Academic","title":"Methodologic approach for the Biomarkers Reflecting Inflammation and Nutritional Determinants of Anemia (BRINDA) project","type":"article-journal","volume":"106"},"uris":["http://www.mendeley.com/documents/?uuid=a6d34631-78d3-33cf-812b-2dbdb96b6c5c"]}],"mendeley":{"formattedCitation":"(3)","plainTextFormattedCitation":"(3)","previouslyFormattedCitation":"(3)"},"properties":{"noteIndex":0},"schema":"https://github.com/citation-style-language/schema/raw/master/csl-citation.json"}</w:instrText>
            </w:r>
            <w:r w:rsidRPr="00A34060">
              <w:rPr>
                <w:rFonts w:cstheme="minorHAnsi"/>
                <w:color w:val="000000"/>
                <w:szCs w:val="22"/>
              </w:rPr>
              <w:fldChar w:fldCharType="separate"/>
            </w:r>
            <w:r w:rsidR="00DA42B2" w:rsidRPr="00DA42B2">
              <w:rPr>
                <w:rFonts w:cstheme="minorHAnsi"/>
                <w:noProof/>
                <w:color w:val="000000"/>
                <w:szCs w:val="22"/>
              </w:rPr>
              <w:t>(3)</w:t>
            </w:r>
            <w:r w:rsidRPr="00A34060">
              <w:rPr>
                <w:rFonts w:cstheme="minorHAnsi"/>
                <w:color w:val="000000"/>
                <w:szCs w:val="22"/>
              </w:rPr>
              <w:fldChar w:fldCharType="end"/>
            </w:r>
          </w:p>
        </w:tc>
      </w:tr>
      <w:tr w:rsidR="00D536DB" w:rsidRPr="00A34060" w14:paraId="52C91BD1" w14:textId="77777777" w:rsidTr="00E97DB9">
        <w:trPr>
          <w:trHeight w:val="20"/>
        </w:trPr>
        <w:tc>
          <w:tcPr>
            <w:tcW w:w="785" w:type="pct"/>
            <w:vAlign w:val="center"/>
          </w:tcPr>
          <w:p w14:paraId="073D0033"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Vitamin D</w:t>
            </w:r>
          </w:p>
        </w:tc>
        <w:tc>
          <w:tcPr>
            <w:tcW w:w="831" w:type="pct"/>
            <w:noWrap/>
            <w:vAlign w:val="center"/>
          </w:tcPr>
          <w:p w14:paraId="4A3D5789"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Serum 25-</w:t>
            </w:r>
          </w:p>
          <w:p w14:paraId="2E53F8D8"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hydroxyvitamin D</w:t>
            </w:r>
          </w:p>
        </w:tc>
        <w:tc>
          <w:tcPr>
            <w:tcW w:w="970" w:type="pct"/>
            <w:noWrap/>
            <w:vAlign w:val="center"/>
          </w:tcPr>
          <w:p w14:paraId="667E4CDC" w14:textId="08451A11" w:rsidR="00D536DB" w:rsidRPr="00A34060" w:rsidRDefault="00D536DB" w:rsidP="00C94FBC">
            <w:pPr>
              <w:spacing w:line="256" w:lineRule="auto"/>
              <w:rPr>
                <w:rFonts w:cstheme="minorHAnsi"/>
                <w:color w:val="000000"/>
                <w:szCs w:val="22"/>
              </w:rPr>
            </w:pPr>
            <w:r w:rsidRPr="00A34060">
              <w:rPr>
                <w:rFonts w:cstheme="minorHAnsi"/>
                <w:color w:val="000000"/>
                <w:szCs w:val="22"/>
              </w:rPr>
              <w:t>&lt; 25 nmol/L</w:t>
            </w:r>
            <w:r w:rsidR="00791B9F">
              <w:rPr>
                <w:rFonts w:cstheme="minorHAnsi"/>
                <w:color w:val="000000"/>
                <w:szCs w:val="22"/>
              </w:rPr>
              <w:t xml:space="preserve"> </w:t>
            </w:r>
            <w:r w:rsidR="0054767F">
              <w:rPr>
                <w:rFonts w:cstheme="minorHAnsi"/>
                <w:color w:val="000000"/>
                <w:szCs w:val="22"/>
              </w:rPr>
              <w:fldChar w:fldCharType="begin" w:fldLock="1"/>
            </w:r>
            <w:r w:rsidR="00BB7850">
              <w:rPr>
                <w:rFonts w:cstheme="minorHAnsi"/>
                <w:color w:val="000000"/>
                <w:szCs w:val="22"/>
              </w:rPr>
              <w:instrText>ADDIN CSL_CITATION {"citationItems":[{"id":"ITEM-1","itemData":{"author":[{"dropping-particle":"","family":"Scientific Advisory Committee on Nutrition","given":"","non-dropping-particle":"","parse-names":false,"suffix":""}],"id":"ITEM-1","issued":{"date-parts":[["2016"]]},"number-of-pages":"289","title":"Vitamin D and Health","type":"report"},"uris":["http://www.mendeley.com/documents/?uuid=b8be0922-657c-4795-be79-7fc9ac2406cd"]}],"mendeley":{"formattedCitation":"(15)","plainTextFormattedCitation":"(15)","previouslyFormattedCitation":"(15)"},"properties":{"noteIndex":0},"schema":"https://github.com/citation-style-language/schema/raw/master/csl-citation.json"}</w:instrText>
            </w:r>
            <w:r w:rsidR="0054767F">
              <w:rPr>
                <w:rFonts w:cstheme="minorHAnsi"/>
                <w:color w:val="000000"/>
                <w:szCs w:val="22"/>
              </w:rPr>
              <w:fldChar w:fldCharType="separate"/>
            </w:r>
            <w:r w:rsidR="00AD4523" w:rsidRPr="00AD4523">
              <w:rPr>
                <w:rFonts w:cstheme="minorHAnsi"/>
                <w:noProof/>
                <w:color w:val="000000"/>
                <w:szCs w:val="22"/>
              </w:rPr>
              <w:t>(15)</w:t>
            </w:r>
            <w:r w:rsidR="0054767F">
              <w:rPr>
                <w:rFonts w:cstheme="minorHAnsi"/>
                <w:color w:val="000000"/>
                <w:szCs w:val="22"/>
              </w:rPr>
              <w:fldChar w:fldCharType="end"/>
            </w:r>
          </w:p>
        </w:tc>
        <w:tc>
          <w:tcPr>
            <w:tcW w:w="1160" w:type="pct"/>
            <w:noWrap/>
            <w:vAlign w:val="center"/>
          </w:tcPr>
          <w:p w14:paraId="16577E53"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All</w:t>
            </w:r>
          </w:p>
        </w:tc>
        <w:tc>
          <w:tcPr>
            <w:tcW w:w="1254" w:type="pct"/>
            <w:noWrap/>
            <w:vAlign w:val="center"/>
          </w:tcPr>
          <w:p w14:paraId="3595E6EE" w14:textId="77777777" w:rsidR="00D536DB" w:rsidRPr="00A34060" w:rsidRDefault="00D536DB" w:rsidP="00C94FBC">
            <w:pPr>
              <w:spacing w:line="256" w:lineRule="auto"/>
              <w:rPr>
                <w:rFonts w:cstheme="minorHAnsi"/>
                <w:color w:val="000000"/>
                <w:szCs w:val="22"/>
              </w:rPr>
            </w:pPr>
            <w:r w:rsidRPr="00A34060">
              <w:rPr>
                <w:rFonts w:cstheme="minorHAnsi"/>
                <w:color w:val="000000"/>
                <w:szCs w:val="22"/>
              </w:rPr>
              <w:t>No</w:t>
            </w:r>
          </w:p>
        </w:tc>
      </w:tr>
    </w:tbl>
    <w:p w14:paraId="083CF539" w14:textId="4E958CDE" w:rsidR="00D536DB" w:rsidRPr="00A34060" w:rsidRDefault="00D536DB" w:rsidP="00D536DB">
      <w:pPr>
        <w:pStyle w:val="ListParagraph"/>
        <w:numPr>
          <w:ilvl w:val="0"/>
          <w:numId w:val="11"/>
        </w:numPr>
        <w:autoSpaceDE w:val="0"/>
        <w:autoSpaceDN w:val="0"/>
        <w:adjustRightInd w:val="0"/>
        <w:rPr>
          <w:rFonts w:cstheme="minorHAnsi"/>
          <w:szCs w:val="22"/>
          <w:lang w:val="en-GB"/>
        </w:rPr>
      </w:pPr>
      <w:r w:rsidRPr="00A34060">
        <w:rPr>
          <w:rFonts w:cstheme="minorHAnsi"/>
          <w:szCs w:val="22"/>
          <w:lang w:val="en-GB"/>
        </w:rPr>
        <w:t xml:space="preserve">When both RBC folate and serum folate are measured in a survey, </w:t>
      </w:r>
      <w:r w:rsidR="00DA42B2">
        <w:rPr>
          <w:rFonts w:cstheme="minorHAnsi"/>
          <w:szCs w:val="22"/>
          <w:lang w:val="en-GB"/>
        </w:rPr>
        <w:t>RBC folate</w:t>
      </w:r>
      <w:r w:rsidR="002A3120" w:rsidRPr="00A34060">
        <w:rPr>
          <w:rFonts w:cstheme="minorHAnsi"/>
          <w:szCs w:val="22"/>
          <w:lang w:val="en-GB"/>
        </w:rPr>
        <w:t xml:space="preserve"> data were used</w:t>
      </w:r>
      <w:r w:rsidRPr="00A34060">
        <w:rPr>
          <w:rFonts w:cstheme="minorHAnsi"/>
          <w:szCs w:val="22"/>
          <w:lang w:val="en-GB"/>
        </w:rPr>
        <w:t>.</w:t>
      </w:r>
      <w:r w:rsidR="00AB119B">
        <w:rPr>
          <w:rFonts w:cstheme="minorHAnsi"/>
          <w:szCs w:val="22"/>
          <w:lang w:val="en-GB"/>
        </w:rPr>
        <w:t xml:space="preserve"> Folate </w:t>
      </w:r>
      <w:r w:rsidR="00494231">
        <w:rPr>
          <w:rFonts w:cstheme="minorHAnsi"/>
          <w:szCs w:val="22"/>
          <w:lang w:val="en-GB"/>
        </w:rPr>
        <w:t>threshold</w:t>
      </w:r>
      <w:r w:rsidR="00AB119B">
        <w:rPr>
          <w:rFonts w:cstheme="minorHAnsi"/>
          <w:szCs w:val="22"/>
          <w:lang w:val="en-GB"/>
        </w:rPr>
        <w:t xml:space="preserve">s were adjusted for </w:t>
      </w:r>
      <w:r w:rsidR="00C61FD2">
        <w:rPr>
          <w:rFonts w:cstheme="minorHAnsi"/>
          <w:szCs w:val="22"/>
          <w:lang w:val="en-GB"/>
        </w:rPr>
        <w:t xml:space="preserve">survey </w:t>
      </w:r>
      <w:r w:rsidR="00494231">
        <w:rPr>
          <w:rFonts w:cstheme="minorHAnsi"/>
          <w:szCs w:val="22"/>
          <w:lang w:val="en-GB"/>
        </w:rPr>
        <w:t xml:space="preserve">assay </w:t>
      </w:r>
      <w:r w:rsidR="00C61FD2">
        <w:rPr>
          <w:rFonts w:cstheme="minorHAnsi"/>
          <w:szCs w:val="22"/>
          <w:lang w:val="en-GB"/>
        </w:rPr>
        <w:t xml:space="preserve">(see text and </w:t>
      </w:r>
      <w:r w:rsidR="00DA2DD7">
        <w:rPr>
          <w:rFonts w:cstheme="minorHAnsi"/>
          <w:szCs w:val="22"/>
          <w:lang w:val="en-GB"/>
        </w:rPr>
        <w:t>Appendix Table</w:t>
      </w:r>
      <w:r w:rsidR="00C61FD2">
        <w:rPr>
          <w:rFonts w:cstheme="minorHAnsi"/>
          <w:szCs w:val="22"/>
          <w:lang w:val="en-GB"/>
        </w:rPr>
        <w:t>s 6</w:t>
      </w:r>
      <w:r w:rsidR="00856EA1">
        <w:rPr>
          <w:rFonts w:cstheme="minorHAnsi"/>
          <w:szCs w:val="22"/>
          <w:lang w:val="en-GB"/>
        </w:rPr>
        <w:t xml:space="preserve"> and 7).</w:t>
      </w:r>
    </w:p>
    <w:p w14:paraId="25984C72" w14:textId="5A4A122A" w:rsidR="00D536DB" w:rsidRPr="00A34060" w:rsidRDefault="00D536DB" w:rsidP="00D536DB">
      <w:pPr>
        <w:pStyle w:val="ListParagraph"/>
        <w:numPr>
          <w:ilvl w:val="0"/>
          <w:numId w:val="11"/>
        </w:numPr>
        <w:autoSpaceDE w:val="0"/>
        <w:autoSpaceDN w:val="0"/>
        <w:adjustRightInd w:val="0"/>
        <w:rPr>
          <w:rFonts w:cstheme="minorHAnsi"/>
          <w:szCs w:val="22"/>
          <w:lang w:val="en-GB"/>
        </w:rPr>
      </w:pPr>
      <w:r w:rsidRPr="00A34060">
        <w:rPr>
          <w:rFonts w:cstheme="minorHAnsi"/>
          <w:szCs w:val="22"/>
          <w:lang w:val="en-GB"/>
        </w:rPr>
        <w:t xml:space="preserve">When both serum retinol and </w:t>
      </w:r>
      <w:r w:rsidR="00F73FCA">
        <w:rPr>
          <w:rFonts w:cstheme="minorHAnsi"/>
          <w:szCs w:val="22"/>
          <w:lang w:val="en-GB"/>
        </w:rPr>
        <w:t>RBP</w:t>
      </w:r>
      <w:r w:rsidRPr="00A34060">
        <w:rPr>
          <w:rFonts w:cstheme="minorHAnsi"/>
          <w:szCs w:val="22"/>
          <w:lang w:val="en-GB"/>
        </w:rPr>
        <w:t xml:space="preserve"> are measured in a survey, serum retinol was used provided that it </w:t>
      </w:r>
      <w:r w:rsidR="00E41EF7">
        <w:rPr>
          <w:rFonts w:cstheme="minorHAnsi"/>
          <w:szCs w:val="22"/>
          <w:lang w:val="en-GB"/>
        </w:rPr>
        <w:t>wa</w:t>
      </w:r>
      <w:r w:rsidR="00E41EF7" w:rsidRPr="00A34060">
        <w:rPr>
          <w:rFonts w:cstheme="minorHAnsi"/>
          <w:szCs w:val="22"/>
          <w:lang w:val="en-GB"/>
        </w:rPr>
        <w:t xml:space="preserve">s </w:t>
      </w:r>
      <w:r w:rsidRPr="00A34060">
        <w:rPr>
          <w:rFonts w:cstheme="minorHAnsi"/>
          <w:szCs w:val="22"/>
          <w:lang w:val="en-GB"/>
        </w:rPr>
        <w:t xml:space="preserve">available for the full biological measurement sample. If </w:t>
      </w:r>
      <w:r w:rsidR="00F73FCA">
        <w:rPr>
          <w:rFonts w:cstheme="minorHAnsi"/>
          <w:szCs w:val="22"/>
          <w:lang w:val="en-GB"/>
        </w:rPr>
        <w:t>serum retinol</w:t>
      </w:r>
      <w:r w:rsidRPr="00A34060">
        <w:rPr>
          <w:rFonts w:cstheme="minorHAnsi"/>
          <w:szCs w:val="22"/>
          <w:lang w:val="en-GB"/>
        </w:rPr>
        <w:t xml:space="preserve"> was</w:t>
      </w:r>
      <w:r w:rsidR="00F73FCA">
        <w:rPr>
          <w:rFonts w:cstheme="minorHAnsi"/>
          <w:szCs w:val="22"/>
          <w:lang w:val="en-GB"/>
        </w:rPr>
        <w:t xml:space="preserve"> only</w:t>
      </w:r>
      <w:r w:rsidRPr="00A34060">
        <w:rPr>
          <w:rFonts w:cstheme="minorHAnsi"/>
          <w:szCs w:val="22"/>
          <w:lang w:val="en-GB"/>
        </w:rPr>
        <w:t xml:space="preserve"> available for a subsample, </w:t>
      </w:r>
      <w:r w:rsidR="00F73FCA">
        <w:rPr>
          <w:rFonts w:cstheme="minorHAnsi"/>
          <w:szCs w:val="22"/>
          <w:lang w:val="en-GB"/>
        </w:rPr>
        <w:t>RBP data</w:t>
      </w:r>
      <w:r w:rsidRPr="00A34060">
        <w:rPr>
          <w:rFonts w:cstheme="minorHAnsi"/>
          <w:szCs w:val="22"/>
          <w:lang w:val="en-GB"/>
        </w:rPr>
        <w:t xml:space="preserve"> w</w:t>
      </w:r>
      <w:r w:rsidR="00F73FCA">
        <w:rPr>
          <w:rFonts w:cstheme="minorHAnsi"/>
          <w:szCs w:val="22"/>
          <w:lang w:val="en-GB"/>
        </w:rPr>
        <w:t>ere</w:t>
      </w:r>
      <w:r w:rsidRPr="00A34060">
        <w:rPr>
          <w:rFonts w:cstheme="minorHAnsi"/>
          <w:szCs w:val="22"/>
          <w:lang w:val="en-GB"/>
        </w:rPr>
        <w:t xml:space="preserve"> used.</w:t>
      </w:r>
    </w:p>
    <w:p w14:paraId="5EB988DB" w14:textId="0127C05D" w:rsidR="00D536DB" w:rsidRPr="00A34060" w:rsidRDefault="00D536DB" w:rsidP="00D536DB">
      <w:pPr>
        <w:pStyle w:val="ListParagraph"/>
        <w:numPr>
          <w:ilvl w:val="0"/>
          <w:numId w:val="11"/>
        </w:numPr>
        <w:autoSpaceDE w:val="0"/>
        <w:autoSpaceDN w:val="0"/>
        <w:adjustRightInd w:val="0"/>
        <w:rPr>
          <w:rFonts w:cstheme="minorHAnsi"/>
          <w:szCs w:val="22"/>
          <w:lang w:val="en-GB"/>
        </w:rPr>
      </w:pPr>
      <w:r w:rsidRPr="00A34060">
        <w:rPr>
          <w:rFonts w:cstheme="minorHAnsi"/>
          <w:szCs w:val="22"/>
          <w:lang w:val="en-GB"/>
        </w:rPr>
        <w:t xml:space="preserve">For surveys with blood collection throughout the day or if the blood collection protocol was not reported, the average of the morning non-fasting and afternoon non-fasting </w:t>
      </w:r>
      <w:proofErr w:type="spellStart"/>
      <w:r w:rsidRPr="00A34060">
        <w:rPr>
          <w:rFonts w:cstheme="minorHAnsi"/>
          <w:szCs w:val="22"/>
          <w:lang w:val="en-GB"/>
        </w:rPr>
        <w:t>cutoffs</w:t>
      </w:r>
      <w:proofErr w:type="spellEnd"/>
      <w:r w:rsidRPr="00A34060">
        <w:rPr>
          <w:rFonts w:cstheme="minorHAnsi"/>
          <w:szCs w:val="22"/>
          <w:lang w:val="en-GB"/>
        </w:rPr>
        <w:t xml:space="preserve"> </w:t>
      </w:r>
      <w:r w:rsidR="00D97882" w:rsidRPr="00A34060">
        <w:rPr>
          <w:rFonts w:cstheme="minorHAnsi"/>
          <w:szCs w:val="22"/>
          <w:lang w:val="en-GB"/>
        </w:rPr>
        <w:t>w</w:t>
      </w:r>
      <w:r w:rsidR="00D97882">
        <w:rPr>
          <w:rFonts w:cstheme="minorHAnsi"/>
          <w:szCs w:val="22"/>
          <w:lang w:val="en-GB"/>
        </w:rPr>
        <w:t>as</w:t>
      </w:r>
      <w:r w:rsidR="00D97882" w:rsidRPr="00A34060">
        <w:rPr>
          <w:rFonts w:cstheme="minorHAnsi"/>
          <w:szCs w:val="22"/>
          <w:lang w:val="en-GB"/>
        </w:rPr>
        <w:t xml:space="preserve"> </w:t>
      </w:r>
      <w:r w:rsidRPr="00A34060">
        <w:rPr>
          <w:rFonts w:cstheme="minorHAnsi"/>
          <w:szCs w:val="22"/>
          <w:lang w:val="en-GB"/>
        </w:rPr>
        <w:t xml:space="preserve">used (i.e., &lt; 9.3 </w:t>
      </w:r>
      <w:proofErr w:type="spellStart"/>
      <w:r w:rsidRPr="00A34060">
        <w:rPr>
          <w:rFonts w:cstheme="minorHAnsi"/>
          <w:color w:val="000000"/>
          <w:szCs w:val="22"/>
        </w:rPr>
        <w:t>μmol</w:t>
      </w:r>
      <w:proofErr w:type="spellEnd"/>
      <w:r w:rsidRPr="00A34060">
        <w:rPr>
          <w:rFonts w:cstheme="minorHAnsi"/>
          <w:color w:val="000000"/>
          <w:szCs w:val="22"/>
        </w:rPr>
        <w:t xml:space="preserve">/L for children and &lt; 9.55 </w:t>
      </w:r>
      <w:proofErr w:type="spellStart"/>
      <w:r w:rsidRPr="00A34060">
        <w:rPr>
          <w:rFonts w:cstheme="minorHAnsi"/>
          <w:color w:val="000000"/>
          <w:szCs w:val="22"/>
        </w:rPr>
        <w:t>μmol</w:t>
      </w:r>
      <w:proofErr w:type="spellEnd"/>
      <w:r w:rsidRPr="00A34060">
        <w:rPr>
          <w:rFonts w:cstheme="minorHAnsi"/>
          <w:color w:val="000000"/>
          <w:szCs w:val="22"/>
        </w:rPr>
        <w:t>/L for women).</w:t>
      </w:r>
      <w:r w:rsidR="00DA42B2">
        <w:rPr>
          <w:rFonts w:cstheme="minorHAnsi"/>
          <w:color w:val="000000"/>
          <w:szCs w:val="22"/>
        </w:rPr>
        <w:t xml:space="preserve"> Specific thresholds used for each survey are listed in Section 5.</w:t>
      </w:r>
    </w:p>
    <w:p w14:paraId="4D65A6F0" w14:textId="5FD2714E" w:rsidR="0054267D" w:rsidRPr="00A34060" w:rsidRDefault="03C7B32C" w:rsidP="0054267D">
      <w:pPr>
        <w:pStyle w:val="Heading1"/>
        <w:rPr>
          <w:color w:val="FF0000"/>
          <w:lang w:val="en-GB"/>
        </w:rPr>
      </w:pPr>
      <w:bookmarkStart w:id="7" w:name="_Toc94512107"/>
      <w:r w:rsidRPr="03C7B32C">
        <w:rPr>
          <w:lang w:val="en-GB"/>
        </w:rPr>
        <w:t>4.  Selection of core micronutrients</w:t>
      </w:r>
      <w:bookmarkEnd w:id="7"/>
    </w:p>
    <w:p w14:paraId="4FC22EE9" w14:textId="7BE4CD62" w:rsidR="0054267D" w:rsidRPr="00A34060" w:rsidRDefault="14402C93" w:rsidP="14402C93">
      <w:pPr>
        <w:rPr>
          <w:rFonts w:cstheme="minorBidi"/>
          <w:lang w:val="en-GB"/>
        </w:rPr>
      </w:pPr>
      <w:r w:rsidRPr="14402C93">
        <w:rPr>
          <w:rFonts w:cstheme="minorBidi"/>
          <w:lang w:val="en-GB"/>
        </w:rPr>
        <w:t>Few datasets measuring all six sentinel micronutrients in the same individuals were identified (4 in non-pregnant women, 2 in pre-school aged children). Estimation of the prevalence of any of the six deficiencies would require extrapolation from these studies to all populations worldwide. Therefore, we sought to simplify the analysis by reducing the number of micronutrients included in the final analysis. Our aim was to identify a maximum of three core micronutrients that could be used to identify the majority of individuals with any micronutrient deficiency. Limiting the analysis to three micronutrient deficiencies reduce</w:t>
      </w:r>
      <w:r w:rsidR="001222A7">
        <w:rPr>
          <w:rFonts w:cstheme="minorBidi"/>
          <w:lang w:val="en-GB"/>
        </w:rPr>
        <w:t>d</w:t>
      </w:r>
      <w:r w:rsidRPr="14402C93">
        <w:rPr>
          <w:rFonts w:cstheme="minorBidi"/>
          <w:lang w:val="en-GB"/>
        </w:rPr>
        <w:t xml:space="preserve"> the number of assumptions and modelling steps that </w:t>
      </w:r>
      <w:r w:rsidR="001222A7">
        <w:rPr>
          <w:rFonts w:cstheme="minorBidi"/>
          <w:lang w:val="en-GB"/>
        </w:rPr>
        <w:t>were</w:t>
      </w:r>
      <w:r w:rsidRPr="14402C93">
        <w:rPr>
          <w:rFonts w:cstheme="minorBidi"/>
          <w:lang w:val="en-GB"/>
        </w:rPr>
        <w:t xml:space="preserve"> required. Two factors were considered: (1) micronutrient deficiencies that have a higher prevalence and/or often occur </w:t>
      </w:r>
      <w:proofErr w:type="gramStart"/>
      <w:r w:rsidRPr="14402C93">
        <w:rPr>
          <w:rFonts w:cstheme="minorBidi"/>
          <w:lang w:val="en-GB"/>
        </w:rPr>
        <w:t>alone, and</w:t>
      </w:r>
      <w:proofErr w:type="gramEnd"/>
      <w:r w:rsidRPr="14402C93">
        <w:rPr>
          <w:rFonts w:cstheme="minorBidi"/>
          <w:lang w:val="en-GB"/>
        </w:rPr>
        <w:t xml:space="preserve"> are therefore needed to capture a large proportion of individuals with any deficiency, and (2) micronutrients that are more frequently measured in the datasets initially included. Figures 1 and 2 (main paper) show the prevalence of any deficiency, by deficiency type, in surveys that measured at least 5 of the sentinel micronutrients. In these surveys, which were carried out in a variety of settings, iron deficiency and zinc deficiency frequently occurred alone for both pre-school children and non-pregnant women. These micronutrients also had the </w:t>
      </w:r>
      <w:r w:rsidRPr="14402C93">
        <w:rPr>
          <w:rFonts w:cstheme="minorBidi"/>
          <w:lang w:val="en-GB"/>
        </w:rPr>
        <w:lastRenderedPageBreak/>
        <w:t>highest median prevalence of deficiency in the initially included datasets. For non-pregnant women, folate deficiency also had a higher median prevalence of deficiency than the other sentinel micronutrients, and frequently occurred alone (main paper Figure 2). For non-pregnant women, we selected zinc, iron and folate as core micronutrients.  For children, the range of prevalence of vitamin D deficiency (IQR 2.9%-13.9%), vitamin A deficiency (IQR 4.3%-15.4%), and folate deficiency (IQR 4.2%-17.9%) were similar in the initially included datasets, while vitamin B</w:t>
      </w:r>
      <w:r w:rsidRPr="14402C93">
        <w:rPr>
          <w:rFonts w:cstheme="minorBidi"/>
          <w:vertAlign w:val="subscript"/>
          <w:lang w:val="en-GB"/>
        </w:rPr>
        <w:t>12</w:t>
      </w:r>
      <w:r w:rsidRPr="14402C93">
        <w:rPr>
          <w:rFonts w:cstheme="minorBidi"/>
          <w:lang w:val="en-GB"/>
        </w:rPr>
        <w:t xml:space="preserve"> deficiency had a lower prevalence range. Vitamin A deficiency was measured in all but two datasets (US continuous NHANES and Mexico 2006), while vitamin D deficiency was measured in just 8 of 23 initially included datasets and folate deficiency was measured in just 10 of 23 initially included surveys. Therefore, for children, we selected zinc, iron and vitamin A as core micronutrients. </w:t>
      </w:r>
    </w:p>
    <w:p w14:paraId="4FFDF5F9" w14:textId="77777777" w:rsidR="00E825C6" w:rsidRPr="00A34060" w:rsidRDefault="00E825C6" w:rsidP="0054267D">
      <w:pPr>
        <w:rPr>
          <w:rFonts w:cstheme="minorHAnsi"/>
          <w:szCs w:val="22"/>
          <w:lang w:val="en-GB"/>
        </w:rPr>
      </w:pPr>
    </w:p>
    <w:p w14:paraId="08C16A85" w14:textId="7E04022F" w:rsidR="00354A99" w:rsidRDefault="14402C93" w:rsidP="14402C93">
      <w:pPr>
        <w:rPr>
          <w:rFonts w:cstheme="minorBidi"/>
          <w:lang w:val="en-GB"/>
        </w:rPr>
      </w:pPr>
      <w:r w:rsidRPr="14402C93">
        <w:rPr>
          <w:rFonts w:cstheme="minorBidi"/>
          <w:lang w:val="en-GB"/>
        </w:rPr>
        <w:t xml:space="preserve">Appendix Figures 1 and 2 compare the prevalence of deficiency of any of the three core micronutrients to the prevalence of deficiencies of any of 5 or 6 sentinel micronutrients in the datasets that measured at least 5 sentinel micronutrients. For most surveys, the prevalence of any of the three core micronutrients is similar to that of any of the measured micronutrients. </w:t>
      </w:r>
    </w:p>
    <w:p w14:paraId="09CC1EC3" w14:textId="77777777" w:rsidR="00923EAC" w:rsidRDefault="00923EAC" w:rsidP="00BC46FE">
      <w:pPr>
        <w:rPr>
          <w:rFonts w:cstheme="minorHAnsi"/>
          <w:szCs w:val="22"/>
          <w:lang w:val="en-GB"/>
        </w:rPr>
      </w:pPr>
    </w:p>
    <w:p w14:paraId="51848A14" w14:textId="00F79B74" w:rsidR="00961425" w:rsidRPr="00354A99" w:rsidRDefault="03C7B32C" w:rsidP="14402C93">
      <w:pPr>
        <w:rPr>
          <w:rFonts w:ascii="Calibri" w:hAnsi="Calibri"/>
          <w:lang w:val="en-GB"/>
        </w:rPr>
      </w:pPr>
      <w:bookmarkStart w:id="8" w:name="_Toc94512108"/>
      <w:r w:rsidRPr="03C7B32C">
        <w:rPr>
          <w:rStyle w:val="Heading3Char"/>
        </w:rPr>
        <w:t>Appendix Figure 1. Prevalence of any of three core micronutrient deficiencies and of any measured deficiencies, children 6-59 months.</w:t>
      </w:r>
      <w:bookmarkEnd w:id="8"/>
      <w:r w:rsidRPr="03C7B32C">
        <w:rPr>
          <w:rFonts w:eastAsiaTheme="majorEastAsia"/>
        </w:rPr>
        <w:t xml:space="preserve"> S</w:t>
      </w:r>
      <w:r>
        <w:t xml:space="preserve">urveys </w:t>
      </w:r>
      <w:r w:rsidRPr="03C7B32C">
        <w:rPr>
          <w:rFonts w:cstheme="minorBidi"/>
          <w:lang w:val="en-GB"/>
        </w:rPr>
        <w:t>that measure at least 5 of 6 sentinel micronutrients are shown.</w:t>
      </w:r>
    </w:p>
    <w:p w14:paraId="64B20A63" w14:textId="77777777" w:rsidR="00961425" w:rsidRPr="00A34060" w:rsidRDefault="00961425" w:rsidP="00961425">
      <w:pPr>
        <w:rPr>
          <w:rFonts w:cstheme="minorHAnsi"/>
          <w:szCs w:val="22"/>
          <w:lang w:val="en-GB"/>
        </w:rPr>
      </w:pPr>
      <w:r>
        <w:rPr>
          <w:noProof/>
          <w:lang w:eastAsia="en-US"/>
        </w:rPr>
        <w:drawing>
          <wp:inline distT="0" distB="0" distL="0" distR="0" wp14:anchorId="0C3705C6" wp14:editId="35E5247E">
            <wp:extent cx="6188710" cy="2954655"/>
            <wp:effectExtent l="0" t="0" r="2540" b="0"/>
            <wp:docPr id="8" name="Picture 8"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lendar&#10;&#10;Description automatically generated with low confidence"/>
                    <pic:cNvPicPr/>
                  </pic:nvPicPr>
                  <pic:blipFill>
                    <a:blip r:embed="rId12"/>
                    <a:stretch>
                      <a:fillRect/>
                    </a:stretch>
                  </pic:blipFill>
                  <pic:spPr>
                    <a:xfrm>
                      <a:off x="0" y="0"/>
                      <a:ext cx="6188710" cy="2954655"/>
                    </a:xfrm>
                    <a:prstGeom prst="rect">
                      <a:avLst/>
                    </a:prstGeom>
                  </pic:spPr>
                </pic:pic>
              </a:graphicData>
            </a:graphic>
          </wp:inline>
        </w:drawing>
      </w:r>
    </w:p>
    <w:p w14:paraId="1D45721A" w14:textId="5548738C" w:rsidR="00961425" w:rsidRPr="00A34060" w:rsidRDefault="14402C93" w:rsidP="14402C93">
      <w:pPr>
        <w:rPr>
          <w:rFonts w:cstheme="minorBidi"/>
          <w:lang w:val="en-GB"/>
        </w:rPr>
      </w:pPr>
      <w:r w:rsidRPr="14402C93">
        <w:rPr>
          <w:rFonts w:cstheme="minorBidi"/>
          <w:lang w:val="en-GB"/>
        </w:rPr>
        <w:t>Note: Surveys in Mexico and Guatemala did not measure folate, the survey in Cameroon did not measure vitamin D, and Viet Nam did not measure vitamin B12. Surveys in India and Cambodia measured all six sentinel micronutrients. Age ranges varied by survey and are specified in Appendix Table 6.</w:t>
      </w:r>
    </w:p>
    <w:p w14:paraId="7DEB8BD4" w14:textId="77777777" w:rsidR="00046A49" w:rsidRDefault="00046A49" w:rsidP="00354A99">
      <w:pPr>
        <w:keepNext/>
        <w:keepLines/>
        <w:rPr>
          <w:rStyle w:val="Heading3Char"/>
        </w:rPr>
      </w:pPr>
    </w:p>
    <w:p w14:paraId="0BD3693B" w14:textId="569322E9" w:rsidR="00354A99" w:rsidRPr="00A34060" w:rsidRDefault="03C7B32C" w:rsidP="03C7B32C">
      <w:pPr>
        <w:keepNext/>
        <w:keepLines/>
        <w:rPr>
          <w:rFonts w:cstheme="minorBidi"/>
          <w:lang w:val="en-GB"/>
        </w:rPr>
      </w:pPr>
      <w:bookmarkStart w:id="9" w:name="_Toc94512109"/>
      <w:r w:rsidRPr="03C7B32C">
        <w:rPr>
          <w:rStyle w:val="Heading3Char"/>
        </w:rPr>
        <w:t>Appendix Figure 2. Prevalence of any of three core micronutrient deficiencies and of any measured deficiencies, nonpregnant women 15-49 years.</w:t>
      </w:r>
      <w:bookmarkEnd w:id="9"/>
      <w:r w:rsidRPr="03C7B32C">
        <w:rPr>
          <w:rFonts w:eastAsiaTheme="majorEastAsia"/>
        </w:rPr>
        <w:t xml:space="preserve"> S</w:t>
      </w:r>
      <w:r>
        <w:t>urveys</w:t>
      </w:r>
      <w:r w:rsidRPr="03C7B32C">
        <w:rPr>
          <w:rFonts w:cstheme="minorBidi"/>
          <w:lang w:val="en-GB"/>
        </w:rPr>
        <w:t xml:space="preserve"> that measure at least 5 of 6 sentinel micronutrients are shown.</w:t>
      </w:r>
    </w:p>
    <w:p w14:paraId="6BED06D0" w14:textId="4B56BB38" w:rsidR="00381112" w:rsidRDefault="00D60E8D" w:rsidP="00BC46FE">
      <w:pPr>
        <w:rPr>
          <w:rFonts w:cstheme="minorHAnsi"/>
          <w:b/>
          <w:bCs/>
          <w:szCs w:val="22"/>
          <w:lang w:val="en-GB"/>
        </w:rPr>
      </w:pPr>
      <w:r>
        <w:rPr>
          <w:noProof/>
          <w:lang w:eastAsia="en-US"/>
        </w:rPr>
        <w:drawing>
          <wp:inline distT="0" distB="0" distL="0" distR="0" wp14:anchorId="595933C6" wp14:editId="277C06A1">
            <wp:extent cx="6154606" cy="2953385"/>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54606" cy="2953385"/>
                    </a:xfrm>
                    <a:prstGeom prst="rect">
                      <a:avLst/>
                    </a:prstGeom>
                  </pic:spPr>
                </pic:pic>
              </a:graphicData>
            </a:graphic>
          </wp:inline>
        </w:drawing>
      </w:r>
    </w:p>
    <w:p w14:paraId="0A821F22" w14:textId="36E69E11" w:rsidR="004D236A" w:rsidRDefault="14402C93" w:rsidP="14402C93">
      <w:pPr>
        <w:rPr>
          <w:rFonts w:cstheme="minorBidi"/>
          <w:lang w:val="en-GB"/>
        </w:rPr>
      </w:pPr>
      <w:r w:rsidRPr="14402C93">
        <w:rPr>
          <w:rFonts w:cstheme="minorBidi"/>
          <w:lang w:val="en-GB"/>
        </w:rPr>
        <w:t>Notes: The following surveys did not measure vitamin D status: Bangladesh, Cameroon, Ecuador, Ethiopia, and Malawi; Ecuador data include ages 20-49 because vitamin A status was not available for women 15-19 years, India age range is 15-19 years.</w:t>
      </w:r>
    </w:p>
    <w:p w14:paraId="71C68184" w14:textId="08E00076" w:rsidR="00345229" w:rsidRPr="00A34060" w:rsidRDefault="03C7B32C" w:rsidP="009C5E0D">
      <w:pPr>
        <w:pStyle w:val="Heading1"/>
        <w:rPr>
          <w:color w:val="FF0000"/>
          <w:lang w:val="en-GB"/>
        </w:rPr>
      </w:pPr>
      <w:bookmarkStart w:id="10" w:name="_Toc94512110"/>
      <w:r w:rsidRPr="03C7B32C">
        <w:rPr>
          <w:lang w:val="en-GB"/>
        </w:rPr>
        <w:t>5.  Final inclusion of data sources</w:t>
      </w:r>
      <w:bookmarkEnd w:id="10"/>
    </w:p>
    <w:p w14:paraId="4CBD7792" w14:textId="17485766" w:rsidR="006D06E1" w:rsidRPr="00A34060" w:rsidRDefault="14402C93" w:rsidP="14402C93">
      <w:pPr>
        <w:rPr>
          <w:rFonts w:cstheme="minorBidi"/>
          <w:lang w:val="en-GB"/>
        </w:rPr>
      </w:pPr>
      <w:r w:rsidRPr="14402C93">
        <w:rPr>
          <w:rFonts w:cstheme="minorBidi"/>
          <w:lang w:val="en-GB"/>
        </w:rPr>
        <w:t xml:space="preserve">Not all datasets identified in section 3 measured all three core micronutrients. We included datasets that measured at least two of three core micronutrients, with the third imputed if needed as described in section 6. This resulted in exclusion of two datasets for nonpregnant women (Colombia ENSIN 2010 and Liberia National Micronutrient Survey 2011) and one dataset for pre-school aged children (US continuous NHANES). For continuous survey programs, we excluded cycles in which two of three micronutrients were measured, provided that cycles measuring all three core micronutrients were available. This resulted in exclusion of most cycles of the US NHANES (women) and Guatemala SIVESNU (both populations). This resulted in a total of 22 datasets covering pre-school aged children and 20 datasets covering nonpregnant women of reproductive age. These datasets, together with key characteristics, are listed in Appendix Tables 6 and 7. </w:t>
      </w:r>
    </w:p>
    <w:p w14:paraId="5D39BE04" w14:textId="77777777" w:rsidR="00C61664" w:rsidRDefault="00C61664" w:rsidP="00A76CF9">
      <w:pPr>
        <w:autoSpaceDE w:val="0"/>
        <w:autoSpaceDN w:val="0"/>
        <w:adjustRightInd w:val="0"/>
        <w:rPr>
          <w:rFonts w:cstheme="minorHAnsi"/>
          <w:szCs w:val="22"/>
          <w:lang w:val="en-GB"/>
        </w:rPr>
      </w:pPr>
    </w:p>
    <w:p w14:paraId="035C05C8" w14:textId="1695F350" w:rsidR="001E1826" w:rsidRPr="00A34060" w:rsidRDefault="14402C93" w:rsidP="14402C93">
      <w:pPr>
        <w:autoSpaceDE w:val="0"/>
        <w:autoSpaceDN w:val="0"/>
        <w:adjustRightInd w:val="0"/>
        <w:rPr>
          <w:rFonts w:cstheme="minorBidi"/>
          <w:lang w:val="en-GB"/>
        </w:rPr>
      </w:pPr>
      <w:r w:rsidRPr="14402C93">
        <w:rPr>
          <w:rFonts w:cstheme="minorBidi"/>
          <w:lang w:val="en-GB"/>
        </w:rPr>
        <w:t xml:space="preserve">For each included dataset, the quantities listed in Appendix Table 5 were computed, as permitted by the biomarkers measured by the survey. If appropriate for the survey’s design, prevalence of deficiency was computed using sample weights that reflect differential probability of selection into the sample. To reflect </w:t>
      </w:r>
      <w:r w:rsidRPr="14402C93">
        <w:rPr>
          <w:rFonts w:cstheme="minorBidi"/>
          <w:lang w:val="en-GB"/>
        </w:rPr>
        <w:lastRenderedPageBreak/>
        <w:t>the true availability of information, we estimated effective sample sizes based on the “</w:t>
      </w:r>
      <w:proofErr w:type="spellStart"/>
      <w:r w:rsidRPr="14402C93">
        <w:rPr>
          <w:rFonts w:cstheme="minorBidi"/>
          <w:i/>
          <w:iCs/>
          <w:lang w:val="en-GB"/>
        </w:rPr>
        <w:t>estat</w:t>
      </w:r>
      <w:proofErr w:type="spellEnd"/>
      <w:r w:rsidRPr="14402C93">
        <w:rPr>
          <w:rFonts w:cstheme="minorBidi"/>
          <w:i/>
          <w:iCs/>
          <w:lang w:val="en-GB"/>
        </w:rPr>
        <w:t xml:space="preserve"> effects</w:t>
      </w:r>
      <w:r w:rsidRPr="14402C93">
        <w:rPr>
          <w:rFonts w:cstheme="minorBidi"/>
          <w:lang w:val="en-GB"/>
        </w:rPr>
        <w:t xml:space="preserve">” command of the Stata version 16.1 </w:t>
      </w:r>
      <w:proofErr w:type="spellStart"/>
      <w:r w:rsidRPr="14402C93">
        <w:rPr>
          <w:rFonts w:cstheme="minorBidi"/>
          <w:lang w:val="en-GB"/>
        </w:rPr>
        <w:t>svy</w:t>
      </w:r>
      <w:proofErr w:type="spellEnd"/>
      <w:r w:rsidRPr="14402C93">
        <w:rPr>
          <w:rFonts w:cstheme="minorBidi"/>
          <w:lang w:val="en-GB"/>
        </w:rPr>
        <w:t xml:space="preserve"> suite of commands (</w:t>
      </w:r>
      <w:proofErr w:type="spellStart"/>
      <w:r w:rsidRPr="14402C93">
        <w:rPr>
          <w:rFonts w:cstheme="minorBidi"/>
          <w:lang w:val="en-GB"/>
        </w:rPr>
        <w:t>StataCorp</w:t>
      </w:r>
      <w:proofErr w:type="spellEnd"/>
      <w:r w:rsidRPr="14402C93">
        <w:rPr>
          <w:rFonts w:cstheme="minorBidi"/>
          <w:lang w:val="en-GB"/>
        </w:rPr>
        <w:t xml:space="preserve">, 2019). </w:t>
      </w:r>
    </w:p>
    <w:p w14:paraId="2DE6585B" w14:textId="78D876FE" w:rsidR="0050629B" w:rsidRPr="00A34060" w:rsidRDefault="0050629B" w:rsidP="006D06E1">
      <w:pPr>
        <w:rPr>
          <w:rFonts w:cstheme="minorHAnsi"/>
          <w:lang w:val="en-GB"/>
        </w:rPr>
      </w:pPr>
    </w:p>
    <w:p w14:paraId="4B63B88C" w14:textId="6FA5122D" w:rsidR="0050629B" w:rsidRPr="00A34060" w:rsidRDefault="03C7B32C" w:rsidP="03C7B32C">
      <w:pPr>
        <w:pStyle w:val="Heading3"/>
        <w:rPr>
          <w:rFonts w:cstheme="minorBidi"/>
          <w:lang w:val="en-GB"/>
        </w:rPr>
      </w:pPr>
      <w:bookmarkStart w:id="11" w:name="_Toc94512111"/>
      <w:r w:rsidRPr="03C7B32C">
        <w:rPr>
          <w:rFonts w:cstheme="minorBidi"/>
          <w:lang w:val="en-GB"/>
        </w:rPr>
        <w:t>Appendix Table 5. Types of prevalence computed for each survey and population.</w:t>
      </w:r>
      <w:bookmarkEnd w:id="11"/>
      <w:r w:rsidRPr="03C7B32C">
        <w:rPr>
          <w:rFonts w:cstheme="minorBidi"/>
          <w:lang w:val="en-GB"/>
        </w:rPr>
        <w:t xml:space="preserve"> </w:t>
      </w:r>
    </w:p>
    <w:tbl>
      <w:tblPr>
        <w:tblStyle w:val="PlainTable2"/>
        <w:tblW w:w="5000" w:type="pct"/>
        <w:tblLook w:val="0420" w:firstRow="1" w:lastRow="0" w:firstColumn="0" w:lastColumn="0" w:noHBand="0" w:noVBand="1"/>
      </w:tblPr>
      <w:tblGrid>
        <w:gridCol w:w="3013"/>
        <w:gridCol w:w="3431"/>
        <w:gridCol w:w="3302"/>
      </w:tblGrid>
      <w:tr w:rsidR="0050629B" w:rsidRPr="00A34060" w14:paraId="5EF605C5" w14:textId="77777777" w:rsidTr="03C7B32C">
        <w:trPr>
          <w:cnfStyle w:val="100000000000" w:firstRow="1" w:lastRow="0" w:firstColumn="0" w:lastColumn="0" w:oddVBand="0" w:evenVBand="0" w:oddHBand="0" w:evenHBand="0" w:firstRowFirstColumn="0" w:firstRowLastColumn="0" w:lastRowFirstColumn="0" w:lastRowLastColumn="0"/>
          <w:trHeight w:val="584"/>
          <w:tblHeader/>
        </w:trPr>
        <w:tc>
          <w:tcPr>
            <w:tcW w:w="1546" w:type="pct"/>
            <w:shd w:val="clear" w:color="auto" w:fill="BFBFBF" w:themeFill="background1" w:themeFillShade="BF"/>
            <w:hideMark/>
          </w:tcPr>
          <w:p w14:paraId="4BABB983" w14:textId="61CFD597" w:rsidR="0050629B" w:rsidRPr="00A34060" w:rsidRDefault="004C03B3" w:rsidP="000A7255">
            <w:pPr>
              <w:autoSpaceDE w:val="0"/>
              <w:autoSpaceDN w:val="0"/>
              <w:adjustRightInd w:val="0"/>
              <w:rPr>
                <w:rFonts w:cstheme="minorHAnsi"/>
                <w:szCs w:val="22"/>
              </w:rPr>
            </w:pPr>
            <w:r>
              <w:rPr>
                <w:rFonts w:cstheme="minorHAnsi"/>
                <w:b w:val="0"/>
                <w:bCs w:val="0"/>
                <w:szCs w:val="22"/>
              </w:rPr>
              <w:t>Metric</w:t>
            </w:r>
          </w:p>
        </w:tc>
        <w:tc>
          <w:tcPr>
            <w:tcW w:w="1760" w:type="pct"/>
            <w:shd w:val="clear" w:color="auto" w:fill="BFBFBF" w:themeFill="background1" w:themeFillShade="BF"/>
            <w:hideMark/>
          </w:tcPr>
          <w:p w14:paraId="15F8AA96" w14:textId="3D5B8A5F" w:rsidR="0050629B" w:rsidRPr="00A34060" w:rsidRDefault="0050629B" w:rsidP="000A7255">
            <w:pPr>
              <w:autoSpaceDE w:val="0"/>
              <w:autoSpaceDN w:val="0"/>
              <w:adjustRightInd w:val="0"/>
              <w:rPr>
                <w:rFonts w:cstheme="minorHAnsi"/>
                <w:szCs w:val="22"/>
              </w:rPr>
            </w:pPr>
            <w:r w:rsidRPr="00A34060">
              <w:rPr>
                <w:rFonts w:cstheme="minorHAnsi"/>
                <w:b w:val="0"/>
                <w:bCs w:val="0"/>
                <w:szCs w:val="22"/>
              </w:rPr>
              <w:t>Numerator</w:t>
            </w:r>
          </w:p>
        </w:tc>
        <w:tc>
          <w:tcPr>
            <w:tcW w:w="1694" w:type="pct"/>
            <w:shd w:val="clear" w:color="auto" w:fill="BFBFBF" w:themeFill="background1" w:themeFillShade="BF"/>
            <w:hideMark/>
          </w:tcPr>
          <w:p w14:paraId="7FB507B7" w14:textId="09A636E2" w:rsidR="0050629B" w:rsidRPr="00A34060" w:rsidRDefault="0050629B" w:rsidP="000A7255">
            <w:pPr>
              <w:autoSpaceDE w:val="0"/>
              <w:autoSpaceDN w:val="0"/>
              <w:adjustRightInd w:val="0"/>
              <w:rPr>
                <w:rFonts w:cstheme="minorHAnsi"/>
                <w:szCs w:val="22"/>
              </w:rPr>
            </w:pPr>
            <w:r w:rsidRPr="00A34060">
              <w:rPr>
                <w:rFonts w:cstheme="minorHAnsi"/>
                <w:b w:val="0"/>
                <w:bCs w:val="0"/>
                <w:szCs w:val="22"/>
              </w:rPr>
              <w:t>Denominator</w:t>
            </w:r>
          </w:p>
        </w:tc>
      </w:tr>
      <w:tr w:rsidR="009A53AC" w:rsidRPr="00A34060" w14:paraId="77DC2323" w14:textId="77777777" w:rsidTr="03C7B32C">
        <w:trPr>
          <w:cnfStyle w:val="000000100000" w:firstRow="0" w:lastRow="0" w:firstColumn="0" w:lastColumn="0" w:oddVBand="0" w:evenVBand="0" w:oddHBand="1" w:evenHBand="0" w:firstRowFirstColumn="0" w:firstRowLastColumn="0" w:lastRowFirstColumn="0" w:lastRowLastColumn="0"/>
          <w:trHeight w:val="584"/>
        </w:trPr>
        <w:tc>
          <w:tcPr>
            <w:tcW w:w="5000" w:type="pct"/>
            <w:gridSpan w:val="3"/>
            <w:shd w:val="clear" w:color="auto" w:fill="D9D9D9" w:themeFill="background1" w:themeFillShade="D9"/>
          </w:tcPr>
          <w:p w14:paraId="028D0A98" w14:textId="77777777" w:rsidR="009A53AC" w:rsidRPr="00A34060" w:rsidRDefault="009A53AC" w:rsidP="00B272AD">
            <w:pPr>
              <w:autoSpaceDE w:val="0"/>
              <w:autoSpaceDN w:val="0"/>
              <w:adjustRightInd w:val="0"/>
              <w:rPr>
                <w:rFonts w:cstheme="minorHAnsi"/>
                <w:i/>
                <w:iCs/>
                <w:szCs w:val="22"/>
              </w:rPr>
            </w:pPr>
            <w:r w:rsidRPr="00A34060">
              <w:rPr>
                <w:rFonts w:cstheme="minorHAnsi"/>
                <w:i/>
                <w:iCs/>
                <w:szCs w:val="22"/>
              </w:rPr>
              <w:t>Preschool aged children aged 6-59 months</w:t>
            </w:r>
          </w:p>
        </w:tc>
      </w:tr>
      <w:tr w:rsidR="009A53AC" w:rsidRPr="00A34060" w14:paraId="10931A14" w14:textId="77777777" w:rsidTr="03C7B32C">
        <w:trPr>
          <w:trHeight w:val="584"/>
        </w:trPr>
        <w:tc>
          <w:tcPr>
            <w:tcW w:w="1546" w:type="pct"/>
          </w:tcPr>
          <w:p w14:paraId="533CDF37" w14:textId="77777777" w:rsidR="009A53AC" w:rsidRPr="00A34060" w:rsidRDefault="009A53AC" w:rsidP="00B272AD">
            <w:pPr>
              <w:autoSpaceDE w:val="0"/>
              <w:autoSpaceDN w:val="0"/>
              <w:adjustRightInd w:val="0"/>
              <w:rPr>
                <w:rFonts w:cstheme="minorHAnsi"/>
                <w:szCs w:val="22"/>
              </w:rPr>
            </w:pPr>
            <w:r w:rsidRPr="00A34060">
              <w:rPr>
                <w:rFonts w:cstheme="minorHAnsi"/>
                <w:szCs w:val="22"/>
              </w:rPr>
              <w:t>Prevalence of any core micronutrient deficiency</w:t>
            </w:r>
          </w:p>
        </w:tc>
        <w:tc>
          <w:tcPr>
            <w:tcW w:w="1760" w:type="pct"/>
          </w:tcPr>
          <w:p w14:paraId="614C284E" w14:textId="77777777" w:rsidR="009A53AC" w:rsidRPr="00A34060" w:rsidRDefault="009A53AC" w:rsidP="00B272AD">
            <w:pPr>
              <w:autoSpaceDE w:val="0"/>
              <w:autoSpaceDN w:val="0"/>
              <w:adjustRightInd w:val="0"/>
              <w:rPr>
                <w:rFonts w:cstheme="minorHAnsi"/>
                <w:szCs w:val="22"/>
              </w:rPr>
            </w:pPr>
            <w:r w:rsidRPr="00A34060">
              <w:rPr>
                <w:rFonts w:cstheme="minorHAnsi"/>
                <w:szCs w:val="22"/>
              </w:rPr>
              <w:t>Any child who is iron deficient, vitamin A deficient, or zinc deficient</w:t>
            </w:r>
          </w:p>
        </w:tc>
        <w:tc>
          <w:tcPr>
            <w:tcW w:w="1694" w:type="pct"/>
          </w:tcPr>
          <w:p w14:paraId="41B324AF" w14:textId="77777777" w:rsidR="009A53AC" w:rsidRPr="00A34060" w:rsidRDefault="009A53AC" w:rsidP="00B272AD">
            <w:pPr>
              <w:autoSpaceDE w:val="0"/>
              <w:autoSpaceDN w:val="0"/>
              <w:adjustRightInd w:val="0"/>
              <w:rPr>
                <w:rFonts w:cstheme="minorHAnsi"/>
                <w:szCs w:val="22"/>
              </w:rPr>
            </w:pPr>
            <w:r w:rsidRPr="00A34060">
              <w:rPr>
                <w:rFonts w:cstheme="minorHAnsi"/>
                <w:szCs w:val="22"/>
              </w:rPr>
              <w:t xml:space="preserve">All </w:t>
            </w:r>
            <w:r>
              <w:rPr>
                <w:rFonts w:cstheme="minorHAnsi"/>
                <w:szCs w:val="22"/>
              </w:rPr>
              <w:t xml:space="preserve">children </w:t>
            </w:r>
            <w:r w:rsidRPr="00A34060">
              <w:rPr>
                <w:rFonts w:cstheme="minorHAnsi"/>
                <w:szCs w:val="22"/>
              </w:rPr>
              <w:t>with valid measurements of serum ferritin, vitamin A status, and serum zinc</w:t>
            </w:r>
          </w:p>
        </w:tc>
      </w:tr>
      <w:tr w:rsidR="009A53AC" w:rsidRPr="00A34060" w14:paraId="53C0426D" w14:textId="77777777" w:rsidTr="03C7B32C">
        <w:trPr>
          <w:cnfStyle w:val="000000100000" w:firstRow="0" w:lastRow="0" w:firstColumn="0" w:lastColumn="0" w:oddVBand="0" w:evenVBand="0" w:oddHBand="1" w:evenHBand="0" w:firstRowFirstColumn="0" w:firstRowLastColumn="0" w:lastRowFirstColumn="0" w:lastRowLastColumn="0"/>
          <w:trHeight w:val="584"/>
        </w:trPr>
        <w:tc>
          <w:tcPr>
            <w:tcW w:w="1546" w:type="pct"/>
          </w:tcPr>
          <w:p w14:paraId="765C3632" w14:textId="2BFB384E" w:rsidR="009A53AC" w:rsidRPr="00A34060" w:rsidRDefault="14402C93" w:rsidP="14402C93">
            <w:pPr>
              <w:autoSpaceDE w:val="0"/>
              <w:autoSpaceDN w:val="0"/>
              <w:adjustRightInd w:val="0"/>
              <w:rPr>
                <w:rFonts w:cstheme="minorBidi"/>
              </w:rPr>
            </w:pPr>
            <w:r w:rsidRPr="14402C93">
              <w:rPr>
                <w:rFonts w:cstheme="minorBidi"/>
              </w:rPr>
              <w:t>Prevalence of either iron or vitamin A deficiency</w:t>
            </w:r>
          </w:p>
        </w:tc>
        <w:tc>
          <w:tcPr>
            <w:tcW w:w="1760" w:type="pct"/>
          </w:tcPr>
          <w:p w14:paraId="4A982090" w14:textId="77777777" w:rsidR="009A53AC" w:rsidRPr="00A34060" w:rsidRDefault="009A53AC" w:rsidP="00B272AD">
            <w:pPr>
              <w:autoSpaceDE w:val="0"/>
              <w:autoSpaceDN w:val="0"/>
              <w:adjustRightInd w:val="0"/>
              <w:rPr>
                <w:rFonts w:cstheme="minorHAnsi"/>
                <w:szCs w:val="22"/>
              </w:rPr>
            </w:pPr>
            <w:r w:rsidRPr="00A34060">
              <w:rPr>
                <w:rFonts w:cstheme="minorHAnsi"/>
                <w:szCs w:val="22"/>
              </w:rPr>
              <w:t>Any child who is iron deficient or vitamin A deficient</w:t>
            </w:r>
          </w:p>
        </w:tc>
        <w:tc>
          <w:tcPr>
            <w:tcW w:w="1694" w:type="pct"/>
          </w:tcPr>
          <w:p w14:paraId="49260CA7" w14:textId="77777777" w:rsidR="009A53AC" w:rsidRPr="00A34060" w:rsidRDefault="009A53AC" w:rsidP="00B272AD">
            <w:pPr>
              <w:autoSpaceDE w:val="0"/>
              <w:autoSpaceDN w:val="0"/>
              <w:adjustRightInd w:val="0"/>
              <w:rPr>
                <w:rFonts w:cstheme="minorHAnsi"/>
                <w:szCs w:val="22"/>
              </w:rPr>
            </w:pPr>
            <w:r w:rsidRPr="00A34060">
              <w:rPr>
                <w:rFonts w:cstheme="minorHAnsi"/>
                <w:szCs w:val="22"/>
              </w:rPr>
              <w:t xml:space="preserve">All </w:t>
            </w:r>
            <w:r>
              <w:rPr>
                <w:rFonts w:cstheme="minorHAnsi"/>
                <w:szCs w:val="22"/>
              </w:rPr>
              <w:t xml:space="preserve">children </w:t>
            </w:r>
            <w:r w:rsidRPr="00A34060">
              <w:rPr>
                <w:rFonts w:cstheme="minorHAnsi"/>
                <w:szCs w:val="22"/>
              </w:rPr>
              <w:t>with valid measurements of serum ferritin and vitamin A status</w:t>
            </w:r>
          </w:p>
        </w:tc>
      </w:tr>
      <w:tr w:rsidR="009A53AC" w:rsidRPr="00A34060" w14:paraId="658078FB" w14:textId="77777777" w:rsidTr="03C7B32C">
        <w:trPr>
          <w:trHeight w:val="584"/>
        </w:trPr>
        <w:tc>
          <w:tcPr>
            <w:tcW w:w="1546" w:type="pct"/>
          </w:tcPr>
          <w:p w14:paraId="11C12EAF" w14:textId="6828DD01" w:rsidR="009A53AC" w:rsidRPr="00A34060" w:rsidRDefault="14402C93" w:rsidP="14402C93">
            <w:pPr>
              <w:autoSpaceDE w:val="0"/>
              <w:autoSpaceDN w:val="0"/>
              <w:adjustRightInd w:val="0"/>
              <w:rPr>
                <w:rFonts w:cstheme="minorBidi"/>
              </w:rPr>
            </w:pPr>
            <w:r w:rsidRPr="14402C93">
              <w:rPr>
                <w:rFonts w:cstheme="minorBidi"/>
              </w:rPr>
              <w:t>Prevalence of either iron or zinc deficiency</w:t>
            </w:r>
          </w:p>
        </w:tc>
        <w:tc>
          <w:tcPr>
            <w:tcW w:w="1760" w:type="pct"/>
          </w:tcPr>
          <w:p w14:paraId="3B28B64F" w14:textId="77777777" w:rsidR="009A53AC" w:rsidRPr="00A34060" w:rsidRDefault="009A53AC" w:rsidP="00B272AD">
            <w:pPr>
              <w:autoSpaceDE w:val="0"/>
              <w:autoSpaceDN w:val="0"/>
              <w:adjustRightInd w:val="0"/>
              <w:rPr>
                <w:rFonts w:cstheme="minorHAnsi"/>
                <w:szCs w:val="22"/>
              </w:rPr>
            </w:pPr>
            <w:r w:rsidRPr="00A34060">
              <w:rPr>
                <w:rFonts w:cstheme="minorHAnsi"/>
                <w:szCs w:val="22"/>
              </w:rPr>
              <w:t>Any child who is iron deficient or zinc deficient</w:t>
            </w:r>
          </w:p>
        </w:tc>
        <w:tc>
          <w:tcPr>
            <w:tcW w:w="1694" w:type="pct"/>
          </w:tcPr>
          <w:p w14:paraId="23E6BA29" w14:textId="77777777" w:rsidR="009A53AC" w:rsidRPr="00A34060" w:rsidRDefault="009A53AC" w:rsidP="00B272AD">
            <w:pPr>
              <w:autoSpaceDE w:val="0"/>
              <w:autoSpaceDN w:val="0"/>
              <w:adjustRightInd w:val="0"/>
              <w:rPr>
                <w:rFonts w:cstheme="minorHAnsi"/>
                <w:szCs w:val="22"/>
              </w:rPr>
            </w:pPr>
            <w:r w:rsidRPr="00A34060">
              <w:rPr>
                <w:rFonts w:cstheme="minorHAnsi"/>
                <w:szCs w:val="22"/>
              </w:rPr>
              <w:t xml:space="preserve">All </w:t>
            </w:r>
            <w:r>
              <w:rPr>
                <w:rFonts w:cstheme="minorHAnsi"/>
                <w:szCs w:val="22"/>
              </w:rPr>
              <w:t xml:space="preserve">children </w:t>
            </w:r>
            <w:r w:rsidRPr="00A34060">
              <w:rPr>
                <w:rFonts w:cstheme="minorHAnsi"/>
                <w:szCs w:val="22"/>
              </w:rPr>
              <w:t>with valid measurements of serum ferritin and serum zinc</w:t>
            </w:r>
          </w:p>
        </w:tc>
      </w:tr>
      <w:tr w:rsidR="009A53AC" w:rsidRPr="00A34060" w14:paraId="18DB6C37" w14:textId="77777777" w:rsidTr="03C7B32C">
        <w:trPr>
          <w:cnfStyle w:val="000000100000" w:firstRow="0" w:lastRow="0" w:firstColumn="0" w:lastColumn="0" w:oddVBand="0" w:evenVBand="0" w:oddHBand="1" w:evenHBand="0" w:firstRowFirstColumn="0" w:firstRowLastColumn="0" w:lastRowFirstColumn="0" w:lastRowLastColumn="0"/>
          <w:trHeight w:val="584"/>
        </w:trPr>
        <w:tc>
          <w:tcPr>
            <w:tcW w:w="1546" w:type="pct"/>
            <w:hideMark/>
          </w:tcPr>
          <w:p w14:paraId="0CAE16F8" w14:textId="77777777" w:rsidR="009A53AC" w:rsidRPr="00A34060" w:rsidRDefault="14402C93" w:rsidP="14402C93">
            <w:pPr>
              <w:autoSpaceDE w:val="0"/>
              <w:autoSpaceDN w:val="0"/>
              <w:adjustRightInd w:val="0"/>
              <w:rPr>
                <w:rFonts w:cstheme="minorBidi"/>
                <w:lang w:val="es-MX"/>
              </w:rPr>
            </w:pPr>
            <w:r w:rsidRPr="14402C93">
              <w:rPr>
                <w:rFonts w:cstheme="minorBidi"/>
                <w:lang w:val="es-MX"/>
              </w:rPr>
              <w:t>p(zinc deficiency|no vitamin A deficiency, no iron deficiency)</w:t>
            </w:r>
          </w:p>
        </w:tc>
        <w:tc>
          <w:tcPr>
            <w:tcW w:w="1760" w:type="pct"/>
          </w:tcPr>
          <w:p w14:paraId="0DB3DD25" w14:textId="77777777" w:rsidR="009A53AC" w:rsidRPr="00A34060" w:rsidRDefault="009A53AC" w:rsidP="00B272AD">
            <w:pPr>
              <w:autoSpaceDE w:val="0"/>
              <w:autoSpaceDN w:val="0"/>
              <w:adjustRightInd w:val="0"/>
              <w:rPr>
                <w:rFonts w:cstheme="minorHAnsi"/>
                <w:szCs w:val="22"/>
              </w:rPr>
            </w:pPr>
            <w:r w:rsidRPr="00A34060">
              <w:rPr>
                <w:rFonts w:cstheme="minorHAnsi"/>
                <w:szCs w:val="22"/>
              </w:rPr>
              <w:t>Any child who is zinc deficient</w:t>
            </w:r>
          </w:p>
        </w:tc>
        <w:tc>
          <w:tcPr>
            <w:tcW w:w="1694" w:type="pct"/>
            <w:hideMark/>
          </w:tcPr>
          <w:p w14:paraId="48379EFF" w14:textId="1C233E7F" w:rsidR="009A53AC" w:rsidRPr="00A34060" w:rsidRDefault="14402C93" w:rsidP="14402C93">
            <w:pPr>
              <w:autoSpaceDE w:val="0"/>
              <w:autoSpaceDN w:val="0"/>
              <w:adjustRightInd w:val="0"/>
              <w:rPr>
                <w:rFonts w:cstheme="minorBidi"/>
              </w:rPr>
            </w:pPr>
            <w:r w:rsidRPr="14402C93">
              <w:rPr>
                <w:rFonts w:cstheme="minorBidi"/>
              </w:rPr>
              <w:t>All children who are not iron or vitamin A deficient, and who have valid measurements of serum ferritin, vitamin A status, and serum zinc</w:t>
            </w:r>
          </w:p>
        </w:tc>
      </w:tr>
      <w:tr w:rsidR="009A53AC" w:rsidRPr="00A34060" w14:paraId="2857DCC0" w14:textId="77777777" w:rsidTr="03C7B32C">
        <w:trPr>
          <w:trHeight w:val="584"/>
        </w:trPr>
        <w:tc>
          <w:tcPr>
            <w:tcW w:w="1546" w:type="pct"/>
            <w:hideMark/>
          </w:tcPr>
          <w:p w14:paraId="34D329B6" w14:textId="77777777" w:rsidR="009A53AC" w:rsidRPr="00A34060" w:rsidRDefault="009A53AC" w:rsidP="00B272AD">
            <w:pPr>
              <w:autoSpaceDE w:val="0"/>
              <w:autoSpaceDN w:val="0"/>
              <w:adjustRightInd w:val="0"/>
              <w:rPr>
                <w:rFonts w:cstheme="minorHAnsi"/>
                <w:szCs w:val="22"/>
              </w:rPr>
            </w:pPr>
            <w:r w:rsidRPr="00A34060">
              <w:rPr>
                <w:rFonts w:cstheme="minorHAnsi"/>
                <w:szCs w:val="22"/>
                <w:lang w:val="es-MX"/>
              </w:rPr>
              <w:t>p(vitamin A deficiency|no zinc deficiency, no iron deficiency)</w:t>
            </w:r>
          </w:p>
        </w:tc>
        <w:tc>
          <w:tcPr>
            <w:tcW w:w="1760" w:type="pct"/>
            <w:hideMark/>
          </w:tcPr>
          <w:p w14:paraId="23F3F9A5" w14:textId="77777777" w:rsidR="009A53AC" w:rsidRPr="00A34060" w:rsidRDefault="009A53AC" w:rsidP="00B272AD">
            <w:pPr>
              <w:autoSpaceDE w:val="0"/>
              <w:autoSpaceDN w:val="0"/>
              <w:adjustRightInd w:val="0"/>
              <w:rPr>
                <w:rFonts w:cstheme="minorHAnsi"/>
                <w:szCs w:val="22"/>
              </w:rPr>
            </w:pPr>
            <w:r w:rsidRPr="00A34060">
              <w:rPr>
                <w:rFonts w:cstheme="minorHAnsi"/>
                <w:szCs w:val="22"/>
              </w:rPr>
              <w:t>Any child who is vitamin A deficient</w:t>
            </w:r>
          </w:p>
        </w:tc>
        <w:tc>
          <w:tcPr>
            <w:tcW w:w="1694" w:type="pct"/>
            <w:hideMark/>
          </w:tcPr>
          <w:p w14:paraId="61BCF034" w14:textId="77777777" w:rsidR="009A53AC" w:rsidRPr="00A34060" w:rsidRDefault="009A53AC" w:rsidP="00B272AD">
            <w:pPr>
              <w:autoSpaceDE w:val="0"/>
              <w:autoSpaceDN w:val="0"/>
              <w:adjustRightInd w:val="0"/>
              <w:rPr>
                <w:rFonts w:cstheme="minorHAnsi"/>
                <w:szCs w:val="22"/>
              </w:rPr>
            </w:pPr>
            <w:r w:rsidRPr="00A34060">
              <w:rPr>
                <w:rFonts w:cstheme="minorHAnsi"/>
                <w:szCs w:val="22"/>
              </w:rPr>
              <w:t xml:space="preserve">All </w:t>
            </w:r>
            <w:r>
              <w:rPr>
                <w:rFonts w:cstheme="minorHAnsi"/>
                <w:szCs w:val="22"/>
              </w:rPr>
              <w:t xml:space="preserve">children </w:t>
            </w:r>
            <w:r w:rsidRPr="00A34060">
              <w:rPr>
                <w:rFonts w:cstheme="minorHAnsi"/>
                <w:szCs w:val="22"/>
              </w:rPr>
              <w:t>who are not zinc or iron deficient, and who have valid measurements of serum ferritin, vitamin A status, and serum zinc</w:t>
            </w:r>
          </w:p>
        </w:tc>
      </w:tr>
      <w:tr w:rsidR="0050629B" w:rsidRPr="00A34060" w14:paraId="4F290C60" w14:textId="77777777" w:rsidTr="03C7B32C">
        <w:trPr>
          <w:cnfStyle w:val="000000100000" w:firstRow="0" w:lastRow="0" w:firstColumn="0" w:lastColumn="0" w:oddVBand="0" w:evenVBand="0" w:oddHBand="1" w:evenHBand="0" w:firstRowFirstColumn="0" w:firstRowLastColumn="0" w:lastRowFirstColumn="0" w:lastRowLastColumn="0"/>
          <w:trHeight w:val="584"/>
        </w:trPr>
        <w:tc>
          <w:tcPr>
            <w:tcW w:w="5000" w:type="pct"/>
            <w:gridSpan w:val="3"/>
            <w:shd w:val="clear" w:color="auto" w:fill="D9D9D9" w:themeFill="background1" w:themeFillShade="D9"/>
          </w:tcPr>
          <w:p w14:paraId="4DD3BDE6" w14:textId="23721987" w:rsidR="0050629B" w:rsidRPr="00A34060" w:rsidRDefault="0050629B" w:rsidP="000A7255">
            <w:pPr>
              <w:autoSpaceDE w:val="0"/>
              <w:autoSpaceDN w:val="0"/>
              <w:adjustRightInd w:val="0"/>
              <w:rPr>
                <w:rFonts w:cstheme="minorHAnsi"/>
                <w:i/>
                <w:iCs/>
                <w:szCs w:val="22"/>
              </w:rPr>
            </w:pPr>
            <w:r w:rsidRPr="00A34060">
              <w:rPr>
                <w:rFonts w:cstheme="minorHAnsi"/>
                <w:i/>
                <w:iCs/>
                <w:szCs w:val="22"/>
              </w:rPr>
              <w:t>Non-pregnant women</w:t>
            </w:r>
            <w:r w:rsidR="000A7255" w:rsidRPr="00A34060">
              <w:rPr>
                <w:rFonts w:cstheme="minorHAnsi"/>
                <w:i/>
                <w:iCs/>
                <w:szCs w:val="22"/>
              </w:rPr>
              <w:t xml:space="preserve"> aged 15-49</w:t>
            </w:r>
          </w:p>
        </w:tc>
      </w:tr>
      <w:tr w:rsidR="0050629B" w:rsidRPr="00A34060" w14:paraId="47E1B73A" w14:textId="77777777" w:rsidTr="03C7B32C">
        <w:trPr>
          <w:trHeight w:val="584"/>
        </w:trPr>
        <w:tc>
          <w:tcPr>
            <w:tcW w:w="1546" w:type="pct"/>
          </w:tcPr>
          <w:p w14:paraId="0FAC377A" w14:textId="2BB94541" w:rsidR="0050629B" w:rsidRPr="00A34060" w:rsidRDefault="0050629B" w:rsidP="000A7255">
            <w:pPr>
              <w:autoSpaceDE w:val="0"/>
              <w:autoSpaceDN w:val="0"/>
              <w:adjustRightInd w:val="0"/>
              <w:rPr>
                <w:rFonts w:cstheme="minorHAnsi"/>
                <w:szCs w:val="22"/>
              </w:rPr>
            </w:pPr>
            <w:r w:rsidRPr="00A34060">
              <w:rPr>
                <w:rFonts w:cstheme="minorHAnsi"/>
                <w:szCs w:val="22"/>
              </w:rPr>
              <w:t>Prevalence of any core micronutrient deficiency</w:t>
            </w:r>
          </w:p>
        </w:tc>
        <w:tc>
          <w:tcPr>
            <w:tcW w:w="1760" w:type="pct"/>
          </w:tcPr>
          <w:p w14:paraId="5CD8EBB5" w14:textId="74BF57BE" w:rsidR="0050629B" w:rsidRPr="00A34060" w:rsidRDefault="0050629B" w:rsidP="000A7255">
            <w:pPr>
              <w:autoSpaceDE w:val="0"/>
              <w:autoSpaceDN w:val="0"/>
              <w:adjustRightInd w:val="0"/>
              <w:rPr>
                <w:rFonts w:cstheme="minorHAnsi"/>
                <w:szCs w:val="22"/>
              </w:rPr>
            </w:pPr>
            <w:r w:rsidRPr="00A34060">
              <w:rPr>
                <w:rFonts w:cstheme="minorHAnsi"/>
                <w:szCs w:val="22"/>
              </w:rPr>
              <w:t xml:space="preserve">Any </w:t>
            </w:r>
            <w:r w:rsidR="00C34E28">
              <w:rPr>
                <w:rFonts w:cstheme="minorHAnsi"/>
                <w:szCs w:val="22"/>
              </w:rPr>
              <w:t>woman</w:t>
            </w:r>
            <w:r w:rsidRPr="00A34060">
              <w:rPr>
                <w:rFonts w:cstheme="minorHAnsi"/>
                <w:szCs w:val="22"/>
              </w:rPr>
              <w:t xml:space="preserve"> who is iron deficient, folate deficient, or zinc deficient</w:t>
            </w:r>
          </w:p>
        </w:tc>
        <w:tc>
          <w:tcPr>
            <w:tcW w:w="1694" w:type="pct"/>
          </w:tcPr>
          <w:p w14:paraId="08D754ED" w14:textId="09618A06" w:rsidR="0050629B" w:rsidRPr="00A34060" w:rsidRDefault="14402C93" w:rsidP="14402C93">
            <w:pPr>
              <w:autoSpaceDE w:val="0"/>
              <w:autoSpaceDN w:val="0"/>
              <w:adjustRightInd w:val="0"/>
              <w:rPr>
                <w:rFonts w:cstheme="minorBidi"/>
              </w:rPr>
            </w:pPr>
            <w:r w:rsidRPr="14402C93">
              <w:rPr>
                <w:rFonts w:cstheme="minorBidi"/>
              </w:rPr>
              <w:t>All women with valid measurements for serum ferritin, folate status, and serum zinc</w:t>
            </w:r>
          </w:p>
        </w:tc>
      </w:tr>
      <w:tr w:rsidR="0050629B" w:rsidRPr="00A34060" w14:paraId="2150CCFE" w14:textId="77777777" w:rsidTr="03C7B32C">
        <w:trPr>
          <w:cnfStyle w:val="000000100000" w:firstRow="0" w:lastRow="0" w:firstColumn="0" w:lastColumn="0" w:oddVBand="0" w:evenVBand="0" w:oddHBand="1" w:evenHBand="0" w:firstRowFirstColumn="0" w:firstRowLastColumn="0" w:lastRowFirstColumn="0" w:lastRowLastColumn="0"/>
          <w:trHeight w:val="584"/>
        </w:trPr>
        <w:tc>
          <w:tcPr>
            <w:tcW w:w="1546" w:type="pct"/>
          </w:tcPr>
          <w:p w14:paraId="4C316AFE" w14:textId="24A46BEB" w:rsidR="0050629B" w:rsidRPr="00A34060" w:rsidRDefault="14402C93" w:rsidP="14402C93">
            <w:pPr>
              <w:autoSpaceDE w:val="0"/>
              <w:autoSpaceDN w:val="0"/>
              <w:adjustRightInd w:val="0"/>
              <w:rPr>
                <w:rFonts w:cstheme="minorBidi"/>
              </w:rPr>
            </w:pPr>
            <w:r w:rsidRPr="14402C93">
              <w:rPr>
                <w:rFonts w:cstheme="minorBidi"/>
              </w:rPr>
              <w:t>Prevalence of either iron or folate deficiency</w:t>
            </w:r>
          </w:p>
        </w:tc>
        <w:tc>
          <w:tcPr>
            <w:tcW w:w="1760" w:type="pct"/>
          </w:tcPr>
          <w:p w14:paraId="1EE2715C" w14:textId="7F9A7866" w:rsidR="0050629B" w:rsidRPr="00A34060" w:rsidRDefault="0050629B" w:rsidP="000A7255">
            <w:pPr>
              <w:autoSpaceDE w:val="0"/>
              <w:autoSpaceDN w:val="0"/>
              <w:adjustRightInd w:val="0"/>
              <w:rPr>
                <w:rFonts w:cstheme="minorHAnsi"/>
                <w:szCs w:val="22"/>
              </w:rPr>
            </w:pPr>
            <w:r w:rsidRPr="00A34060">
              <w:rPr>
                <w:rFonts w:cstheme="minorHAnsi"/>
                <w:szCs w:val="22"/>
              </w:rPr>
              <w:t xml:space="preserve">Any </w:t>
            </w:r>
            <w:r w:rsidR="00C34E28">
              <w:rPr>
                <w:rFonts w:cstheme="minorHAnsi"/>
                <w:szCs w:val="22"/>
              </w:rPr>
              <w:t>woman</w:t>
            </w:r>
            <w:r w:rsidR="00C34E28" w:rsidRPr="00A34060">
              <w:rPr>
                <w:rFonts w:cstheme="minorHAnsi"/>
                <w:szCs w:val="22"/>
              </w:rPr>
              <w:t xml:space="preserve"> </w:t>
            </w:r>
            <w:r w:rsidRPr="00A34060">
              <w:rPr>
                <w:rFonts w:cstheme="minorHAnsi"/>
                <w:szCs w:val="22"/>
              </w:rPr>
              <w:t>who is iron deficient</w:t>
            </w:r>
            <w:r w:rsidR="000A7255" w:rsidRPr="00A34060">
              <w:rPr>
                <w:rFonts w:cstheme="minorHAnsi"/>
                <w:szCs w:val="22"/>
              </w:rPr>
              <w:t xml:space="preserve"> or</w:t>
            </w:r>
            <w:r w:rsidRPr="00A34060">
              <w:rPr>
                <w:rFonts w:cstheme="minorHAnsi"/>
                <w:szCs w:val="22"/>
              </w:rPr>
              <w:t xml:space="preserve"> folate deficient</w:t>
            </w:r>
          </w:p>
        </w:tc>
        <w:tc>
          <w:tcPr>
            <w:tcW w:w="1694" w:type="pct"/>
          </w:tcPr>
          <w:p w14:paraId="70239D27" w14:textId="60C4B0B8" w:rsidR="0050629B" w:rsidRPr="00A34060" w:rsidRDefault="0050629B" w:rsidP="000A7255">
            <w:pPr>
              <w:autoSpaceDE w:val="0"/>
              <w:autoSpaceDN w:val="0"/>
              <w:adjustRightInd w:val="0"/>
              <w:rPr>
                <w:rFonts w:cstheme="minorHAnsi"/>
                <w:szCs w:val="22"/>
              </w:rPr>
            </w:pPr>
            <w:r w:rsidRPr="00A34060">
              <w:rPr>
                <w:rFonts w:cstheme="minorHAnsi"/>
                <w:szCs w:val="22"/>
              </w:rPr>
              <w:t xml:space="preserve">All </w:t>
            </w:r>
            <w:r w:rsidR="00C34E28">
              <w:rPr>
                <w:rFonts w:cstheme="minorHAnsi"/>
                <w:szCs w:val="22"/>
              </w:rPr>
              <w:t>women</w:t>
            </w:r>
            <w:r w:rsidR="00C34E28" w:rsidRPr="00A34060">
              <w:rPr>
                <w:rFonts w:cstheme="minorHAnsi"/>
                <w:szCs w:val="22"/>
              </w:rPr>
              <w:t xml:space="preserve"> </w:t>
            </w:r>
            <w:r w:rsidRPr="00A34060">
              <w:rPr>
                <w:rFonts w:cstheme="minorHAnsi"/>
                <w:szCs w:val="22"/>
              </w:rPr>
              <w:t xml:space="preserve">with valid measurements </w:t>
            </w:r>
            <w:r w:rsidR="00F035CF" w:rsidRPr="00A34060">
              <w:rPr>
                <w:rFonts w:cstheme="minorHAnsi"/>
                <w:szCs w:val="22"/>
              </w:rPr>
              <w:t>of</w:t>
            </w:r>
            <w:r w:rsidRPr="00A34060">
              <w:rPr>
                <w:rFonts w:cstheme="minorHAnsi"/>
                <w:szCs w:val="22"/>
              </w:rPr>
              <w:t xml:space="preserve"> serum ferritin a</w:t>
            </w:r>
            <w:r w:rsidR="000A7255" w:rsidRPr="00A34060">
              <w:rPr>
                <w:rFonts w:cstheme="minorHAnsi"/>
                <w:szCs w:val="22"/>
              </w:rPr>
              <w:t>nd</w:t>
            </w:r>
            <w:r w:rsidR="00F035CF" w:rsidRPr="00A34060">
              <w:rPr>
                <w:rFonts w:cstheme="minorHAnsi"/>
                <w:szCs w:val="22"/>
              </w:rPr>
              <w:t xml:space="preserve"> </w:t>
            </w:r>
            <w:r w:rsidRPr="00A34060">
              <w:rPr>
                <w:rFonts w:cstheme="minorHAnsi"/>
                <w:szCs w:val="22"/>
              </w:rPr>
              <w:t>folate status</w:t>
            </w:r>
          </w:p>
        </w:tc>
      </w:tr>
      <w:tr w:rsidR="0050629B" w:rsidRPr="00A34060" w14:paraId="19D10218" w14:textId="77777777" w:rsidTr="03C7B32C">
        <w:trPr>
          <w:trHeight w:val="584"/>
        </w:trPr>
        <w:tc>
          <w:tcPr>
            <w:tcW w:w="1546" w:type="pct"/>
          </w:tcPr>
          <w:p w14:paraId="33D4EE70" w14:textId="2C9F6D61" w:rsidR="0050629B" w:rsidRPr="00A34060" w:rsidRDefault="14402C93" w:rsidP="14402C93">
            <w:pPr>
              <w:autoSpaceDE w:val="0"/>
              <w:autoSpaceDN w:val="0"/>
              <w:adjustRightInd w:val="0"/>
              <w:rPr>
                <w:rFonts w:cstheme="minorBidi"/>
              </w:rPr>
            </w:pPr>
            <w:r w:rsidRPr="14402C93">
              <w:rPr>
                <w:rFonts w:cstheme="minorBidi"/>
              </w:rPr>
              <w:lastRenderedPageBreak/>
              <w:t>Prevalence of either iron or zinc deficiency</w:t>
            </w:r>
          </w:p>
        </w:tc>
        <w:tc>
          <w:tcPr>
            <w:tcW w:w="1760" w:type="pct"/>
          </w:tcPr>
          <w:p w14:paraId="0ACC0114" w14:textId="6125208E" w:rsidR="0050629B" w:rsidRPr="00A34060" w:rsidRDefault="0050629B" w:rsidP="000A7255">
            <w:pPr>
              <w:autoSpaceDE w:val="0"/>
              <w:autoSpaceDN w:val="0"/>
              <w:adjustRightInd w:val="0"/>
              <w:rPr>
                <w:rFonts w:cstheme="minorHAnsi"/>
                <w:szCs w:val="22"/>
              </w:rPr>
            </w:pPr>
            <w:r w:rsidRPr="00A34060">
              <w:rPr>
                <w:rFonts w:cstheme="minorHAnsi"/>
                <w:szCs w:val="22"/>
              </w:rPr>
              <w:t xml:space="preserve">Any </w:t>
            </w:r>
            <w:r w:rsidR="00C34E28">
              <w:rPr>
                <w:rFonts w:cstheme="minorHAnsi"/>
                <w:szCs w:val="22"/>
              </w:rPr>
              <w:t>woman</w:t>
            </w:r>
            <w:r w:rsidR="00C34E28" w:rsidRPr="00A34060">
              <w:rPr>
                <w:rFonts w:cstheme="minorHAnsi"/>
                <w:szCs w:val="22"/>
              </w:rPr>
              <w:t xml:space="preserve"> </w:t>
            </w:r>
            <w:r w:rsidRPr="00A34060">
              <w:rPr>
                <w:rFonts w:cstheme="minorHAnsi"/>
                <w:szCs w:val="22"/>
              </w:rPr>
              <w:t>who is iron deficient</w:t>
            </w:r>
            <w:r w:rsidR="000A7255" w:rsidRPr="00A34060">
              <w:rPr>
                <w:rFonts w:cstheme="minorHAnsi"/>
                <w:szCs w:val="22"/>
              </w:rPr>
              <w:t xml:space="preserve"> </w:t>
            </w:r>
            <w:r w:rsidRPr="00A34060">
              <w:rPr>
                <w:rFonts w:cstheme="minorHAnsi"/>
                <w:szCs w:val="22"/>
              </w:rPr>
              <w:t>or zinc deficient</w:t>
            </w:r>
          </w:p>
        </w:tc>
        <w:tc>
          <w:tcPr>
            <w:tcW w:w="1694" w:type="pct"/>
          </w:tcPr>
          <w:p w14:paraId="4F520D31" w14:textId="7B13E209" w:rsidR="0050629B" w:rsidRPr="00A34060" w:rsidRDefault="0050629B" w:rsidP="000A7255">
            <w:pPr>
              <w:autoSpaceDE w:val="0"/>
              <w:autoSpaceDN w:val="0"/>
              <w:adjustRightInd w:val="0"/>
              <w:rPr>
                <w:rFonts w:cstheme="minorHAnsi"/>
                <w:szCs w:val="22"/>
              </w:rPr>
            </w:pPr>
            <w:r w:rsidRPr="00A34060">
              <w:rPr>
                <w:rFonts w:cstheme="minorHAnsi"/>
                <w:szCs w:val="22"/>
              </w:rPr>
              <w:t xml:space="preserve">All </w:t>
            </w:r>
            <w:r w:rsidR="00C34E28">
              <w:rPr>
                <w:rFonts w:cstheme="minorHAnsi"/>
                <w:szCs w:val="22"/>
              </w:rPr>
              <w:t>women</w:t>
            </w:r>
            <w:r w:rsidR="00C34E28" w:rsidRPr="00A34060">
              <w:rPr>
                <w:rFonts w:cstheme="minorHAnsi"/>
                <w:szCs w:val="22"/>
              </w:rPr>
              <w:t xml:space="preserve"> </w:t>
            </w:r>
            <w:r w:rsidRPr="00A34060">
              <w:rPr>
                <w:rFonts w:cstheme="minorHAnsi"/>
                <w:szCs w:val="22"/>
              </w:rPr>
              <w:t xml:space="preserve">with valid measurements </w:t>
            </w:r>
            <w:r w:rsidR="00F035CF" w:rsidRPr="00A34060">
              <w:rPr>
                <w:rFonts w:cstheme="minorHAnsi"/>
                <w:szCs w:val="22"/>
              </w:rPr>
              <w:t>of</w:t>
            </w:r>
            <w:r w:rsidRPr="00A34060">
              <w:rPr>
                <w:rFonts w:cstheme="minorHAnsi"/>
                <w:szCs w:val="22"/>
              </w:rPr>
              <w:t xml:space="preserve"> serum ferritin</w:t>
            </w:r>
            <w:r w:rsidR="000A7255" w:rsidRPr="00A34060">
              <w:rPr>
                <w:rFonts w:cstheme="minorHAnsi"/>
                <w:szCs w:val="22"/>
              </w:rPr>
              <w:t xml:space="preserve"> </w:t>
            </w:r>
            <w:r w:rsidRPr="00A34060">
              <w:rPr>
                <w:rFonts w:cstheme="minorHAnsi"/>
                <w:szCs w:val="22"/>
              </w:rPr>
              <w:t>and serum zinc</w:t>
            </w:r>
          </w:p>
        </w:tc>
      </w:tr>
      <w:tr w:rsidR="0050629B" w:rsidRPr="00A34060" w14:paraId="34956725" w14:textId="77777777" w:rsidTr="03C7B32C">
        <w:trPr>
          <w:cnfStyle w:val="000000100000" w:firstRow="0" w:lastRow="0" w:firstColumn="0" w:lastColumn="0" w:oddVBand="0" w:evenVBand="0" w:oddHBand="1" w:evenHBand="0" w:firstRowFirstColumn="0" w:firstRowLastColumn="0" w:lastRowFirstColumn="0" w:lastRowLastColumn="0"/>
          <w:trHeight w:val="584"/>
        </w:trPr>
        <w:tc>
          <w:tcPr>
            <w:tcW w:w="1546" w:type="pct"/>
            <w:hideMark/>
          </w:tcPr>
          <w:p w14:paraId="1F482E03" w14:textId="6ACEE6AC" w:rsidR="0050629B" w:rsidRPr="00A34060" w:rsidRDefault="03C7B32C" w:rsidP="03C7B32C">
            <w:pPr>
              <w:autoSpaceDE w:val="0"/>
              <w:autoSpaceDN w:val="0"/>
              <w:adjustRightInd w:val="0"/>
              <w:rPr>
                <w:rFonts w:cstheme="minorBidi"/>
              </w:rPr>
            </w:pPr>
            <w:r w:rsidRPr="03C7B32C">
              <w:rPr>
                <w:rFonts w:cstheme="minorBidi"/>
                <w:lang w:val="es-MX"/>
              </w:rPr>
              <w:t>p(zinc deficiency|no folate deficiency, no iron deficiency)</w:t>
            </w:r>
          </w:p>
        </w:tc>
        <w:tc>
          <w:tcPr>
            <w:tcW w:w="1760" w:type="pct"/>
            <w:hideMark/>
          </w:tcPr>
          <w:p w14:paraId="2F19DB98" w14:textId="7E713F62" w:rsidR="0050629B" w:rsidRPr="00A34060" w:rsidRDefault="000A7255" w:rsidP="000A7255">
            <w:pPr>
              <w:autoSpaceDE w:val="0"/>
              <w:autoSpaceDN w:val="0"/>
              <w:adjustRightInd w:val="0"/>
              <w:rPr>
                <w:rFonts w:cstheme="minorHAnsi"/>
                <w:szCs w:val="22"/>
              </w:rPr>
            </w:pPr>
            <w:r w:rsidRPr="00A34060">
              <w:rPr>
                <w:rFonts w:cstheme="minorHAnsi"/>
                <w:szCs w:val="22"/>
              </w:rPr>
              <w:t>Any woman who is zinc deficient</w:t>
            </w:r>
          </w:p>
        </w:tc>
        <w:tc>
          <w:tcPr>
            <w:tcW w:w="1694" w:type="pct"/>
            <w:hideMark/>
          </w:tcPr>
          <w:p w14:paraId="0E0A1A08" w14:textId="48A72236" w:rsidR="0050629B" w:rsidRPr="00A34060" w:rsidRDefault="14402C93" w:rsidP="14402C93">
            <w:pPr>
              <w:autoSpaceDE w:val="0"/>
              <w:autoSpaceDN w:val="0"/>
              <w:adjustRightInd w:val="0"/>
              <w:rPr>
                <w:rFonts w:cstheme="minorBidi"/>
              </w:rPr>
            </w:pPr>
            <w:r w:rsidRPr="14402C93">
              <w:rPr>
                <w:rFonts w:cstheme="minorBidi"/>
              </w:rPr>
              <w:t>All women who are not iron or folate deficient, and who have valid measurements of serum ferritin, folate status, and serum zinc</w:t>
            </w:r>
          </w:p>
        </w:tc>
      </w:tr>
      <w:tr w:rsidR="0050629B" w:rsidRPr="00A34060" w14:paraId="2BD6A066" w14:textId="77777777" w:rsidTr="03C7B32C">
        <w:trPr>
          <w:cantSplit/>
          <w:trHeight w:val="584"/>
        </w:trPr>
        <w:tc>
          <w:tcPr>
            <w:tcW w:w="1546" w:type="pct"/>
            <w:hideMark/>
          </w:tcPr>
          <w:p w14:paraId="62A2BFCB" w14:textId="558457F5" w:rsidR="0050629B" w:rsidRPr="00A34060" w:rsidRDefault="000A7255" w:rsidP="000A7255">
            <w:pPr>
              <w:autoSpaceDE w:val="0"/>
              <w:autoSpaceDN w:val="0"/>
              <w:adjustRightInd w:val="0"/>
              <w:rPr>
                <w:rFonts w:cstheme="minorHAnsi"/>
                <w:szCs w:val="22"/>
              </w:rPr>
            </w:pPr>
            <w:r w:rsidRPr="00A34060">
              <w:rPr>
                <w:rFonts w:cstheme="minorHAnsi"/>
                <w:szCs w:val="22"/>
                <w:lang w:val="es-MX"/>
              </w:rPr>
              <w:t>p(folate deficiency|no zinc deficiency, no iron deficiency)</w:t>
            </w:r>
          </w:p>
        </w:tc>
        <w:tc>
          <w:tcPr>
            <w:tcW w:w="1760" w:type="pct"/>
            <w:hideMark/>
          </w:tcPr>
          <w:p w14:paraId="18A4C848" w14:textId="0876D2EC" w:rsidR="0050629B" w:rsidRPr="00A34060" w:rsidRDefault="000A7255" w:rsidP="000A7255">
            <w:pPr>
              <w:autoSpaceDE w:val="0"/>
              <w:autoSpaceDN w:val="0"/>
              <w:adjustRightInd w:val="0"/>
              <w:rPr>
                <w:rFonts w:cstheme="minorHAnsi"/>
                <w:szCs w:val="22"/>
              </w:rPr>
            </w:pPr>
            <w:r w:rsidRPr="00A34060">
              <w:rPr>
                <w:rFonts w:cstheme="minorHAnsi"/>
                <w:szCs w:val="22"/>
              </w:rPr>
              <w:t>Any woman who is folate deficient</w:t>
            </w:r>
          </w:p>
        </w:tc>
        <w:tc>
          <w:tcPr>
            <w:tcW w:w="1694" w:type="pct"/>
            <w:hideMark/>
          </w:tcPr>
          <w:p w14:paraId="04A43D77" w14:textId="483F246C" w:rsidR="0050629B" w:rsidRPr="00A34060" w:rsidRDefault="14402C93" w:rsidP="14402C93">
            <w:pPr>
              <w:autoSpaceDE w:val="0"/>
              <w:autoSpaceDN w:val="0"/>
              <w:adjustRightInd w:val="0"/>
              <w:rPr>
                <w:rFonts w:cstheme="minorBidi"/>
              </w:rPr>
            </w:pPr>
            <w:r w:rsidRPr="14402C93">
              <w:rPr>
                <w:rFonts w:cstheme="minorBidi"/>
              </w:rPr>
              <w:t>All women who are not zinc or iron deficient, and who have valid measurements for serum ferritin, folate status, and serum zinc</w:t>
            </w:r>
          </w:p>
        </w:tc>
      </w:tr>
    </w:tbl>
    <w:p w14:paraId="2359E99C" w14:textId="0B18C322" w:rsidR="0050629B" w:rsidRPr="00A34060" w:rsidRDefault="03C7B32C" w:rsidP="03C7B32C">
      <w:pPr>
        <w:rPr>
          <w:rFonts w:cstheme="minorBidi"/>
          <w:lang w:val="en-GB"/>
        </w:rPr>
      </w:pPr>
      <w:r w:rsidRPr="03C7B32C">
        <w:rPr>
          <w:rFonts w:cstheme="minorBidi"/>
          <w:lang w:val="en-GB"/>
        </w:rPr>
        <w:t>Note: Biomarkers were adjusted for inflammation if indicated, as described in Appendix section 3. Surveys which did not measure AGP or CRP were excluded. However, if an individual had a valid micronutrient biomarker value but an invalid or missing marker of inflammation, the individual was included without adjusting biomarker values for inflammation.</w:t>
      </w:r>
    </w:p>
    <w:p w14:paraId="5ED19C34" w14:textId="77777777" w:rsidR="00833B9E" w:rsidRPr="00A34060" w:rsidRDefault="00833B9E" w:rsidP="006D06E1">
      <w:pPr>
        <w:rPr>
          <w:rFonts w:cstheme="minorHAnsi"/>
          <w:highlight w:val="yellow"/>
          <w:lang w:val="en-GB"/>
        </w:rPr>
      </w:pPr>
    </w:p>
    <w:p w14:paraId="639E08F7" w14:textId="77777777" w:rsidR="0050629B" w:rsidRPr="00A34060" w:rsidRDefault="0050629B" w:rsidP="006D06E1">
      <w:pPr>
        <w:rPr>
          <w:rFonts w:cstheme="minorHAnsi"/>
          <w:lang w:val="en-GB"/>
        </w:rPr>
      </w:pPr>
    </w:p>
    <w:p w14:paraId="722294D1" w14:textId="77777777" w:rsidR="0050629B" w:rsidRPr="00A34060" w:rsidRDefault="0050629B" w:rsidP="006D06E1">
      <w:pPr>
        <w:rPr>
          <w:rFonts w:cstheme="minorHAnsi"/>
          <w:lang w:val="en-GB"/>
        </w:rPr>
      </w:pPr>
    </w:p>
    <w:p w14:paraId="1C9F9A4F" w14:textId="77777777" w:rsidR="0050629B" w:rsidRPr="00A34060" w:rsidRDefault="0050629B" w:rsidP="006D06E1">
      <w:pPr>
        <w:rPr>
          <w:rFonts w:cstheme="minorHAnsi"/>
          <w:lang w:val="en-GB"/>
        </w:rPr>
      </w:pPr>
    </w:p>
    <w:p w14:paraId="2F36EC92" w14:textId="33B407E5" w:rsidR="0050629B" w:rsidRPr="00A34060" w:rsidRDefault="0050629B" w:rsidP="006D06E1">
      <w:pPr>
        <w:rPr>
          <w:rFonts w:cstheme="minorHAnsi"/>
          <w:lang w:val="en-GB"/>
        </w:rPr>
        <w:sectPr w:rsidR="0050629B" w:rsidRPr="00A34060" w:rsidSect="00073660">
          <w:headerReference w:type="even" r:id="rId14"/>
          <w:headerReference w:type="default" r:id="rId15"/>
          <w:footerReference w:type="even" r:id="rId16"/>
          <w:footerReference w:type="default" r:id="rId17"/>
          <w:headerReference w:type="first" r:id="rId18"/>
          <w:footerReference w:type="first" r:id="rId19"/>
          <w:pgSz w:w="11906" w:h="16838"/>
          <w:pgMar w:top="1440" w:right="1080" w:bottom="1440" w:left="1080" w:header="708" w:footer="708" w:gutter="0"/>
          <w:cols w:space="708"/>
          <w:titlePg/>
          <w:docGrid w:linePitch="360"/>
        </w:sectPr>
      </w:pPr>
    </w:p>
    <w:p w14:paraId="26D8B4D3" w14:textId="54EF3CC9" w:rsidR="009A53AC" w:rsidRPr="00EA1CC4" w:rsidRDefault="03C7B32C" w:rsidP="009A53AC">
      <w:pPr>
        <w:spacing w:after="200" w:line="276" w:lineRule="auto"/>
      </w:pPr>
      <w:bookmarkStart w:id="12" w:name="_Toc94512112"/>
      <w:r w:rsidRPr="03C7B32C">
        <w:rPr>
          <w:rStyle w:val="Heading3Char"/>
          <w:rFonts w:cstheme="minorBidi"/>
        </w:rPr>
        <w:lastRenderedPageBreak/>
        <w:t>Appendix Table 6. Included data sources and their characteristics (children 6-59 month</w:t>
      </w:r>
      <w:r w:rsidR="006C35BB">
        <w:rPr>
          <w:rStyle w:val="Heading3Char"/>
          <w:rFonts w:cstheme="minorBidi"/>
        </w:rPr>
        <w:t>s)</w:t>
      </w:r>
      <w:bookmarkEnd w:id="12"/>
      <w:r w:rsidRPr="03C7B32C">
        <w:rPr>
          <w:rFonts w:eastAsiaTheme="majorEastAsia"/>
        </w:rPr>
        <w:t>. All data sources are nationally representative household surveys that measured at least one measure of inflammation (either AGP or CRP). Surveys are categorized as having measured iron deficiency if serum ferritin has been measured, as having measured vitamin A if serum retinol or RBP has been measured, and zinc if serum zinc is measured. Sample size noted here refers to the sample size for the core deficiencies measured in the survey.</w:t>
      </w:r>
    </w:p>
    <w:tbl>
      <w:tblPr>
        <w:tblW w:w="14035" w:type="dxa"/>
        <w:tblInd w:w="113" w:type="dxa"/>
        <w:tblLook w:val="04A0" w:firstRow="1" w:lastRow="0" w:firstColumn="1" w:lastColumn="0" w:noHBand="0" w:noVBand="1"/>
      </w:tblPr>
      <w:tblGrid>
        <w:gridCol w:w="1240"/>
        <w:gridCol w:w="879"/>
        <w:gridCol w:w="975"/>
        <w:gridCol w:w="1118"/>
        <w:gridCol w:w="1776"/>
        <w:gridCol w:w="1060"/>
        <w:gridCol w:w="1019"/>
        <w:gridCol w:w="999"/>
        <w:gridCol w:w="4969"/>
      </w:tblGrid>
      <w:tr w:rsidR="009A53AC" w:rsidRPr="00D663F8" w14:paraId="3DC526E4" w14:textId="77777777" w:rsidTr="00B272AD">
        <w:trPr>
          <w:trHeight w:val="1110"/>
          <w:tblHeader/>
        </w:trPr>
        <w:tc>
          <w:tcPr>
            <w:tcW w:w="12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9DDCA4" w14:textId="77777777" w:rsidR="009A53AC" w:rsidRPr="00D663F8" w:rsidRDefault="009A53AC" w:rsidP="00B272AD">
            <w:pPr>
              <w:spacing w:line="240" w:lineRule="auto"/>
              <w:rPr>
                <w:rFonts w:ascii="Calibri" w:hAnsi="Calibri" w:cs="Calibri"/>
                <w:b/>
                <w:bCs/>
                <w:color w:val="000000"/>
                <w:sz w:val="20"/>
                <w:lang w:eastAsia="en-US"/>
              </w:rPr>
            </w:pPr>
            <w:r w:rsidRPr="00D663F8">
              <w:rPr>
                <w:rFonts w:ascii="Calibri" w:hAnsi="Calibri" w:cs="Calibri"/>
                <w:b/>
                <w:bCs/>
                <w:color w:val="000000"/>
                <w:sz w:val="20"/>
                <w:lang w:eastAsia="en-US"/>
              </w:rPr>
              <w:t>Country</w:t>
            </w:r>
          </w:p>
        </w:tc>
        <w:tc>
          <w:tcPr>
            <w:tcW w:w="879" w:type="dxa"/>
            <w:tcBorders>
              <w:top w:val="single" w:sz="4" w:space="0" w:color="auto"/>
              <w:left w:val="nil"/>
              <w:bottom w:val="single" w:sz="4" w:space="0" w:color="auto"/>
              <w:right w:val="single" w:sz="4" w:space="0" w:color="auto"/>
            </w:tcBorders>
            <w:shd w:val="clear" w:color="auto" w:fill="auto"/>
            <w:vAlign w:val="bottom"/>
            <w:hideMark/>
          </w:tcPr>
          <w:p w14:paraId="5D265F2F" w14:textId="77777777" w:rsidR="009A53AC" w:rsidRPr="00D663F8" w:rsidRDefault="009A53AC" w:rsidP="00B272AD">
            <w:pPr>
              <w:spacing w:line="240" w:lineRule="auto"/>
              <w:rPr>
                <w:rFonts w:ascii="Calibri" w:hAnsi="Calibri" w:cs="Calibri"/>
                <w:b/>
                <w:bCs/>
                <w:color w:val="000000"/>
                <w:sz w:val="20"/>
                <w:lang w:eastAsia="en-US"/>
              </w:rPr>
            </w:pPr>
            <w:r w:rsidRPr="00D663F8">
              <w:rPr>
                <w:rFonts w:ascii="Calibri" w:hAnsi="Calibri" w:cs="Calibri"/>
                <w:b/>
                <w:bCs/>
                <w:color w:val="000000"/>
                <w:sz w:val="20"/>
                <w:lang w:eastAsia="en-US"/>
              </w:rPr>
              <w:t>Years</w:t>
            </w:r>
          </w:p>
        </w:tc>
        <w:tc>
          <w:tcPr>
            <w:tcW w:w="975" w:type="dxa"/>
            <w:tcBorders>
              <w:top w:val="single" w:sz="4" w:space="0" w:color="auto"/>
              <w:left w:val="nil"/>
              <w:bottom w:val="single" w:sz="4" w:space="0" w:color="auto"/>
              <w:right w:val="single" w:sz="4" w:space="0" w:color="auto"/>
            </w:tcBorders>
            <w:shd w:val="clear" w:color="auto" w:fill="auto"/>
            <w:vAlign w:val="bottom"/>
            <w:hideMark/>
          </w:tcPr>
          <w:p w14:paraId="241E8596" w14:textId="77777777" w:rsidR="009A53AC" w:rsidRPr="00D663F8" w:rsidRDefault="009A53AC" w:rsidP="00B272AD">
            <w:pPr>
              <w:spacing w:line="240" w:lineRule="auto"/>
              <w:rPr>
                <w:rFonts w:ascii="Calibri" w:hAnsi="Calibri" w:cs="Calibri"/>
                <w:b/>
                <w:bCs/>
                <w:color w:val="000000"/>
                <w:sz w:val="20"/>
                <w:lang w:eastAsia="en-US"/>
              </w:rPr>
            </w:pPr>
            <w:r w:rsidRPr="00D663F8">
              <w:rPr>
                <w:rFonts w:ascii="Calibri" w:hAnsi="Calibri" w:cs="Calibri"/>
                <w:b/>
                <w:bCs/>
                <w:color w:val="000000"/>
                <w:sz w:val="20"/>
                <w:lang w:eastAsia="en-US"/>
              </w:rPr>
              <w:t>Age range (months)</w:t>
            </w:r>
          </w:p>
        </w:tc>
        <w:tc>
          <w:tcPr>
            <w:tcW w:w="1118" w:type="dxa"/>
            <w:tcBorders>
              <w:top w:val="single" w:sz="4" w:space="0" w:color="auto"/>
              <w:left w:val="nil"/>
              <w:bottom w:val="single" w:sz="4" w:space="0" w:color="auto"/>
              <w:right w:val="single" w:sz="4" w:space="0" w:color="auto"/>
            </w:tcBorders>
            <w:shd w:val="clear" w:color="auto" w:fill="auto"/>
            <w:vAlign w:val="bottom"/>
            <w:hideMark/>
          </w:tcPr>
          <w:p w14:paraId="41F79A78" w14:textId="77777777" w:rsidR="009A53AC" w:rsidRPr="00D663F8" w:rsidRDefault="009A53AC" w:rsidP="00B272AD">
            <w:pPr>
              <w:spacing w:line="240" w:lineRule="auto"/>
              <w:rPr>
                <w:rFonts w:ascii="Calibri" w:hAnsi="Calibri" w:cs="Calibri"/>
                <w:b/>
                <w:bCs/>
                <w:color w:val="000000"/>
                <w:sz w:val="20"/>
                <w:lang w:eastAsia="en-US"/>
              </w:rPr>
            </w:pPr>
            <w:r w:rsidRPr="00D663F8">
              <w:rPr>
                <w:rFonts w:ascii="Calibri" w:hAnsi="Calibri" w:cs="Calibri"/>
                <w:b/>
                <w:bCs/>
                <w:color w:val="000000"/>
                <w:sz w:val="20"/>
                <w:lang w:eastAsia="en-US"/>
              </w:rPr>
              <w:t>Sample size</w:t>
            </w:r>
          </w:p>
        </w:tc>
        <w:tc>
          <w:tcPr>
            <w:tcW w:w="1776" w:type="dxa"/>
            <w:tcBorders>
              <w:top w:val="single" w:sz="4" w:space="0" w:color="auto"/>
              <w:left w:val="nil"/>
              <w:bottom w:val="single" w:sz="4" w:space="0" w:color="auto"/>
              <w:right w:val="single" w:sz="4" w:space="0" w:color="auto"/>
            </w:tcBorders>
            <w:shd w:val="clear" w:color="auto" w:fill="auto"/>
            <w:vAlign w:val="bottom"/>
            <w:hideMark/>
          </w:tcPr>
          <w:p w14:paraId="52EDB24D" w14:textId="77777777" w:rsidR="009A53AC" w:rsidRPr="00D663F8" w:rsidRDefault="009A53AC" w:rsidP="00B272AD">
            <w:pPr>
              <w:spacing w:line="240" w:lineRule="auto"/>
              <w:rPr>
                <w:rFonts w:ascii="Calibri" w:hAnsi="Calibri" w:cs="Calibri"/>
                <w:b/>
                <w:bCs/>
                <w:color w:val="000000"/>
                <w:sz w:val="20"/>
                <w:lang w:eastAsia="en-US"/>
              </w:rPr>
            </w:pPr>
            <w:r>
              <w:rPr>
                <w:rFonts w:ascii="Calibri" w:hAnsi="Calibri" w:cs="Calibri"/>
                <w:b/>
                <w:bCs/>
                <w:color w:val="000000"/>
                <w:sz w:val="20"/>
                <w:lang w:eastAsia="en-US"/>
              </w:rPr>
              <w:t>Core d</w:t>
            </w:r>
            <w:r w:rsidRPr="00D663F8">
              <w:rPr>
                <w:rFonts w:ascii="Calibri" w:hAnsi="Calibri" w:cs="Calibri"/>
                <w:b/>
                <w:bCs/>
                <w:color w:val="000000"/>
                <w:sz w:val="20"/>
                <w:lang w:eastAsia="en-US"/>
              </w:rPr>
              <w:t>eficiencies measured</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14:paraId="03DE2378" w14:textId="77777777" w:rsidR="009A53AC" w:rsidRPr="00D663F8" w:rsidRDefault="009A53AC" w:rsidP="00B272AD">
            <w:pPr>
              <w:spacing w:line="240" w:lineRule="auto"/>
              <w:rPr>
                <w:rFonts w:ascii="Calibri" w:hAnsi="Calibri" w:cs="Calibri"/>
                <w:b/>
                <w:bCs/>
                <w:color w:val="000000"/>
                <w:sz w:val="20"/>
                <w:lang w:eastAsia="en-US"/>
              </w:rPr>
            </w:pPr>
            <w:r w:rsidRPr="00D663F8">
              <w:rPr>
                <w:rFonts w:ascii="Calibri" w:hAnsi="Calibri" w:cs="Calibri"/>
                <w:b/>
                <w:bCs/>
                <w:color w:val="000000"/>
                <w:sz w:val="20"/>
                <w:lang w:eastAsia="en-US"/>
              </w:rPr>
              <w:t>Zinc deficiency cutoff (</w:t>
            </w:r>
            <w:proofErr w:type="spellStart"/>
            <w:r w:rsidRPr="00D663F8">
              <w:rPr>
                <w:rFonts w:ascii="Calibri" w:hAnsi="Calibri" w:cs="Calibri"/>
                <w:b/>
                <w:bCs/>
                <w:color w:val="000000"/>
                <w:sz w:val="20"/>
                <w:lang w:eastAsia="en-US"/>
              </w:rPr>
              <w:t>μmol</w:t>
            </w:r>
            <w:proofErr w:type="spellEnd"/>
            <w:r w:rsidRPr="00D663F8">
              <w:rPr>
                <w:rFonts w:ascii="Calibri" w:hAnsi="Calibri" w:cs="Calibri"/>
                <w:b/>
                <w:bCs/>
                <w:color w:val="000000"/>
                <w:sz w:val="20"/>
                <w:lang w:eastAsia="en-US"/>
              </w:rPr>
              <w:t>/l)</w:t>
            </w:r>
          </w:p>
        </w:tc>
        <w:tc>
          <w:tcPr>
            <w:tcW w:w="1019" w:type="dxa"/>
            <w:tcBorders>
              <w:top w:val="single" w:sz="4" w:space="0" w:color="auto"/>
              <w:left w:val="nil"/>
              <w:bottom w:val="single" w:sz="4" w:space="0" w:color="auto"/>
              <w:right w:val="single" w:sz="4" w:space="0" w:color="auto"/>
            </w:tcBorders>
            <w:shd w:val="clear" w:color="auto" w:fill="auto"/>
            <w:vAlign w:val="bottom"/>
            <w:hideMark/>
          </w:tcPr>
          <w:p w14:paraId="7C0370DB" w14:textId="77777777" w:rsidR="009A53AC" w:rsidRPr="00D663F8" w:rsidRDefault="009A53AC" w:rsidP="00B272AD">
            <w:pPr>
              <w:spacing w:line="240" w:lineRule="auto"/>
              <w:rPr>
                <w:rFonts w:ascii="Calibri" w:hAnsi="Calibri" w:cs="Calibri"/>
                <w:b/>
                <w:bCs/>
                <w:color w:val="000000"/>
                <w:sz w:val="20"/>
                <w:lang w:eastAsia="en-US"/>
              </w:rPr>
            </w:pPr>
            <w:r w:rsidRPr="00D663F8">
              <w:rPr>
                <w:rFonts w:ascii="Calibri" w:hAnsi="Calibri" w:cs="Calibri"/>
                <w:b/>
                <w:bCs/>
                <w:color w:val="000000"/>
                <w:sz w:val="20"/>
                <w:lang w:eastAsia="en-US"/>
              </w:rPr>
              <w:t>Serum folate cutoff (nmol/l)</w:t>
            </w:r>
          </w:p>
        </w:tc>
        <w:tc>
          <w:tcPr>
            <w:tcW w:w="999" w:type="dxa"/>
            <w:tcBorders>
              <w:top w:val="single" w:sz="4" w:space="0" w:color="auto"/>
              <w:left w:val="nil"/>
              <w:bottom w:val="single" w:sz="4" w:space="0" w:color="auto"/>
              <w:right w:val="single" w:sz="4" w:space="0" w:color="auto"/>
            </w:tcBorders>
            <w:shd w:val="clear" w:color="auto" w:fill="auto"/>
            <w:vAlign w:val="bottom"/>
            <w:hideMark/>
          </w:tcPr>
          <w:p w14:paraId="2B0D7F97" w14:textId="77777777" w:rsidR="009A53AC" w:rsidRPr="00D663F8" w:rsidRDefault="009A53AC" w:rsidP="00B272AD">
            <w:pPr>
              <w:spacing w:line="240" w:lineRule="auto"/>
              <w:rPr>
                <w:rFonts w:ascii="Calibri" w:hAnsi="Calibri" w:cs="Calibri"/>
                <w:b/>
                <w:bCs/>
                <w:color w:val="000000"/>
                <w:sz w:val="20"/>
                <w:lang w:eastAsia="en-US"/>
              </w:rPr>
            </w:pPr>
            <w:r w:rsidRPr="00D663F8">
              <w:rPr>
                <w:rFonts w:ascii="Calibri" w:hAnsi="Calibri" w:cs="Calibri"/>
                <w:b/>
                <w:bCs/>
                <w:color w:val="000000"/>
                <w:sz w:val="20"/>
                <w:lang w:eastAsia="en-US"/>
              </w:rPr>
              <w:t>RBC folate cutoff (nmol/l)</w:t>
            </w:r>
          </w:p>
        </w:tc>
        <w:tc>
          <w:tcPr>
            <w:tcW w:w="4969" w:type="dxa"/>
            <w:tcBorders>
              <w:top w:val="single" w:sz="4" w:space="0" w:color="auto"/>
              <w:left w:val="nil"/>
              <w:bottom w:val="single" w:sz="4" w:space="0" w:color="auto"/>
              <w:right w:val="single" w:sz="4" w:space="0" w:color="auto"/>
            </w:tcBorders>
            <w:shd w:val="clear" w:color="auto" w:fill="auto"/>
            <w:vAlign w:val="bottom"/>
            <w:hideMark/>
          </w:tcPr>
          <w:p w14:paraId="3FE48B6A" w14:textId="77777777" w:rsidR="009A53AC" w:rsidRPr="00D663F8" w:rsidRDefault="009A53AC" w:rsidP="00B272AD">
            <w:pPr>
              <w:spacing w:line="240" w:lineRule="auto"/>
              <w:rPr>
                <w:rFonts w:ascii="Calibri" w:hAnsi="Calibri" w:cs="Calibri"/>
                <w:b/>
                <w:bCs/>
                <w:color w:val="000000"/>
                <w:sz w:val="20"/>
                <w:lang w:eastAsia="en-US"/>
              </w:rPr>
            </w:pPr>
            <w:r w:rsidRPr="00D663F8">
              <w:rPr>
                <w:rFonts w:ascii="Calibri" w:hAnsi="Calibri" w:cs="Calibri"/>
                <w:b/>
                <w:bCs/>
                <w:color w:val="000000"/>
                <w:sz w:val="20"/>
                <w:lang w:eastAsia="en-US"/>
              </w:rPr>
              <w:t>Data source</w:t>
            </w:r>
          </w:p>
        </w:tc>
      </w:tr>
      <w:tr w:rsidR="009A53AC" w:rsidRPr="00D663F8" w14:paraId="663A9C8D" w14:textId="77777777" w:rsidTr="00B272AD">
        <w:trPr>
          <w:trHeight w:val="30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F71DA4F"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Afghanistan</w:t>
            </w:r>
          </w:p>
        </w:tc>
        <w:tc>
          <w:tcPr>
            <w:tcW w:w="879" w:type="dxa"/>
            <w:tcBorders>
              <w:top w:val="nil"/>
              <w:left w:val="nil"/>
              <w:bottom w:val="single" w:sz="4" w:space="0" w:color="auto"/>
              <w:right w:val="single" w:sz="4" w:space="0" w:color="auto"/>
            </w:tcBorders>
            <w:shd w:val="clear" w:color="auto" w:fill="auto"/>
            <w:vAlign w:val="bottom"/>
            <w:hideMark/>
          </w:tcPr>
          <w:p w14:paraId="5DD0EE9A"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2013</w:t>
            </w:r>
          </w:p>
        </w:tc>
        <w:tc>
          <w:tcPr>
            <w:tcW w:w="975" w:type="dxa"/>
            <w:tcBorders>
              <w:top w:val="nil"/>
              <w:left w:val="nil"/>
              <w:bottom w:val="single" w:sz="4" w:space="0" w:color="auto"/>
              <w:right w:val="single" w:sz="4" w:space="0" w:color="auto"/>
            </w:tcBorders>
            <w:shd w:val="clear" w:color="auto" w:fill="auto"/>
            <w:vAlign w:val="bottom"/>
            <w:hideMark/>
          </w:tcPr>
          <w:p w14:paraId="335E64FC"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6-60</w:t>
            </w:r>
          </w:p>
        </w:tc>
        <w:tc>
          <w:tcPr>
            <w:tcW w:w="1118" w:type="dxa"/>
            <w:tcBorders>
              <w:top w:val="nil"/>
              <w:left w:val="nil"/>
              <w:bottom w:val="single" w:sz="4" w:space="0" w:color="auto"/>
              <w:right w:val="single" w:sz="4" w:space="0" w:color="auto"/>
            </w:tcBorders>
            <w:shd w:val="clear" w:color="auto" w:fill="auto"/>
            <w:vAlign w:val="bottom"/>
            <w:hideMark/>
          </w:tcPr>
          <w:p w14:paraId="4754E59F"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651</w:t>
            </w:r>
          </w:p>
        </w:tc>
        <w:tc>
          <w:tcPr>
            <w:tcW w:w="1776" w:type="dxa"/>
            <w:tcBorders>
              <w:top w:val="nil"/>
              <w:left w:val="nil"/>
              <w:bottom w:val="single" w:sz="4" w:space="0" w:color="auto"/>
              <w:right w:val="single" w:sz="4" w:space="0" w:color="auto"/>
            </w:tcBorders>
            <w:shd w:val="clear" w:color="auto" w:fill="auto"/>
            <w:vAlign w:val="bottom"/>
            <w:hideMark/>
          </w:tcPr>
          <w:p w14:paraId="1EF9E8F1"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iron, vitamin A, zinc</w:t>
            </w:r>
          </w:p>
        </w:tc>
        <w:tc>
          <w:tcPr>
            <w:tcW w:w="1060" w:type="dxa"/>
            <w:tcBorders>
              <w:top w:val="nil"/>
              <w:left w:val="nil"/>
              <w:bottom w:val="single" w:sz="4" w:space="0" w:color="auto"/>
              <w:right w:val="single" w:sz="4" w:space="0" w:color="auto"/>
            </w:tcBorders>
            <w:shd w:val="clear" w:color="auto" w:fill="auto"/>
            <w:vAlign w:val="bottom"/>
            <w:hideMark/>
          </w:tcPr>
          <w:p w14:paraId="746A39C4"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9.3</w:t>
            </w:r>
          </w:p>
        </w:tc>
        <w:tc>
          <w:tcPr>
            <w:tcW w:w="1019" w:type="dxa"/>
            <w:tcBorders>
              <w:top w:val="nil"/>
              <w:left w:val="nil"/>
              <w:bottom w:val="single" w:sz="4" w:space="0" w:color="auto"/>
              <w:right w:val="single" w:sz="4" w:space="0" w:color="auto"/>
            </w:tcBorders>
            <w:shd w:val="clear" w:color="auto" w:fill="auto"/>
            <w:vAlign w:val="bottom"/>
            <w:hideMark/>
          </w:tcPr>
          <w:p w14:paraId="2A371AB3"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999" w:type="dxa"/>
            <w:tcBorders>
              <w:top w:val="nil"/>
              <w:left w:val="nil"/>
              <w:bottom w:val="single" w:sz="4" w:space="0" w:color="auto"/>
              <w:right w:val="single" w:sz="4" w:space="0" w:color="auto"/>
            </w:tcBorders>
            <w:shd w:val="clear" w:color="auto" w:fill="auto"/>
            <w:vAlign w:val="bottom"/>
            <w:hideMark/>
          </w:tcPr>
          <w:p w14:paraId="1F0820AB"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4969" w:type="dxa"/>
            <w:tcBorders>
              <w:top w:val="nil"/>
              <w:left w:val="nil"/>
              <w:bottom w:val="single" w:sz="4" w:space="0" w:color="auto"/>
              <w:right w:val="single" w:sz="4" w:space="0" w:color="auto"/>
            </w:tcBorders>
            <w:shd w:val="clear" w:color="auto" w:fill="auto"/>
            <w:vAlign w:val="bottom"/>
            <w:hideMark/>
          </w:tcPr>
          <w:p w14:paraId="15D9F938"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National Nutrition Survey</w:t>
            </w:r>
          </w:p>
        </w:tc>
      </w:tr>
      <w:tr w:rsidR="009A53AC" w:rsidRPr="00D663F8" w14:paraId="0748B336" w14:textId="77777777" w:rsidTr="00B272AD">
        <w:trPr>
          <w:trHeight w:val="30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194CACD"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Azerbaijan</w:t>
            </w:r>
          </w:p>
        </w:tc>
        <w:tc>
          <w:tcPr>
            <w:tcW w:w="879" w:type="dxa"/>
            <w:tcBorders>
              <w:top w:val="nil"/>
              <w:left w:val="nil"/>
              <w:bottom w:val="single" w:sz="4" w:space="0" w:color="auto"/>
              <w:right w:val="single" w:sz="4" w:space="0" w:color="auto"/>
            </w:tcBorders>
            <w:shd w:val="clear" w:color="auto" w:fill="auto"/>
            <w:vAlign w:val="bottom"/>
            <w:hideMark/>
          </w:tcPr>
          <w:p w14:paraId="743504CB"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2013</w:t>
            </w:r>
          </w:p>
        </w:tc>
        <w:tc>
          <w:tcPr>
            <w:tcW w:w="975" w:type="dxa"/>
            <w:tcBorders>
              <w:top w:val="nil"/>
              <w:left w:val="nil"/>
              <w:bottom w:val="single" w:sz="4" w:space="0" w:color="auto"/>
              <w:right w:val="single" w:sz="4" w:space="0" w:color="auto"/>
            </w:tcBorders>
            <w:shd w:val="clear" w:color="auto" w:fill="auto"/>
            <w:vAlign w:val="bottom"/>
            <w:hideMark/>
          </w:tcPr>
          <w:p w14:paraId="3105D65C"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6-59</w:t>
            </w:r>
          </w:p>
        </w:tc>
        <w:tc>
          <w:tcPr>
            <w:tcW w:w="1118" w:type="dxa"/>
            <w:tcBorders>
              <w:top w:val="nil"/>
              <w:left w:val="nil"/>
              <w:bottom w:val="single" w:sz="4" w:space="0" w:color="auto"/>
              <w:right w:val="single" w:sz="4" w:space="0" w:color="auto"/>
            </w:tcBorders>
            <w:shd w:val="clear" w:color="auto" w:fill="auto"/>
            <w:vAlign w:val="bottom"/>
            <w:hideMark/>
          </w:tcPr>
          <w:p w14:paraId="47FD4F94"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1019</w:t>
            </w:r>
          </w:p>
        </w:tc>
        <w:tc>
          <w:tcPr>
            <w:tcW w:w="1776" w:type="dxa"/>
            <w:tcBorders>
              <w:top w:val="nil"/>
              <w:left w:val="nil"/>
              <w:bottom w:val="single" w:sz="4" w:space="0" w:color="auto"/>
              <w:right w:val="single" w:sz="4" w:space="0" w:color="auto"/>
            </w:tcBorders>
            <w:shd w:val="clear" w:color="auto" w:fill="auto"/>
            <w:vAlign w:val="bottom"/>
            <w:hideMark/>
          </w:tcPr>
          <w:p w14:paraId="5BE2B788"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iron, vitamin A, zinc</w:t>
            </w:r>
          </w:p>
        </w:tc>
        <w:tc>
          <w:tcPr>
            <w:tcW w:w="1060" w:type="dxa"/>
            <w:tcBorders>
              <w:top w:val="nil"/>
              <w:left w:val="nil"/>
              <w:bottom w:val="single" w:sz="4" w:space="0" w:color="auto"/>
              <w:right w:val="single" w:sz="4" w:space="0" w:color="auto"/>
            </w:tcBorders>
            <w:shd w:val="clear" w:color="auto" w:fill="auto"/>
            <w:vAlign w:val="bottom"/>
            <w:hideMark/>
          </w:tcPr>
          <w:p w14:paraId="23A7C349"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9.3</w:t>
            </w:r>
          </w:p>
        </w:tc>
        <w:tc>
          <w:tcPr>
            <w:tcW w:w="1019" w:type="dxa"/>
            <w:tcBorders>
              <w:top w:val="nil"/>
              <w:left w:val="nil"/>
              <w:bottom w:val="single" w:sz="4" w:space="0" w:color="auto"/>
              <w:right w:val="single" w:sz="4" w:space="0" w:color="auto"/>
            </w:tcBorders>
            <w:shd w:val="clear" w:color="auto" w:fill="auto"/>
            <w:vAlign w:val="bottom"/>
            <w:hideMark/>
          </w:tcPr>
          <w:p w14:paraId="75FB8A0E"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999" w:type="dxa"/>
            <w:tcBorders>
              <w:top w:val="nil"/>
              <w:left w:val="nil"/>
              <w:bottom w:val="single" w:sz="4" w:space="0" w:color="auto"/>
              <w:right w:val="single" w:sz="4" w:space="0" w:color="auto"/>
            </w:tcBorders>
            <w:shd w:val="clear" w:color="auto" w:fill="auto"/>
            <w:vAlign w:val="bottom"/>
            <w:hideMark/>
          </w:tcPr>
          <w:p w14:paraId="4DEC2050"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4969" w:type="dxa"/>
            <w:tcBorders>
              <w:top w:val="nil"/>
              <w:left w:val="nil"/>
              <w:bottom w:val="single" w:sz="4" w:space="0" w:color="auto"/>
              <w:right w:val="single" w:sz="4" w:space="0" w:color="auto"/>
            </w:tcBorders>
            <w:shd w:val="clear" w:color="auto" w:fill="auto"/>
            <w:vAlign w:val="bottom"/>
            <w:hideMark/>
          </w:tcPr>
          <w:p w14:paraId="76A0862F"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Azerbaijan Nutrition Survey</w:t>
            </w:r>
          </w:p>
        </w:tc>
      </w:tr>
      <w:tr w:rsidR="009A53AC" w:rsidRPr="00D663F8" w14:paraId="000ADD92" w14:textId="77777777" w:rsidTr="00B272AD">
        <w:trPr>
          <w:trHeight w:val="30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B0FD518"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Bangladesh</w:t>
            </w:r>
          </w:p>
        </w:tc>
        <w:tc>
          <w:tcPr>
            <w:tcW w:w="879" w:type="dxa"/>
            <w:tcBorders>
              <w:top w:val="nil"/>
              <w:left w:val="nil"/>
              <w:bottom w:val="single" w:sz="4" w:space="0" w:color="auto"/>
              <w:right w:val="single" w:sz="4" w:space="0" w:color="auto"/>
            </w:tcBorders>
            <w:shd w:val="clear" w:color="auto" w:fill="auto"/>
            <w:vAlign w:val="bottom"/>
            <w:hideMark/>
          </w:tcPr>
          <w:p w14:paraId="796EAF37"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2011</w:t>
            </w:r>
          </w:p>
        </w:tc>
        <w:tc>
          <w:tcPr>
            <w:tcW w:w="975" w:type="dxa"/>
            <w:tcBorders>
              <w:top w:val="nil"/>
              <w:left w:val="nil"/>
              <w:bottom w:val="single" w:sz="4" w:space="0" w:color="auto"/>
              <w:right w:val="single" w:sz="4" w:space="0" w:color="auto"/>
            </w:tcBorders>
            <w:shd w:val="clear" w:color="auto" w:fill="auto"/>
            <w:vAlign w:val="bottom"/>
            <w:hideMark/>
          </w:tcPr>
          <w:p w14:paraId="2644C559"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6-59</w:t>
            </w:r>
          </w:p>
        </w:tc>
        <w:tc>
          <w:tcPr>
            <w:tcW w:w="1118" w:type="dxa"/>
            <w:tcBorders>
              <w:top w:val="nil"/>
              <w:left w:val="nil"/>
              <w:bottom w:val="single" w:sz="4" w:space="0" w:color="auto"/>
              <w:right w:val="single" w:sz="4" w:space="0" w:color="auto"/>
            </w:tcBorders>
            <w:shd w:val="clear" w:color="auto" w:fill="auto"/>
            <w:vAlign w:val="bottom"/>
            <w:hideMark/>
          </w:tcPr>
          <w:p w14:paraId="37539E41"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302</w:t>
            </w:r>
          </w:p>
        </w:tc>
        <w:tc>
          <w:tcPr>
            <w:tcW w:w="1776" w:type="dxa"/>
            <w:tcBorders>
              <w:top w:val="nil"/>
              <w:left w:val="nil"/>
              <w:bottom w:val="single" w:sz="4" w:space="0" w:color="auto"/>
              <w:right w:val="single" w:sz="4" w:space="0" w:color="auto"/>
            </w:tcBorders>
            <w:shd w:val="clear" w:color="auto" w:fill="auto"/>
            <w:vAlign w:val="bottom"/>
            <w:hideMark/>
          </w:tcPr>
          <w:p w14:paraId="1DEB02ED"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iron, vitamin A, zinc</w:t>
            </w:r>
          </w:p>
        </w:tc>
        <w:tc>
          <w:tcPr>
            <w:tcW w:w="1060" w:type="dxa"/>
            <w:tcBorders>
              <w:top w:val="nil"/>
              <w:left w:val="nil"/>
              <w:bottom w:val="single" w:sz="4" w:space="0" w:color="auto"/>
              <w:right w:val="single" w:sz="4" w:space="0" w:color="auto"/>
            </w:tcBorders>
            <w:shd w:val="clear" w:color="auto" w:fill="auto"/>
            <w:vAlign w:val="bottom"/>
            <w:hideMark/>
          </w:tcPr>
          <w:p w14:paraId="5BDBF35F"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9.3</w:t>
            </w:r>
          </w:p>
        </w:tc>
        <w:tc>
          <w:tcPr>
            <w:tcW w:w="1019" w:type="dxa"/>
            <w:tcBorders>
              <w:top w:val="nil"/>
              <w:left w:val="nil"/>
              <w:bottom w:val="single" w:sz="4" w:space="0" w:color="auto"/>
              <w:right w:val="single" w:sz="4" w:space="0" w:color="auto"/>
            </w:tcBorders>
            <w:shd w:val="clear" w:color="auto" w:fill="auto"/>
            <w:vAlign w:val="bottom"/>
            <w:hideMark/>
          </w:tcPr>
          <w:p w14:paraId="201462F9"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999" w:type="dxa"/>
            <w:tcBorders>
              <w:top w:val="nil"/>
              <w:left w:val="nil"/>
              <w:bottom w:val="single" w:sz="4" w:space="0" w:color="auto"/>
              <w:right w:val="single" w:sz="4" w:space="0" w:color="auto"/>
            </w:tcBorders>
            <w:shd w:val="clear" w:color="auto" w:fill="auto"/>
            <w:vAlign w:val="bottom"/>
            <w:hideMark/>
          </w:tcPr>
          <w:p w14:paraId="4925ADAB"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4969" w:type="dxa"/>
            <w:tcBorders>
              <w:top w:val="nil"/>
              <w:left w:val="nil"/>
              <w:bottom w:val="single" w:sz="4" w:space="0" w:color="auto"/>
              <w:right w:val="single" w:sz="4" w:space="0" w:color="auto"/>
            </w:tcBorders>
            <w:shd w:val="clear" w:color="auto" w:fill="auto"/>
            <w:vAlign w:val="bottom"/>
            <w:hideMark/>
          </w:tcPr>
          <w:p w14:paraId="45845056"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National Micronutrients Status Survey 2011-12</w:t>
            </w:r>
          </w:p>
        </w:tc>
      </w:tr>
      <w:tr w:rsidR="009A53AC" w:rsidRPr="00D663F8" w14:paraId="7679C4CE" w14:textId="77777777" w:rsidTr="00B272AD">
        <w:trPr>
          <w:trHeight w:val="30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BE2D3DA"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Cambodia</w:t>
            </w:r>
          </w:p>
        </w:tc>
        <w:tc>
          <w:tcPr>
            <w:tcW w:w="879" w:type="dxa"/>
            <w:tcBorders>
              <w:top w:val="nil"/>
              <w:left w:val="nil"/>
              <w:bottom w:val="single" w:sz="4" w:space="0" w:color="auto"/>
              <w:right w:val="single" w:sz="4" w:space="0" w:color="auto"/>
            </w:tcBorders>
            <w:shd w:val="clear" w:color="auto" w:fill="auto"/>
            <w:vAlign w:val="bottom"/>
            <w:hideMark/>
          </w:tcPr>
          <w:p w14:paraId="07E61350"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2014</w:t>
            </w:r>
          </w:p>
        </w:tc>
        <w:tc>
          <w:tcPr>
            <w:tcW w:w="975" w:type="dxa"/>
            <w:tcBorders>
              <w:top w:val="nil"/>
              <w:left w:val="nil"/>
              <w:bottom w:val="single" w:sz="4" w:space="0" w:color="auto"/>
              <w:right w:val="single" w:sz="4" w:space="0" w:color="auto"/>
            </w:tcBorders>
            <w:shd w:val="clear" w:color="auto" w:fill="auto"/>
            <w:vAlign w:val="bottom"/>
            <w:hideMark/>
          </w:tcPr>
          <w:p w14:paraId="207F9F42"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6-60</w:t>
            </w:r>
          </w:p>
        </w:tc>
        <w:tc>
          <w:tcPr>
            <w:tcW w:w="1118" w:type="dxa"/>
            <w:tcBorders>
              <w:top w:val="nil"/>
              <w:left w:val="nil"/>
              <w:bottom w:val="single" w:sz="4" w:space="0" w:color="auto"/>
              <w:right w:val="single" w:sz="4" w:space="0" w:color="auto"/>
            </w:tcBorders>
            <w:shd w:val="clear" w:color="auto" w:fill="auto"/>
            <w:vAlign w:val="bottom"/>
            <w:hideMark/>
          </w:tcPr>
          <w:p w14:paraId="5B0D6D7C"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534</w:t>
            </w:r>
          </w:p>
        </w:tc>
        <w:tc>
          <w:tcPr>
            <w:tcW w:w="1776" w:type="dxa"/>
            <w:tcBorders>
              <w:top w:val="nil"/>
              <w:left w:val="nil"/>
              <w:bottom w:val="single" w:sz="4" w:space="0" w:color="auto"/>
              <w:right w:val="single" w:sz="4" w:space="0" w:color="auto"/>
            </w:tcBorders>
            <w:shd w:val="clear" w:color="auto" w:fill="auto"/>
            <w:vAlign w:val="bottom"/>
            <w:hideMark/>
          </w:tcPr>
          <w:p w14:paraId="2D2E04F7"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iron, vitamin A, zinc</w:t>
            </w:r>
          </w:p>
        </w:tc>
        <w:tc>
          <w:tcPr>
            <w:tcW w:w="1060" w:type="dxa"/>
            <w:tcBorders>
              <w:top w:val="nil"/>
              <w:left w:val="nil"/>
              <w:bottom w:val="single" w:sz="4" w:space="0" w:color="auto"/>
              <w:right w:val="single" w:sz="4" w:space="0" w:color="auto"/>
            </w:tcBorders>
            <w:shd w:val="clear" w:color="auto" w:fill="auto"/>
            <w:vAlign w:val="bottom"/>
            <w:hideMark/>
          </w:tcPr>
          <w:p w14:paraId="5981462E"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9.9</w:t>
            </w:r>
          </w:p>
        </w:tc>
        <w:tc>
          <w:tcPr>
            <w:tcW w:w="1019" w:type="dxa"/>
            <w:tcBorders>
              <w:top w:val="nil"/>
              <w:left w:val="nil"/>
              <w:bottom w:val="single" w:sz="4" w:space="0" w:color="auto"/>
              <w:right w:val="single" w:sz="4" w:space="0" w:color="auto"/>
            </w:tcBorders>
            <w:shd w:val="clear" w:color="auto" w:fill="auto"/>
            <w:vAlign w:val="bottom"/>
            <w:hideMark/>
          </w:tcPr>
          <w:p w14:paraId="4F6E335E"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15.9</w:t>
            </w:r>
          </w:p>
        </w:tc>
        <w:tc>
          <w:tcPr>
            <w:tcW w:w="999" w:type="dxa"/>
            <w:tcBorders>
              <w:top w:val="nil"/>
              <w:left w:val="nil"/>
              <w:bottom w:val="single" w:sz="4" w:space="0" w:color="auto"/>
              <w:right w:val="single" w:sz="4" w:space="0" w:color="auto"/>
            </w:tcBorders>
            <w:shd w:val="clear" w:color="auto" w:fill="auto"/>
            <w:vAlign w:val="bottom"/>
            <w:hideMark/>
          </w:tcPr>
          <w:p w14:paraId="51B58320"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4969" w:type="dxa"/>
            <w:tcBorders>
              <w:top w:val="nil"/>
              <w:left w:val="nil"/>
              <w:bottom w:val="single" w:sz="4" w:space="0" w:color="auto"/>
              <w:right w:val="single" w:sz="4" w:space="0" w:color="auto"/>
            </w:tcBorders>
            <w:shd w:val="clear" w:color="auto" w:fill="auto"/>
            <w:vAlign w:val="bottom"/>
            <w:hideMark/>
          </w:tcPr>
          <w:p w14:paraId="3B7444A2"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Cambodia Demographic and Health Survey 2014</w:t>
            </w:r>
          </w:p>
        </w:tc>
      </w:tr>
      <w:tr w:rsidR="009A53AC" w:rsidRPr="00D663F8" w14:paraId="23CBA0BB" w14:textId="77777777" w:rsidTr="00B272AD">
        <w:trPr>
          <w:trHeight w:val="129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87FF764"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Cameroon</w:t>
            </w:r>
          </w:p>
        </w:tc>
        <w:tc>
          <w:tcPr>
            <w:tcW w:w="879" w:type="dxa"/>
            <w:tcBorders>
              <w:top w:val="nil"/>
              <w:left w:val="nil"/>
              <w:bottom w:val="single" w:sz="4" w:space="0" w:color="auto"/>
              <w:right w:val="single" w:sz="4" w:space="0" w:color="auto"/>
            </w:tcBorders>
            <w:shd w:val="clear" w:color="auto" w:fill="auto"/>
            <w:vAlign w:val="bottom"/>
            <w:hideMark/>
          </w:tcPr>
          <w:p w14:paraId="2042882E"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2009</w:t>
            </w:r>
          </w:p>
        </w:tc>
        <w:tc>
          <w:tcPr>
            <w:tcW w:w="975" w:type="dxa"/>
            <w:tcBorders>
              <w:top w:val="nil"/>
              <w:left w:val="nil"/>
              <w:bottom w:val="single" w:sz="4" w:space="0" w:color="auto"/>
              <w:right w:val="single" w:sz="4" w:space="0" w:color="auto"/>
            </w:tcBorders>
            <w:shd w:val="clear" w:color="auto" w:fill="auto"/>
            <w:vAlign w:val="bottom"/>
            <w:hideMark/>
          </w:tcPr>
          <w:p w14:paraId="336EFFD0"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12-60</w:t>
            </w:r>
          </w:p>
        </w:tc>
        <w:tc>
          <w:tcPr>
            <w:tcW w:w="1118" w:type="dxa"/>
            <w:tcBorders>
              <w:top w:val="nil"/>
              <w:left w:val="nil"/>
              <w:bottom w:val="single" w:sz="4" w:space="0" w:color="auto"/>
              <w:right w:val="single" w:sz="4" w:space="0" w:color="auto"/>
            </w:tcBorders>
            <w:shd w:val="clear" w:color="auto" w:fill="auto"/>
            <w:vAlign w:val="bottom"/>
            <w:hideMark/>
          </w:tcPr>
          <w:p w14:paraId="4458A3C2"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776</w:t>
            </w:r>
          </w:p>
        </w:tc>
        <w:tc>
          <w:tcPr>
            <w:tcW w:w="1776" w:type="dxa"/>
            <w:tcBorders>
              <w:top w:val="nil"/>
              <w:left w:val="nil"/>
              <w:bottom w:val="single" w:sz="4" w:space="0" w:color="auto"/>
              <w:right w:val="single" w:sz="4" w:space="0" w:color="auto"/>
            </w:tcBorders>
            <w:shd w:val="clear" w:color="auto" w:fill="auto"/>
            <w:vAlign w:val="bottom"/>
            <w:hideMark/>
          </w:tcPr>
          <w:p w14:paraId="178F111C"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iron, vitamin A, zinc</w:t>
            </w:r>
          </w:p>
        </w:tc>
        <w:tc>
          <w:tcPr>
            <w:tcW w:w="1060" w:type="dxa"/>
            <w:tcBorders>
              <w:top w:val="nil"/>
              <w:left w:val="nil"/>
              <w:bottom w:val="single" w:sz="4" w:space="0" w:color="auto"/>
              <w:right w:val="single" w:sz="4" w:space="0" w:color="auto"/>
            </w:tcBorders>
            <w:shd w:val="clear" w:color="auto" w:fill="auto"/>
            <w:vAlign w:val="bottom"/>
            <w:hideMark/>
          </w:tcPr>
          <w:p w14:paraId="66902B86"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9.3</w:t>
            </w:r>
          </w:p>
        </w:tc>
        <w:tc>
          <w:tcPr>
            <w:tcW w:w="1019" w:type="dxa"/>
            <w:tcBorders>
              <w:top w:val="nil"/>
              <w:left w:val="nil"/>
              <w:bottom w:val="single" w:sz="4" w:space="0" w:color="auto"/>
              <w:right w:val="single" w:sz="4" w:space="0" w:color="auto"/>
            </w:tcBorders>
            <w:shd w:val="clear" w:color="auto" w:fill="auto"/>
            <w:vAlign w:val="bottom"/>
            <w:hideMark/>
          </w:tcPr>
          <w:p w14:paraId="43E2910A"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13.4</w:t>
            </w:r>
          </w:p>
        </w:tc>
        <w:tc>
          <w:tcPr>
            <w:tcW w:w="999" w:type="dxa"/>
            <w:tcBorders>
              <w:top w:val="nil"/>
              <w:left w:val="nil"/>
              <w:bottom w:val="single" w:sz="4" w:space="0" w:color="auto"/>
              <w:right w:val="single" w:sz="4" w:space="0" w:color="auto"/>
            </w:tcBorders>
            <w:shd w:val="clear" w:color="auto" w:fill="auto"/>
            <w:vAlign w:val="bottom"/>
            <w:hideMark/>
          </w:tcPr>
          <w:p w14:paraId="65E312E8"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4969" w:type="dxa"/>
            <w:tcBorders>
              <w:top w:val="nil"/>
              <w:left w:val="nil"/>
              <w:bottom w:val="single" w:sz="4" w:space="0" w:color="auto"/>
              <w:right w:val="single" w:sz="4" w:space="0" w:color="auto"/>
            </w:tcBorders>
            <w:shd w:val="clear" w:color="auto" w:fill="auto"/>
            <w:vAlign w:val="bottom"/>
            <w:hideMark/>
          </w:tcPr>
          <w:p w14:paraId="53594C29"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 xml:space="preserve">Engle-Stone, R., </w:t>
            </w:r>
            <w:proofErr w:type="spellStart"/>
            <w:r w:rsidRPr="00D663F8">
              <w:rPr>
                <w:rFonts w:ascii="Calibri" w:hAnsi="Calibri" w:cs="Calibri"/>
                <w:color w:val="000000"/>
                <w:sz w:val="20"/>
                <w:lang w:eastAsia="en-US"/>
              </w:rPr>
              <w:t>Ndjebayi</w:t>
            </w:r>
            <w:proofErr w:type="spellEnd"/>
            <w:r w:rsidRPr="00D663F8">
              <w:rPr>
                <w:rFonts w:ascii="Calibri" w:hAnsi="Calibri" w:cs="Calibri"/>
                <w:color w:val="000000"/>
                <w:sz w:val="20"/>
                <w:lang w:eastAsia="en-US"/>
              </w:rPr>
              <w:t xml:space="preserve">, A. O., </w:t>
            </w:r>
            <w:proofErr w:type="spellStart"/>
            <w:r w:rsidRPr="00D663F8">
              <w:rPr>
                <w:rFonts w:ascii="Calibri" w:hAnsi="Calibri" w:cs="Calibri"/>
                <w:color w:val="000000"/>
                <w:sz w:val="20"/>
                <w:lang w:eastAsia="en-US"/>
              </w:rPr>
              <w:t>Nankap</w:t>
            </w:r>
            <w:proofErr w:type="spellEnd"/>
            <w:r w:rsidRPr="00D663F8">
              <w:rPr>
                <w:rFonts w:ascii="Calibri" w:hAnsi="Calibri" w:cs="Calibri"/>
                <w:color w:val="000000"/>
                <w:sz w:val="20"/>
                <w:lang w:eastAsia="en-US"/>
              </w:rPr>
              <w:t xml:space="preserve">, M., &amp; Brown, K. H. (2012). Consumption of potentially fortifiable foods by women and young children varies by ecological zone and socio-economic status in Cameroon. The Journal of </w:t>
            </w:r>
            <w:r>
              <w:rPr>
                <w:rFonts w:ascii="Calibri" w:hAnsi="Calibri" w:cs="Calibri"/>
                <w:color w:val="000000"/>
                <w:sz w:val="20"/>
                <w:lang w:eastAsia="en-US"/>
              </w:rPr>
              <w:t>N</w:t>
            </w:r>
            <w:r w:rsidRPr="00D663F8">
              <w:rPr>
                <w:rFonts w:ascii="Calibri" w:hAnsi="Calibri" w:cs="Calibri"/>
                <w:color w:val="000000"/>
                <w:sz w:val="20"/>
                <w:lang w:eastAsia="en-US"/>
              </w:rPr>
              <w:t>utrition, 142(3), 555-565.</w:t>
            </w:r>
          </w:p>
        </w:tc>
      </w:tr>
      <w:tr w:rsidR="009A53AC" w:rsidRPr="00050AD8" w14:paraId="1B18496C" w14:textId="77777777" w:rsidTr="00B272AD">
        <w:trPr>
          <w:trHeight w:val="30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5E1E59F"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Colombia</w:t>
            </w:r>
          </w:p>
        </w:tc>
        <w:tc>
          <w:tcPr>
            <w:tcW w:w="879" w:type="dxa"/>
            <w:tcBorders>
              <w:top w:val="nil"/>
              <w:left w:val="nil"/>
              <w:bottom w:val="single" w:sz="4" w:space="0" w:color="auto"/>
              <w:right w:val="single" w:sz="4" w:space="0" w:color="auto"/>
            </w:tcBorders>
            <w:shd w:val="clear" w:color="auto" w:fill="auto"/>
            <w:vAlign w:val="bottom"/>
            <w:hideMark/>
          </w:tcPr>
          <w:p w14:paraId="5632EDBC"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2010</w:t>
            </w:r>
          </w:p>
        </w:tc>
        <w:tc>
          <w:tcPr>
            <w:tcW w:w="975" w:type="dxa"/>
            <w:tcBorders>
              <w:top w:val="nil"/>
              <w:left w:val="nil"/>
              <w:bottom w:val="single" w:sz="4" w:space="0" w:color="auto"/>
              <w:right w:val="single" w:sz="4" w:space="0" w:color="auto"/>
            </w:tcBorders>
            <w:shd w:val="clear" w:color="auto" w:fill="auto"/>
            <w:vAlign w:val="bottom"/>
            <w:hideMark/>
          </w:tcPr>
          <w:p w14:paraId="7AD7317D"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12-59</w:t>
            </w:r>
          </w:p>
        </w:tc>
        <w:tc>
          <w:tcPr>
            <w:tcW w:w="1118" w:type="dxa"/>
            <w:tcBorders>
              <w:top w:val="nil"/>
              <w:left w:val="nil"/>
              <w:bottom w:val="single" w:sz="4" w:space="0" w:color="auto"/>
              <w:right w:val="single" w:sz="4" w:space="0" w:color="auto"/>
            </w:tcBorders>
            <w:shd w:val="clear" w:color="auto" w:fill="auto"/>
            <w:vAlign w:val="bottom"/>
            <w:hideMark/>
          </w:tcPr>
          <w:p w14:paraId="2C9293B4"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4091</w:t>
            </w:r>
          </w:p>
        </w:tc>
        <w:tc>
          <w:tcPr>
            <w:tcW w:w="1776" w:type="dxa"/>
            <w:tcBorders>
              <w:top w:val="nil"/>
              <w:left w:val="nil"/>
              <w:bottom w:val="single" w:sz="4" w:space="0" w:color="auto"/>
              <w:right w:val="single" w:sz="4" w:space="0" w:color="auto"/>
            </w:tcBorders>
            <w:shd w:val="clear" w:color="auto" w:fill="auto"/>
            <w:vAlign w:val="bottom"/>
            <w:hideMark/>
          </w:tcPr>
          <w:p w14:paraId="0E392DA5"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iron, vitamin A, zinc</w:t>
            </w:r>
          </w:p>
        </w:tc>
        <w:tc>
          <w:tcPr>
            <w:tcW w:w="1060" w:type="dxa"/>
            <w:tcBorders>
              <w:top w:val="nil"/>
              <w:left w:val="nil"/>
              <w:bottom w:val="single" w:sz="4" w:space="0" w:color="auto"/>
              <w:right w:val="single" w:sz="4" w:space="0" w:color="auto"/>
            </w:tcBorders>
            <w:shd w:val="clear" w:color="auto" w:fill="auto"/>
            <w:vAlign w:val="bottom"/>
            <w:hideMark/>
          </w:tcPr>
          <w:p w14:paraId="4298D0D5"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9.3</w:t>
            </w:r>
          </w:p>
        </w:tc>
        <w:tc>
          <w:tcPr>
            <w:tcW w:w="1019" w:type="dxa"/>
            <w:tcBorders>
              <w:top w:val="nil"/>
              <w:left w:val="nil"/>
              <w:bottom w:val="single" w:sz="4" w:space="0" w:color="auto"/>
              <w:right w:val="single" w:sz="4" w:space="0" w:color="auto"/>
            </w:tcBorders>
            <w:shd w:val="clear" w:color="auto" w:fill="auto"/>
            <w:vAlign w:val="bottom"/>
            <w:hideMark/>
          </w:tcPr>
          <w:p w14:paraId="7B905690"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999" w:type="dxa"/>
            <w:tcBorders>
              <w:top w:val="nil"/>
              <w:left w:val="nil"/>
              <w:bottom w:val="single" w:sz="4" w:space="0" w:color="auto"/>
              <w:right w:val="single" w:sz="4" w:space="0" w:color="auto"/>
            </w:tcBorders>
            <w:shd w:val="clear" w:color="auto" w:fill="auto"/>
            <w:vAlign w:val="bottom"/>
            <w:hideMark/>
          </w:tcPr>
          <w:p w14:paraId="6B55D4AF"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4969" w:type="dxa"/>
            <w:tcBorders>
              <w:top w:val="nil"/>
              <w:left w:val="nil"/>
              <w:bottom w:val="single" w:sz="4" w:space="0" w:color="auto"/>
              <w:right w:val="single" w:sz="4" w:space="0" w:color="auto"/>
            </w:tcBorders>
            <w:shd w:val="clear" w:color="auto" w:fill="auto"/>
            <w:vAlign w:val="bottom"/>
            <w:hideMark/>
          </w:tcPr>
          <w:p w14:paraId="56CD3FE0" w14:textId="77777777" w:rsidR="009A53AC" w:rsidRPr="00D663F8" w:rsidRDefault="009A53AC" w:rsidP="00B272AD">
            <w:pPr>
              <w:spacing w:line="240" w:lineRule="auto"/>
              <w:rPr>
                <w:rFonts w:ascii="Calibri" w:hAnsi="Calibri" w:cs="Calibri"/>
                <w:color w:val="000000"/>
                <w:sz w:val="20"/>
                <w:lang w:val="es-MX" w:eastAsia="en-US"/>
              </w:rPr>
            </w:pPr>
            <w:r w:rsidRPr="00D663F8">
              <w:rPr>
                <w:rFonts w:ascii="Calibri" w:hAnsi="Calibri" w:cs="Calibri"/>
                <w:color w:val="000000"/>
                <w:sz w:val="20"/>
                <w:lang w:val="es-MX" w:eastAsia="en-US"/>
              </w:rPr>
              <w:t>Encuesta Nacional de la Situación Nutricional (ENSIN)</w:t>
            </w:r>
          </w:p>
        </w:tc>
      </w:tr>
      <w:tr w:rsidR="009A53AC" w:rsidRPr="00D663F8" w14:paraId="00AB5402" w14:textId="77777777" w:rsidTr="00B272AD">
        <w:trPr>
          <w:trHeight w:val="1545"/>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DC56DEF"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Côte d’Ivoire</w:t>
            </w:r>
          </w:p>
        </w:tc>
        <w:tc>
          <w:tcPr>
            <w:tcW w:w="879" w:type="dxa"/>
            <w:tcBorders>
              <w:top w:val="nil"/>
              <w:left w:val="nil"/>
              <w:bottom w:val="single" w:sz="4" w:space="0" w:color="auto"/>
              <w:right w:val="single" w:sz="4" w:space="0" w:color="auto"/>
            </w:tcBorders>
            <w:shd w:val="clear" w:color="auto" w:fill="auto"/>
            <w:vAlign w:val="bottom"/>
            <w:hideMark/>
          </w:tcPr>
          <w:p w14:paraId="6A17180E"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2007</w:t>
            </w:r>
          </w:p>
        </w:tc>
        <w:tc>
          <w:tcPr>
            <w:tcW w:w="975" w:type="dxa"/>
            <w:tcBorders>
              <w:top w:val="nil"/>
              <w:left w:val="nil"/>
              <w:bottom w:val="single" w:sz="4" w:space="0" w:color="auto"/>
              <w:right w:val="single" w:sz="4" w:space="0" w:color="auto"/>
            </w:tcBorders>
            <w:shd w:val="clear" w:color="auto" w:fill="auto"/>
            <w:vAlign w:val="bottom"/>
            <w:hideMark/>
          </w:tcPr>
          <w:p w14:paraId="1302ADB3"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6-59</w:t>
            </w:r>
          </w:p>
        </w:tc>
        <w:tc>
          <w:tcPr>
            <w:tcW w:w="1118" w:type="dxa"/>
            <w:tcBorders>
              <w:top w:val="nil"/>
              <w:left w:val="nil"/>
              <w:bottom w:val="single" w:sz="4" w:space="0" w:color="auto"/>
              <w:right w:val="single" w:sz="4" w:space="0" w:color="auto"/>
            </w:tcBorders>
            <w:shd w:val="clear" w:color="auto" w:fill="auto"/>
            <w:vAlign w:val="bottom"/>
            <w:hideMark/>
          </w:tcPr>
          <w:p w14:paraId="68CE72FB"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746</w:t>
            </w:r>
          </w:p>
        </w:tc>
        <w:tc>
          <w:tcPr>
            <w:tcW w:w="1776" w:type="dxa"/>
            <w:tcBorders>
              <w:top w:val="nil"/>
              <w:left w:val="nil"/>
              <w:bottom w:val="single" w:sz="4" w:space="0" w:color="auto"/>
              <w:right w:val="single" w:sz="4" w:space="0" w:color="auto"/>
            </w:tcBorders>
            <w:shd w:val="clear" w:color="auto" w:fill="auto"/>
            <w:vAlign w:val="bottom"/>
            <w:hideMark/>
          </w:tcPr>
          <w:p w14:paraId="531E07E9"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iron, vitamin A</w:t>
            </w:r>
          </w:p>
        </w:tc>
        <w:tc>
          <w:tcPr>
            <w:tcW w:w="1060" w:type="dxa"/>
            <w:tcBorders>
              <w:top w:val="nil"/>
              <w:left w:val="nil"/>
              <w:bottom w:val="single" w:sz="4" w:space="0" w:color="auto"/>
              <w:right w:val="single" w:sz="4" w:space="0" w:color="auto"/>
            </w:tcBorders>
            <w:shd w:val="clear" w:color="auto" w:fill="auto"/>
            <w:vAlign w:val="bottom"/>
            <w:hideMark/>
          </w:tcPr>
          <w:p w14:paraId="422251BB"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1019" w:type="dxa"/>
            <w:tcBorders>
              <w:top w:val="nil"/>
              <w:left w:val="nil"/>
              <w:bottom w:val="single" w:sz="4" w:space="0" w:color="auto"/>
              <w:right w:val="single" w:sz="4" w:space="0" w:color="auto"/>
            </w:tcBorders>
            <w:shd w:val="clear" w:color="auto" w:fill="auto"/>
            <w:vAlign w:val="bottom"/>
            <w:hideMark/>
          </w:tcPr>
          <w:p w14:paraId="39A655D7"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999" w:type="dxa"/>
            <w:tcBorders>
              <w:top w:val="nil"/>
              <w:left w:val="nil"/>
              <w:bottom w:val="single" w:sz="4" w:space="0" w:color="auto"/>
              <w:right w:val="single" w:sz="4" w:space="0" w:color="auto"/>
            </w:tcBorders>
            <w:shd w:val="clear" w:color="auto" w:fill="auto"/>
            <w:vAlign w:val="bottom"/>
            <w:hideMark/>
          </w:tcPr>
          <w:p w14:paraId="3D37E9F4"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4969" w:type="dxa"/>
            <w:tcBorders>
              <w:top w:val="nil"/>
              <w:left w:val="nil"/>
              <w:bottom w:val="single" w:sz="4" w:space="0" w:color="auto"/>
              <w:right w:val="single" w:sz="4" w:space="0" w:color="auto"/>
            </w:tcBorders>
            <w:shd w:val="clear" w:color="auto" w:fill="auto"/>
            <w:vAlign w:val="bottom"/>
            <w:hideMark/>
          </w:tcPr>
          <w:p w14:paraId="25170F1B" w14:textId="77777777" w:rsidR="009A53AC" w:rsidRPr="00D663F8" w:rsidRDefault="009A53AC" w:rsidP="00B272AD">
            <w:pPr>
              <w:spacing w:line="240" w:lineRule="auto"/>
              <w:rPr>
                <w:rFonts w:ascii="Calibri" w:hAnsi="Calibri" w:cs="Calibri"/>
                <w:color w:val="000000"/>
                <w:sz w:val="20"/>
                <w:lang w:eastAsia="en-US"/>
              </w:rPr>
            </w:pPr>
            <w:proofErr w:type="spellStart"/>
            <w:r w:rsidRPr="00D663F8">
              <w:rPr>
                <w:rFonts w:ascii="Calibri" w:hAnsi="Calibri" w:cs="Calibri"/>
                <w:color w:val="000000"/>
                <w:sz w:val="20"/>
                <w:lang w:eastAsia="en-US"/>
              </w:rPr>
              <w:t>Rohner</w:t>
            </w:r>
            <w:proofErr w:type="spellEnd"/>
            <w:r w:rsidRPr="00D663F8">
              <w:rPr>
                <w:rFonts w:ascii="Calibri" w:hAnsi="Calibri" w:cs="Calibri"/>
                <w:color w:val="000000"/>
                <w:sz w:val="20"/>
                <w:lang w:eastAsia="en-US"/>
              </w:rPr>
              <w:t xml:space="preserve">, F., </w:t>
            </w:r>
            <w:proofErr w:type="spellStart"/>
            <w:r w:rsidRPr="00D663F8">
              <w:rPr>
                <w:rFonts w:ascii="Calibri" w:hAnsi="Calibri" w:cs="Calibri"/>
                <w:color w:val="000000"/>
                <w:sz w:val="20"/>
                <w:lang w:eastAsia="en-US"/>
              </w:rPr>
              <w:t>Tschannen</w:t>
            </w:r>
            <w:proofErr w:type="spellEnd"/>
            <w:r w:rsidRPr="00D663F8">
              <w:rPr>
                <w:rFonts w:ascii="Calibri" w:hAnsi="Calibri" w:cs="Calibri"/>
                <w:color w:val="000000"/>
                <w:sz w:val="20"/>
                <w:lang w:eastAsia="en-US"/>
              </w:rPr>
              <w:t>, A. B., Northrop-</w:t>
            </w:r>
            <w:proofErr w:type="spellStart"/>
            <w:r w:rsidRPr="00D663F8">
              <w:rPr>
                <w:rFonts w:ascii="Calibri" w:hAnsi="Calibri" w:cs="Calibri"/>
                <w:color w:val="000000"/>
                <w:sz w:val="20"/>
                <w:lang w:eastAsia="en-US"/>
              </w:rPr>
              <w:t>Clewes</w:t>
            </w:r>
            <w:proofErr w:type="spellEnd"/>
            <w:r w:rsidRPr="00D663F8">
              <w:rPr>
                <w:rFonts w:ascii="Calibri" w:hAnsi="Calibri" w:cs="Calibri"/>
                <w:color w:val="000000"/>
                <w:sz w:val="20"/>
                <w:lang w:eastAsia="en-US"/>
              </w:rPr>
              <w:t xml:space="preserve">, C., </w:t>
            </w:r>
            <w:proofErr w:type="spellStart"/>
            <w:r w:rsidRPr="00D663F8">
              <w:rPr>
                <w:rFonts w:ascii="Calibri" w:hAnsi="Calibri" w:cs="Calibri"/>
                <w:color w:val="000000"/>
                <w:sz w:val="20"/>
                <w:lang w:eastAsia="en-US"/>
              </w:rPr>
              <w:t>Kouassi-Gohou</w:t>
            </w:r>
            <w:proofErr w:type="spellEnd"/>
            <w:r w:rsidRPr="00D663F8">
              <w:rPr>
                <w:rFonts w:ascii="Calibri" w:hAnsi="Calibri" w:cs="Calibri"/>
                <w:color w:val="000000"/>
                <w:sz w:val="20"/>
                <w:lang w:eastAsia="en-US"/>
              </w:rPr>
              <w:t xml:space="preserve">, V., </w:t>
            </w:r>
            <w:proofErr w:type="spellStart"/>
            <w:r w:rsidRPr="00D663F8">
              <w:rPr>
                <w:rFonts w:ascii="Calibri" w:hAnsi="Calibri" w:cs="Calibri"/>
                <w:color w:val="000000"/>
                <w:sz w:val="20"/>
                <w:lang w:eastAsia="en-US"/>
              </w:rPr>
              <w:t>Bosso</w:t>
            </w:r>
            <w:proofErr w:type="spellEnd"/>
            <w:r w:rsidRPr="00D663F8">
              <w:rPr>
                <w:rFonts w:ascii="Calibri" w:hAnsi="Calibri" w:cs="Calibri"/>
                <w:color w:val="000000"/>
                <w:sz w:val="20"/>
                <w:lang w:eastAsia="en-US"/>
              </w:rPr>
              <w:t xml:space="preserve">, P. E., &amp; </w:t>
            </w:r>
            <w:proofErr w:type="spellStart"/>
            <w:r w:rsidRPr="00D663F8">
              <w:rPr>
                <w:rFonts w:ascii="Calibri" w:hAnsi="Calibri" w:cs="Calibri"/>
                <w:color w:val="000000"/>
                <w:sz w:val="20"/>
                <w:lang w:eastAsia="en-US"/>
              </w:rPr>
              <w:t>Mascie</w:t>
            </w:r>
            <w:proofErr w:type="spellEnd"/>
            <w:r w:rsidRPr="00D663F8">
              <w:rPr>
                <w:rFonts w:ascii="Calibri" w:hAnsi="Calibri" w:cs="Calibri"/>
                <w:color w:val="000000"/>
                <w:sz w:val="20"/>
                <w:lang w:eastAsia="en-US"/>
              </w:rPr>
              <w:t xml:space="preserve">-Taylor, C. N. (2012). Comparison of a possession score and a poverty index in predicting </w:t>
            </w:r>
            <w:proofErr w:type="spellStart"/>
            <w:r w:rsidRPr="00D663F8">
              <w:rPr>
                <w:rFonts w:ascii="Calibri" w:hAnsi="Calibri" w:cs="Calibri"/>
                <w:color w:val="000000"/>
                <w:sz w:val="20"/>
                <w:lang w:eastAsia="en-US"/>
              </w:rPr>
              <w:t>anaemia</w:t>
            </w:r>
            <w:proofErr w:type="spellEnd"/>
            <w:r w:rsidRPr="00D663F8">
              <w:rPr>
                <w:rFonts w:ascii="Calibri" w:hAnsi="Calibri" w:cs="Calibri"/>
                <w:color w:val="000000"/>
                <w:sz w:val="20"/>
                <w:lang w:eastAsia="en-US"/>
              </w:rPr>
              <w:t xml:space="preserve"> and undernutrition in pre-school children and women of reproductive age in rural and urban Cote d'Ivoire. Public </w:t>
            </w:r>
            <w:r>
              <w:rPr>
                <w:rFonts w:ascii="Calibri" w:hAnsi="Calibri" w:cs="Calibri"/>
                <w:color w:val="000000"/>
                <w:sz w:val="20"/>
                <w:lang w:eastAsia="en-US"/>
              </w:rPr>
              <w:t>H</w:t>
            </w:r>
            <w:r w:rsidRPr="00D663F8">
              <w:rPr>
                <w:rFonts w:ascii="Calibri" w:hAnsi="Calibri" w:cs="Calibri"/>
                <w:color w:val="000000"/>
                <w:sz w:val="20"/>
                <w:lang w:eastAsia="en-US"/>
              </w:rPr>
              <w:t xml:space="preserve">ealth </w:t>
            </w:r>
            <w:r>
              <w:rPr>
                <w:rFonts w:ascii="Calibri" w:hAnsi="Calibri" w:cs="Calibri"/>
                <w:color w:val="000000"/>
                <w:sz w:val="20"/>
                <w:lang w:eastAsia="en-US"/>
              </w:rPr>
              <w:t>N</w:t>
            </w:r>
            <w:r w:rsidRPr="00D663F8">
              <w:rPr>
                <w:rFonts w:ascii="Calibri" w:hAnsi="Calibri" w:cs="Calibri"/>
                <w:color w:val="000000"/>
                <w:sz w:val="20"/>
                <w:lang w:eastAsia="en-US"/>
              </w:rPr>
              <w:t>utrition, 15(9), 1620-1629.</w:t>
            </w:r>
          </w:p>
        </w:tc>
      </w:tr>
      <w:tr w:rsidR="009A53AC" w:rsidRPr="00050AD8" w14:paraId="7932BB03" w14:textId="77777777" w:rsidTr="00B272AD">
        <w:trPr>
          <w:trHeight w:val="30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7C271FF"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Ecuador</w:t>
            </w:r>
          </w:p>
        </w:tc>
        <w:tc>
          <w:tcPr>
            <w:tcW w:w="879" w:type="dxa"/>
            <w:tcBorders>
              <w:top w:val="nil"/>
              <w:left w:val="nil"/>
              <w:bottom w:val="single" w:sz="4" w:space="0" w:color="auto"/>
              <w:right w:val="single" w:sz="4" w:space="0" w:color="auto"/>
            </w:tcBorders>
            <w:shd w:val="clear" w:color="auto" w:fill="auto"/>
            <w:vAlign w:val="bottom"/>
            <w:hideMark/>
          </w:tcPr>
          <w:p w14:paraId="099C0FFE"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2012</w:t>
            </w:r>
          </w:p>
        </w:tc>
        <w:tc>
          <w:tcPr>
            <w:tcW w:w="975" w:type="dxa"/>
            <w:tcBorders>
              <w:top w:val="nil"/>
              <w:left w:val="nil"/>
              <w:bottom w:val="single" w:sz="4" w:space="0" w:color="auto"/>
              <w:right w:val="single" w:sz="4" w:space="0" w:color="auto"/>
            </w:tcBorders>
            <w:shd w:val="clear" w:color="auto" w:fill="auto"/>
            <w:vAlign w:val="bottom"/>
            <w:hideMark/>
          </w:tcPr>
          <w:p w14:paraId="431E45BC"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6-59</w:t>
            </w:r>
          </w:p>
        </w:tc>
        <w:tc>
          <w:tcPr>
            <w:tcW w:w="1118" w:type="dxa"/>
            <w:tcBorders>
              <w:top w:val="nil"/>
              <w:left w:val="nil"/>
              <w:bottom w:val="single" w:sz="4" w:space="0" w:color="auto"/>
              <w:right w:val="single" w:sz="4" w:space="0" w:color="auto"/>
            </w:tcBorders>
            <w:shd w:val="clear" w:color="auto" w:fill="auto"/>
            <w:vAlign w:val="bottom"/>
            <w:hideMark/>
          </w:tcPr>
          <w:p w14:paraId="7B661B8E"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2017</w:t>
            </w:r>
          </w:p>
        </w:tc>
        <w:tc>
          <w:tcPr>
            <w:tcW w:w="1776" w:type="dxa"/>
            <w:tcBorders>
              <w:top w:val="nil"/>
              <w:left w:val="nil"/>
              <w:bottom w:val="single" w:sz="4" w:space="0" w:color="auto"/>
              <w:right w:val="single" w:sz="4" w:space="0" w:color="auto"/>
            </w:tcBorders>
            <w:shd w:val="clear" w:color="auto" w:fill="auto"/>
            <w:vAlign w:val="bottom"/>
            <w:hideMark/>
          </w:tcPr>
          <w:p w14:paraId="173C03C2"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iron, vitamin A, zinc</w:t>
            </w:r>
          </w:p>
        </w:tc>
        <w:tc>
          <w:tcPr>
            <w:tcW w:w="1060" w:type="dxa"/>
            <w:tcBorders>
              <w:top w:val="nil"/>
              <w:left w:val="nil"/>
              <w:bottom w:val="single" w:sz="4" w:space="0" w:color="auto"/>
              <w:right w:val="single" w:sz="4" w:space="0" w:color="auto"/>
            </w:tcBorders>
            <w:shd w:val="clear" w:color="auto" w:fill="auto"/>
            <w:vAlign w:val="bottom"/>
            <w:hideMark/>
          </w:tcPr>
          <w:p w14:paraId="7468F5FA"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9.9</w:t>
            </w:r>
          </w:p>
        </w:tc>
        <w:tc>
          <w:tcPr>
            <w:tcW w:w="1019" w:type="dxa"/>
            <w:tcBorders>
              <w:top w:val="nil"/>
              <w:left w:val="nil"/>
              <w:bottom w:val="single" w:sz="4" w:space="0" w:color="auto"/>
              <w:right w:val="single" w:sz="4" w:space="0" w:color="auto"/>
            </w:tcBorders>
            <w:shd w:val="clear" w:color="auto" w:fill="auto"/>
            <w:vAlign w:val="bottom"/>
            <w:hideMark/>
          </w:tcPr>
          <w:p w14:paraId="79B1631D"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10.3</w:t>
            </w:r>
          </w:p>
        </w:tc>
        <w:tc>
          <w:tcPr>
            <w:tcW w:w="999" w:type="dxa"/>
            <w:tcBorders>
              <w:top w:val="nil"/>
              <w:left w:val="nil"/>
              <w:bottom w:val="single" w:sz="4" w:space="0" w:color="auto"/>
              <w:right w:val="single" w:sz="4" w:space="0" w:color="auto"/>
            </w:tcBorders>
            <w:shd w:val="clear" w:color="auto" w:fill="auto"/>
            <w:vAlign w:val="bottom"/>
            <w:hideMark/>
          </w:tcPr>
          <w:p w14:paraId="253453EF"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551</w:t>
            </w:r>
          </w:p>
        </w:tc>
        <w:tc>
          <w:tcPr>
            <w:tcW w:w="4969" w:type="dxa"/>
            <w:tcBorders>
              <w:top w:val="nil"/>
              <w:left w:val="nil"/>
              <w:bottom w:val="single" w:sz="4" w:space="0" w:color="auto"/>
              <w:right w:val="single" w:sz="4" w:space="0" w:color="auto"/>
            </w:tcBorders>
            <w:shd w:val="clear" w:color="auto" w:fill="auto"/>
            <w:vAlign w:val="bottom"/>
            <w:hideMark/>
          </w:tcPr>
          <w:p w14:paraId="6384D02A" w14:textId="77777777" w:rsidR="009A53AC" w:rsidRPr="00D663F8" w:rsidRDefault="009A53AC" w:rsidP="00B272AD">
            <w:pPr>
              <w:spacing w:line="240" w:lineRule="auto"/>
              <w:rPr>
                <w:rFonts w:ascii="Calibri" w:hAnsi="Calibri" w:cs="Calibri"/>
                <w:color w:val="000000"/>
                <w:sz w:val="20"/>
                <w:lang w:val="es-MX" w:eastAsia="en-US"/>
              </w:rPr>
            </w:pPr>
            <w:r w:rsidRPr="00D663F8">
              <w:rPr>
                <w:rFonts w:ascii="Calibri" w:hAnsi="Calibri" w:cs="Calibri"/>
                <w:color w:val="000000"/>
                <w:sz w:val="20"/>
                <w:lang w:val="es-MX" w:eastAsia="en-US"/>
              </w:rPr>
              <w:t>Encuesta Nacional de Salud y Nutrición (ENSANUT</w:t>
            </w:r>
            <w:r>
              <w:rPr>
                <w:rFonts w:ascii="Calibri" w:hAnsi="Calibri" w:cs="Calibri"/>
                <w:color w:val="000000"/>
                <w:sz w:val="20"/>
                <w:lang w:val="es-MX" w:eastAsia="en-US"/>
              </w:rPr>
              <w:t>-2012</w:t>
            </w:r>
            <w:r w:rsidRPr="00D663F8">
              <w:rPr>
                <w:rFonts w:ascii="Calibri" w:hAnsi="Calibri" w:cs="Calibri"/>
                <w:color w:val="000000"/>
                <w:sz w:val="20"/>
                <w:lang w:val="es-MX" w:eastAsia="en-US"/>
              </w:rPr>
              <w:t>)</w:t>
            </w:r>
          </w:p>
        </w:tc>
      </w:tr>
      <w:tr w:rsidR="009A53AC" w:rsidRPr="00D663F8" w14:paraId="58A838FB" w14:textId="77777777" w:rsidTr="00B272AD">
        <w:trPr>
          <w:trHeight w:val="30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A3D678A"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Ethiopia</w:t>
            </w:r>
          </w:p>
        </w:tc>
        <w:tc>
          <w:tcPr>
            <w:tcW w:w="879" w:type="dxa"/>
            <w:tcBorders>
              <w:top w:val="nil"/>
              <w:left w:val="nil"/>
              <w:bottom w:val="single" w:sz="4" w:space="0" w:color="auto"/>
              <w:right w:val="single" w:sz="4" w:space="0" w:color="auto"/>
            </w:tcBorders>
            <w:shd w:val="clear" w:color="auto" w:fill="auto"/>
            <w:vAlign w:val="bottom"/>
            <w:hideMark/>
          </w:tcPr>
          <w:p w14:paraId="10B9DFF1"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2015</w:t>
            </w:r>
          </w:p>
        </w:tc>
        <w:tc>
          <w:tcPr>
            <w:tcW w:w="975" w:type="dxa"/>
            <w:tcBorders>
              <w:top w:val="nil"/>
              <w:left w:val="nil"/>
              <w:bottom w:val="single" w:sz="4" w:space="0" w:color="auto"/>
              <w:right w:val="single" w:sz="4" w:space="0" w:color="auto"/>
            </w:tcBorders>
            <w:shd w:val="clear" w:color="auto" w:fill="auto"/>
            <w:vAlign w:val="bottom"/>
            <w:hideMark/>
          </w:tcPr>
          <w:p w14:paraId="45D0ECFA"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6-59</w:t>
            </w:r>
          </w:p>
        </w:tc>
        <w:tc>
          <w:tcPr>
            <w:tcW w:w="1118" w:type="dxa"/>
            <w:tcBorders>
              <w:top w:val="nil"/>
              <w:left w:val="nil"/>
              <w:bottom w:val="single" w:sz="4" w:space="0" w:color="auto"/>
              <w:right w:val="single" w:sz="4" w:space="0" w:color="auto"/>
            </w:tcBorders>
            <w:shd w:val="clear" w:color="auto" w:fill="auto"/>
            <w:vAlign w:val="bottom"/>
            <w:hideMark/>
          </w:tcPr>
          <w:p w14:paraId="7B201725"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1116</w:t>
            </w:r>
          </w:p>
        </w:tc>
        <w:tc>
          <w:tcPr>
            <w:tcW w:w="1776" w:type="dxa"/>
            <w:tcBorders>
              <w:top w:val="nil"/>
              <w:left w:val="nil"/>
              <w:bottom w:val="single" w:sz="4" w:space="0" w:color="auto"/>
              <w:right w:val="single" w:sz="4" w:space="0" w:color="auto"/>
            </w:tcBorders>
            <w:shd w:val="clear" w:color="auto" w:fill="auto"/>
            <w:vAlign w:val="bottom"/>
            <w:hideMark/>
          </w:tcPr>
          <w:p w14:paraId="1924EEF7"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iron, vitamin A, zinc</w:t>
            </w:r>
          </w:p>
        </w:tc>
        <w:tc>
          <w:tcPr>
            <w:tcW w:w="1060" w:type="dxa"/>
            <w:tcBorders>
              <w:top w:val="nil"/>
              <w:left w:val="nil"/>
              <w:bottom w:val="single" w:sz="4" w:space="0" w:color="auto"/>
              <w:right w:val="single" w:sz="4" w:space="0" w:color="auto"/>
            </w:tcBorders>
            <w:shd w:val="clear" w:color="auto" w:fill="auto"/>
            <w:vAlign w:val="bottom"/>
            <w:hideMark/>
          </w:tcPr>
          <w:p w14:paraId="38F02B69"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9.3</w:t>
            </w:r>
          </w:p>
        </w:tc>
        <w:tc>
          <w:tcPr>
            <w:tcW w:w="1019" w:type="dxa"/>
            <w:tcBorders>
              <w:top w:val="nil"/>
              <w:left w:val="nil"/>
              <w:bottom w:val="single" w:sz="4" w:space="0" w:color="auto"/>
              <w:right w:val="single" w:sz="4" w:space="0" w:color="auto"/>
            </w:tcBorders>
            <w:shd w:val="clear" w:color="auto" w:fill="auto"/>
            <w:vAlign w:val="bottom"/>
            <w:hideMark/>
          </w:tcPr>
          <w:p w14:paraId="70BE1F07"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999" w:type="dxa"/>
            <w:tcBorders>
              <w:top w:val="nil"/>
              <w:left w:val="nil"/>
              <w:bottom w:val="single" w:sz="4" w:space="0" w:color="auto"/>
              <w:right w:val="single" w:sz="4" w:space="0" w:color="auto"/>
            </w:tcBorders>
            <w:shd w:val="clear" w:color="auto" w:fill="auto"/>
            <w:vAlign w:val="bottom"/>
            <w:hideMark/>
          </w:tcPr>
          <w:p w14:paraId="48B93F1C"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4969" w:type="dxa"/>
            <w:tcBorders>
              <w:top w:val="nil"/>
              <w:left w:val="nil"/>
              <w:bottom w:val="single" w:sz="4" w:space="0" w:color="auto"/>
              <w:right w:val="single" w:sz="4" w:space="0" w:color="auto"/>
            </w:tcBorders>
            <w:shd w:val="clear" w:color="auto" w:fill="auto"/>
            <w:vAlign w:val="bottom"/>
            <w:hideMark/>
          </w:tcPr>
          <w:p w14:paraId="05B700D9"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Ethiopian National Micronutrient Survey</w:t>
            </w:r>
          </w:p>
        </w:tc>
      </w:tr>
      <w:tr w:rsidR="009A53AC" w:rsidRPr="00D663F8" w14:paraId="2FCB814C" w14:textId="77777777" w:rsidTr="00B272AD">
        <w:trPr>
          <w:trHeight w:val="30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89EDF35"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Ghana</w:t>
            </w:r>
          </w:p>
        </w:tc>
        <w:tc>
          <w:tcPr>
            <w:tcW w:w="879" w:type="dxa"/>
            <w:tcBorders>
              <w:top w:val="nil"/>
              <w:left w:val="nil"/>
              <w:bottom w:val="single" w:sz="4" w:space="0" w:color="auto"/>
              <w:right w:val="single" w:sz="4" w:space="0" w:color="auto"/>
            </w:tcBorders>
            <w:shd w:val="clear" w:color="auto" w:fill="auto"/>
            <w:vAlign w:val="bottom"/>
            <w:hideMark/>
          </w:tcPr>
          <w:p w14:paraId="11E5CEEC"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2017</w:t>
            </w:r>
          </w:p>
        </w:tc>
        <w:tc>
          <w:tcPr>
            <w:tcW w:w="975" w:type="dxa"/>
            <w:tcBorders>
              <w:top w:val="nil"/>
              <w:left w:val="nil"/>
              <w:bottom w:val="single" w:sz="4" w:space="0" w:color="auto"/>
              <w:right w:val="single" w:sz="4" w:space="0" w:color="auto"/>
            </w:tcBorders>
            <w:shd w:val="clear" w:color="auto" w:fill="auto"/>
            <w:vAlign w:val="bottom"/>
            <w:hideMark/>
          </w:tcPr>
          <w:p w14:paraId="383FDEF8"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6-59</w:t>
            </w:r>
          </w:p>
        </w:tc>
        <w:tc>
          <w:tcPr>
            <w:tcW w:w="1118" w:type="dxa"/>
            <w:tcBorders>
              <w:top w:val="nil"/>
              <w:left w:val="nil"/>
              <w:bottom w:val="single" w:sz="4" w:space="0" w:color="auto"/>
              <w:right w:val="single" w:sz="4" w:space="0" w:color="auto"/>
            </w:tcBorders>
            <w:shd w:val="clear" w:color="auto" w:fill="auto"/>
            <w:vAlign w:val="bottom"/>
            <w:hideMark/>
          </w:tcPr>
          <w:p w14:paraId="0559A285"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1165</w:t>
            </w:r>
          </w:p>
        </w:tc>
        <w:tc>
          <w:tcPr>
            <w:tcW w:w="1776" w:type="dxa"/>
            <w:tcBorders>
              <w:top w:val="nil"/>
              <w:left w:val="nil"/>
              <w:bottom w:val="single" w:sz="4" w:space="0" w:color="auto"/>
              <w:right w:val="single" w:sz="4" w:space="0" w:color="auto"/>
            </w:tcBorders>
            <w:shd w:val="clear" w:color="auto" w:fill="auto"/>
            <w:vAlign w:val="bottom"/>
            <w:hideMark/>
          </w:tcPr>
          <w:p w14:paraId="5ABC744C"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iron, vitamin A</w:t>
            </w:r>
          </w:p>
        </w:tc>
        <w:tc>
          <w:tcPr>
            <w:tcW w:w="1060" w:type="dxa"/>
            <w:tcBorders>
              <w:top w:val="nil"/>
              <w:left w:val="nil"/>
              <w:bottom w:val="single" w:sz="4" w:space="0" w:color="auto"/>
              <w:right w:val="single" w:sz="4" w:space="0" w:color="auto"/>
            </w:tcBorders>
            <w:shd w:val="clear" w:color="auto" w:fill="auto"/>
            <w:vAlign w:val="bottom"/>
            <w:hideMark/>
          </w:tcPr>
          <w:p w14:paraId="0AC6795B"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1019" w:type="dxa"/>
            <w:tcBorders>
              <w:top w:val="nil"/>
              <w:left w:val="nil"/>
              <w:bottom w:val="single" w:sz="4" w:space="0" w:color="auto"/>
              <w:right w:val="single" w:sz="4" w:space="0" w:color="auto"/>
            </w:tcBorders>
            <w:shd w:val="clear" w:color="auto" w:fill="auto"/>
            <w:vAlign w:val="bottom"/>
            <w:hideMark/>
          </w:tcPr>
          <w:p w14:paraId="7B2A4131"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999" w:type="dxa"/>
            <w:tcBorders>
              <w:top w:val="nil"/>
              <w:left w:val="nil"/>
              <w:bottom w:val="single" w:sz="4" w:space="0" w:color="auto"/>
              <w:right w:val="single" w:sz="4" w:space="0" w:color="auto"/>
            </w:tcBorders>
            <w:shd w:val="clear" w:color="auto" w:fill="auto"/>
            <w:vAlign w:val="bottom"/>
            <w:hideMark/>
          </w:tcPr>
          <w:p w14:paraId="1F13EA4A"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4969" w:type="dxa"/>
            <w:tcBorders>
              <w:top w:val="nil"/>
              <w:left w:val="nil"/>
              <w:bottom w:val="single" w:sz="4" w:space="0" w:color="auto"/>
              <w:right w:val="single" w:sz="4" w:space="0" w:color="auto"/>
            </w:tcBorders>
            <w:shd w:val="clear" w:color="auto" w:fill="auto"/>
            <w:vAlign w:val="bottom"/>
            <w:hideMark/>
          </w:tcPr>
          <w:p w14:paraId="5A0FEB87"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Ghana Micronutrient Survey</w:t>
            </w:r>
          </w:p>
        </w:tc>
      </w:tr>
      <w:tr w:rsidR="009A53AC" w:rsidRPr="00050AD8" w14:paraId="5CE5D0D1" w14:textId="77777777" w:rsidTr="00B272AD">
        <w:trPr>
          <w:trHeight w:val="525"/>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D2BFFA0"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lastRenderedPageBreak/>
              <w:t>Guatemala</w:t>
            </w:r>
          </w:p>
        </w:tc>
        <w:tc>
          <w:tcPr>
            <w:tcW w:w="879" w:type="dxa"/>
            <w:tcBorders>
              <w:top w:val="nil"/>
              <w:left w:val="nil"/>
              <w:bottom w:val="single" w:sz="4" w:space="0" w:color="auto"/>
              <w:right w:val="single" w:sz="4" w:space="0" w:color="auto"/>
            </w:tcBorders>
            <w:shd w:val="clear" w:color="auto" w:fill="auto"/>
            <w:vAlign w:val="bottom"/>
            <w:hideMark/>
          </w:tcPr>
          <w:p w14:paraId="0BFA6DC0" w14:textId="7B00B7B4"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2013-2016</w:t>
            </w:r>
          </w:p>
        </w:tc>
        <w:tc>
          <w:tcPr>
            <w:tcW w:w="975" w:type="dxa"/>
            <w:tcBorders>
              <w:top w:val="nil"/>
              <w:left w:val="nil"/>
              <w:bottom w:val="single" w:sz="4" w:space="0" w:color="auto"/>
              <w:right w:val="single" w:sz="4" w:space="0" w:color="auto"/>
            </w:tcBorders>
            <w:shd w:val="clear" w:color="auto" w:fill="auto"/>
            <w:vAlign w:val="bottom"/>
            <w:hideMark/>
          </w:tcPr>
          <w:p w14:paraId="21512350"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6-60</w:t>
            </w:r>
          </w:p>
        </w:tc>
        <w:tc>
          <w:tcPr>
            <w:tcW w:w="1118" w:type="dxa"/>
            <w:tcBorders>
              <w:top w:val="nil"/>
              <w:left w:val="nil"/>
              <w:bottom w:val="single" w:sz="4" w:space="0" w:color="auto"/>
              <w:right w:val="single" w:sz="4" w:space="0" w:color="auto"/>
            </w:tcBorders>
            <w:shd w:val="clear" w:color="auto" w:fill="auto"/>
            <w:vAlign w:val="bottom"/>
            <w:hideMark/>
          </w:tcPr>
          <w:p w14:paraId="40C46F42"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144</w:t>
            </w:r>
          </w:p>
        </w:tc>
        <w:tc>
          <w:tcPr>
            <w:tcW w:w="1776" w:type="dxa"/>
            <w:tcBorders>
              <w:top w:val="nil"/>
              <w:left w:val="nil"/>
              <w:bottom w:val="single" w:sz="4" w:space="0" w:color="auto"/>
              <w:right w:val="single" w:sz="4" w:space="0" w:color="auto"/>
            </w:tcBorders>
            <w:shd w:val="clear" w:color="auto" w:fill="auto"/>
            <w:vAlign w:val="bottom"/>
            <w:hideMark/>
          </w:tcPr>
          <w:p w14:paraId="4AECFD7C"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iron, vitamin A, zinc</w:t>
            </w:r>
          </w:p>
        </w:tc>
        <w:tc>
          <w:tcPr>
            <w:tcW w:w="1060" w:type="dxa"/>
            <w:tcBorders>
              <w:top w:val="nil"/>
              <w:left w:val="nil"/>
              <w:bottom w:val="single" w:sz="4" w:space="0" w:color="auto"/>
              <w:right w:val="single" w:sz="4" w:space="0" w:color="auto"/>
            </w:tcBorders>
            <w:shd w:val="clear" w:color="auto" w:fill="auto"/>
            <w:vAlign w:val="bottom"/>
            <w:hideMark/>
          </w:tcPr>
          <w:p w14:paraId="00C554F8"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9.3</w:t>
            </w:r>
          </w:p>
        </w:tc>
        <w:tc>
          <w:tcPr>
            <w:tcW w:w="1019" w:type="dxa"/>
            <w:tcBorders>
              <w:top w:val="nil"/>
              <w:left w:val="nil"/>
              <w:bottom w:val="single" w:sz="4" w:space="0" w:color="auto"/>
              <w:right w:val="single" w:sz="4" w:space="0" w:color="auto"/>
            </w:tcBorders>
            <w:shd w:val="clear" w:color="auto" w:fill="auto"/>
            <w:vAlign w:val="bottom"/>
            <w:hideMark/>
          </w:tcPr>
          <w:p w14:paraId="2D59562F"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999" w:type="dxa"/>
            <w:tcBorders>
              <w:top w:val="nil"/>
              <w:left w:val="nil"/>
              <w:bottom w:val="single" w:sz="4" w:space="0" w:color="auto"/>
              <w:right w:val="single" w:sz="4" w:space="0" w:color="auto"/>
            </w:tcBorders>
            <w:shd w:val="clear" w:color="auto" w:fill="auto"/>
            <w:vAlign w:val="bottom"/>
            <w:hideMark/>
          </w:tcPr>
          <w:p w14:paraId="574C035E"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4969" w:type="dxa"/>
            <w:tcBorders>
              <w:top w:val="nil"/>
              <w:left w:val="nil"/>
              <w:bottom w:val="single" w:sz="4" w:space="0" w:color="auto"/>
              <w:right w:val="single" w:sz="4" w:space="0" w:color="auto"/>
            </w:tcBorders>
            <w:shd w:val="clear" w:color="auto" w:fill="auto"/>
            <w:vAlign w:val="bottom"/>
            <w:hideMark/>
          </w:tcPr>
          <w:p w14:paraId="1A2A1EA1" w14:textId="77777777" w:rsidR="009A53AC" w:rsidRPr="00D663F8" w:rsidRDefault="009A53AC" w:rsidP="00B272AD">
            <w:pPr>
              <w:spacing w:line="240" w:lineRule="auto"/>
              <w:rPr>
                <w:rFonts w:ascii="Calibri" w:hAnsi="Calibri" w:cs="Calibri"/>
                <w:color w:val="000000"/>
                <w:sz w:val="20"/>
                <w:lang w:val="es-MX" w:eastAsia="en-US"/>
              </w:rPr>
            </w:pPr>
            <w:r w:rsidRPr="00D663F8">
              <w:rPr>
                <w:rFonts w:ascii="Calibri" w:hAnsi="Calibri" w:cs="Calibri"/>
                <w:color w:val="000000"/>
                <w:sz w:val="20"/>
                <w:lang w:val="es-MX" w:eastAsia="en-US"/>
              </w:rPr>
              <w:t>Sistema de Vigilancia Epidemiológica de Salud y Nutrición (SIVESNU)</w:t>
            </w:r>
          </w:p>
        </w:tc>
      </w:tr>
      <w:tr w:rsidR="009A53AC" w:rsidRPr="00D663F8" w14:paraId="4E0E3714" w14:textId="77777777" w:rsidTr="00B272AD">
        <w:trPr>
          <w:trHeight w:val="525"/>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788C2F4"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India</w:t>
            </w:r>
          </w:p>
        </w:tc>
        <w:tc>
          <w:tcPr>
            <w:tcW w:w="879" w:type="dxa"/>
            <w:tcBorders>
              <w:top w:val="nil"/>
              <w:left w:val="nil"/>
              <w:bottom w:val="single" w:sz="4" w:space="0" w:color="auto"/>
              <w:right w:val="single" w:sz="4" w:space="0" w:color="auto"/>
            </w:tcBorders>
            <w:shd w:val="clear" w:color="auto" w:fill="auto"/>
            <w:vAlign w:val="bottom"/>
            <w:hideMark/>
          </w:tcPr>
          <w:p w14:paraId="54AC1375"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2016-2018</w:t>
            </w:r>
          </w:p>
        </w:tc>
        <w:tc>
          <w:tcPr>
            <w:tcW w:w="975" w:type="dxa"/>
            <w:tcBorders>
              <w:top w:val="nil"/>
              <w:left w:val="nil"/>
              <w:bottom w:val="single" w:sz="4" w:space="0" w:color="auto"/>
              <w:right w:val="single" w:sz="4" w:space="0" w:color="auto"/>
            </w:tcBorders>
            <w:shd w:val="clear" w:color="auto" w:fill="auto"/>
            <w:vAlign w:val="bottom"/>
            <w:hideMark/>
          </w:tcPr>
          <w:p w14:paraId="6873636A"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12-59</w:t>
            </w:r>
          </w:p>
        </w:tc>
        <w:tc>
          <w:tcPr>
            <w:tcW w:w="1118" w:type="dxa"/>
            <w:tcBorders>
              <w:top w:val="nil"/>
              <w:left w:val="nil"/>
              <w:bottom w:val="single" w:sz="4" w:space="0" w:color="auto"/>
              <w:right w:val="single" w:sz="4" w:space="0" w:color="auto"/>
            </w:tcBorders>
            <w:shd w:val="clear" w:color="auto" w:fill="auto"/>
            <w:vAlign w:val="bottom"/>
            <w:hideMark/>
          </w:tcPr>
          <w:p w14:paraId="2DB9D9A3"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6514</w:t>
            </w:r>
          </w:p>
        </w:tc>
        <w:tc>
          <w:tcPr>
            <w:tcW w:w="1776" w:type="dxa"/>
            <w:tcBorders>
              <w:top w:val="nil"/>
              <w:left w:val="nil"/>
              <w:bottom w:val="single" w:sz="4" w:space="0" w:color="auto"/>
              <w:right w:val="single" w:sz="4" w:space="0" w:color="auto"/>
            </w:tcBorders>
            <w:shd w:val="clear" w:color="auto" w:fill="auto"/>
            <w:vAlign w:val="bottom"/>
            <w:hideMark/>
          </w:tcPr>
          <w:p w14:paraId="4DDF0CEB"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iron, vitamin A, zinc</w:t>
            </w:r>
          </w:p>
        </w:tc>
        <w:tc>
          <w:tcPr>
            <w:tcW w:w="1060" w:type="dxa"/>
            <w:tcBorders>
              <w:top w:val="nil"/>
              <w:left w:val="nil"/>
              <w:bottom w:val="single" w:sz="4" w:space="0" w:color="auto"/>
              <w:right w:val="single" w:sz="4" w:space="0" w:color="auto"/>
            </w:tcBorders>
            <w:shd w:val="clear" w:color="auto" w:fill="auto"/>
            <w:vAlign w:val="bottom"/>
            <w:hideMark/>
          </w:tcPr>
          <w:p w14:paraId="00FF70E3"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9.9</w:t>
            </w:r>
          </w:p>
        </w:tc>
        <w:tc>
          <w:tcPr>
            <w:tcW w:w="1019" w:type="dxa"/>
            <w:tcBorders>
              <w:top w:val="nil"/>
              <w:left w:val="nil"/>
              <w:bottom w:val="single" w:sz="4" w:space="0" w:color="auto"/>
              <w:right w:val="single" w:sz="4" w:space="0" w:color="auto"/>
            </w:tcBorders>
            <w:shd w:val="clear" w:color="auto" w:fill="auto"/>
            <w:vAlign w:val="bottom"/>
            <w:hideMark/>
          </w:tcPr>
          <w:p w14:paraId="629A5BF3"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999" w:type="dxa"/>
            <w:tcBorders>
              <w:top w:val="nil"/>
              <w:left w:val="nil"/>
              <w:bottom w:val="single" w:sz="4" w:space="0" w:color="auto"/>
              <w:right w:val="single" w:sz="4" w:space="0" w:color="auto"/>
            </w:tcBorders>
            <w:shd w:val="clear" w:color="auto" w:fill="auto"/>
            <w:vAlign w:val="bottom"/>
            <w:hideMark/>
          </w:tcPr>
          <w:p w14:paraId="56C66EEA"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639</w:t>
            </w:r>
          </w:p>
        </w:tc>
        <w:tc>
          <w:tcPr>
            <w:tcW w:w="4969" w:type="dxa"/>
            <w:tcBorders>
              <w:top w:val="nil"/>
              <w:left w:val="nil"/>
              <w:bottom w:val="single" w:sz="4" w:space="0" w:color="auto"/>
              <w:right w:val="single" w:sz="4" w:space="0" w:color="auto"/>
            </w:tcBorders>
            <w:shd w:val="clear" w:color="auto" w:fill="auto"/>
            <w:vAlign w:val="bottom"/>
            <w:hideMark/>
          </w:tcPr>
          <w:p w14:paraId="1599F30F"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Comprehensive National Nutrition Survey (CNNS)</w:t>
            </w:r>
          </w:p>
        </w:tc>
      </w:tr>
      <w:tr w:rsidR="009A53AC" w:rsidRPr="00D663F8" w14:paraId="5F90ADAE" w14:textId="77777777" w:rsidTr="00B272AD">
        <w:trPr>
          <w:trHeight w:val="30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263CFB0"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Liberia</w:t>
            </w:r>
          </w:p>
        </w:tc>
        <w:tc>
          <w:tcPr>
            <w:tcW w:w="879" w:type="dxa"/>
            <w:tcBorders>
              <w:top w:val="nil"/>
              <w:left w:val="nil"/>
              <w:bottom w:val="single" w:sz="4" w:space="0" w:color="auto"/>
              <w:right w:val="single" w:sz="4" w:space="0" w:color="auto"/>
            </w:tcBorders>
            <w:shd w:val="clear" w:color="auto" w:fill="auto"/>
            <w:vAlign w:val="bottom"/>
            <w:hideMark/>
          </w:tcPr>
          <w:p w14:paraId="1A23491D"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2011</w:t>
            </w:r>
          </w:p>
        </w:tc>
        <w:tc>
          <w:tcPr>
            <w:tcW w:w="975" w:type="dxa"/>
            <w:tcBorders>
              <w:top w:val="nil"/>
              <w:left w:val="nil"/>
              <w:bottom w:val="single" w:sz="4" w:space="0" w:color="auto"/>
              <w:right w:val="single" w:sz="4" w:space="0" w:color="auto"/>
            </w:tcBorders>
            <w:shd w:val="clear" w:color="auto" w:fill="auto"/>
            <w:vAlign w:val="bottom"/>
            <w:hideMark/>
          </w:tcPr>
          <w:p w14:paraId="56B89D86"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6-36</w:t>
            </w:r>
          </w:p>
        </w:tc>
        <w:tc>
          <w:tcPr>
            <w:tcW w:w="1118" w:type="dxa"/>
            <w:tcBorders>
              <w:top w:val="nil"/>
              <w:left w:val="nil"/>
              <w:bottom w:val="single" w:sz="4" w:space="0" w:color="auto"/>
              <w:right w:val="single" w:sz="4" w:space="0" w:color="auto"/>
            </w:tcBorders>
            <w:shd w:val="clear" w:color="auto" w:fill="auto"/>
            <w:vAlign w:val="bottom"/>
            <w:hideMark/>
          </w:tcPr>
          <w:p w14:paraId="037FFC2B"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1434</w:t>
            </w:r>
          </w:p>
        </w:tc>
        <w:tc>
          <w:tcPr>
            <w:tcW w:w="1776" w:type="dxa"/>
            <w:tcBorders>
              <w:top w:val="nil"/>
              <w:left w:val="nil"/>
              <w:bottom w:val="single" w:sz="4" w:space="0" w:color="auto"/>
              <w:right w:val="single" w:sz="4" w:space="0" w:color="auto"/>
            </w:tcBorders>
            <w:shd w:val="clear" w:color="auto" w:fill="auto"/>
            <w:vAlign w:val="bottom"/>
            <w:hideMark/>
          </w:tcPr>
          <w:p w14:paraId="5FF9B2F8"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iron, vitamin A</w:t>
            </w:r>
          </w:p>
        </w:tc>
        <w:tc>
          <w:tcPr>
            <w:tcW w:w="1060" w:type="dxa"/>
            <w:tcBorders>
              <w:top w:val="nil"/>
              <w:left w:val="nil"/>
              <w:bottom w:val="single" w:sz="4" w:space="0" w:color="auto"/>
              <w:right w:val="single" w:sz="4" w:space="0" w:color="auto"/>
            </w:tcBorders>
            <w:shd w:val="clear" w:color="auto" w:fill="auto"/>
            <w:vAlign w:val="bottom"/>
            <w:hideMark/>
          </w:tcPr>
          <w:p w14:paraId="0953BA86"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1019" w:type="dxa"/>
            <w:tcBorders>
              <w:top w:val="nil"/>
              <w:left w:val="nil"/>
              <w:bottom w:val="single" w:sz="4" w:space="0" w:color="auto"/>
              <w:right w:val="single" w:sz="4" w:space="0" w:color="auto"/>
            </w:tcBorders>
            <w:shd w:val="clear" w:color="auto" w:fill="auto"/>
            <w:vAlign w:val="bottom"/>
            <w:hideMark/>
          </w:tcPr>
          <w:p w14:paraId="6C2765C4"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999" w:type="dxa"/>
            <w:tcBorders>
              <w:top w:val="nil"/>
              <w:left w:val="nil"/>
              <w:bottom w:val="single" w:sz="4" w:space="0" w:color="auto"/>
              <w:right w:val="single" w:sz="4" w:space="0" w:color="auto"/>
            </w:tcBorders>
            <w:shd w:val="clear" w:color="auto" w:fill="auto"/>
            <w:vAlign w:val="bottom"/>
            <w:hideMark/>
          </w:tcPr>
          <w:p w14:paraId="3E780E28"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4969" w:type="dxa"/>
            <w:tcBorders>
              <w:top w:val="nil"/>
              <w:left w:val="nil"/>
              <w:bottom w:val="single" w:sz="4" w:space="0" w:color="auto"/>
              <w:right w:val="single" w:sz="4" w:space="0" w:color="auto"/>
            </w:tcBorders>
            <w:shd w:val="clear" w:color="auto" w:fill="auto"/>
            <w:vAlign w:val="bottom"/>
            <w:hideMark/>
          </w:tcPr>
          <w:p w14:paraId="1EC3FB69"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Liberia National Micronutrient Survey 2011</w:t>
            </w:r>
          </w:p>
        </w:tc>
      </w:tr>
      <w:tr w:rsidR="009A53AC" w:rsidRPr="00D663F8" w14:paraId="743E2948" w14:textId="77777777" w:rsidTr="00B272AD">
        <w:trPr>
          <w:trHeight w:val="525"/>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C63D170"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Malawi</w:t>
            </w:r>
          </w:p>
        </w:tc>
        <w:tc>
          <w:tcPr>
            <w:tcW w:w="879" w:type="dxa"/>
            <w:tcBorders>
              <w:top w:val="nil"/>
              <w:left w:val="nil"/>
              <w:bottom w:val="single" w:sz="4" w:space="0" w:color="auto"/>
              <w:right w:val="single" w:sz="4" w:space="0" w:color="auto"/>
            </w:tcBorders>
            <w:shd w:val="clear" w:color="auto" w:fill="auto"/>
            <w:vAlign w:val="bottom"/>
            <w:hideMark/>
          </w:tcPr>
          <w:p w14:paraId="2C669EBD"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2015-2016</w:t>
            </w:r>
          </w:p>
        </w:tc>
        <w:tc>
          <w:tcPr>
            <w:tcW w:w="975" w:type="dxa"/>
            <w:tcBorders>
              <w:top w:val="nil"/>
              <w:left w:val="nil"/>
              <w:bottom w:val="single" w:sz="4" w:space="0" w:color="auto"/>
              <w:right w:val="single" w:sz="4" w:space="0" w:color="auto"/>
            </w:tcBorders>
            <w:shd w:val="clear" w:color="auto" w:fill="auto"/>
            <w:vAlign w:val="bottom"/>
            <w:hideMark/>
          </w:tcPr>
          <w:p w14:paraId="77E48575"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6-59</w:t>
            </w:r>
          </w:p>
        </w:tc>
        <w:tc>
          <w:tcPr>
            <w:tcW w:w="1118" w:type="dxa"/>
            <w:tcBorders>
              <w:top w:val="nil"/>
              <w:left w:val="nil"/>
              <w:bottom w:val="single" w:sz="4" w:space="0" w:color="auto"/>
              <w:right w:val="single" w:sz="4" w:space="0" w:color="auto"/>
            </w:tcBorders>
            <w:shd w:val="clear" w:color="auto" w:fill="auto"/>
            <w:vAlign w:val="bottom"/>
            <w:hideMark/>
          </w:tcPr>
          <w:p w14:paraId="14E0E0AD"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1080</w:t>
            </w:r>
          </w:p>
        </w:tc>
        <w:tc>
          <w:tcPr>
            <w:tcW w:w="1776" w:type="dxa"/>
            <w:tcBorders>
              <w:top w:val="nil"/>
              <w:left w:val="nil"/>
              <w:bottom w:val="single" w:sz="4" w:space="0" w:color="auto"/>
              <w:right w:val="single" w:sz="4" w:space="0" w:color="auto"/>
            </w:tcBorders>
            <w:shd w:val="clear" w:color="auto" w:fill="auto"/>
            <w:vAlign w:val="bottom"/>
            <w:hideMark/>
          </w:tcPr>
          <w:p w14:paraId="12181A67"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iron, vitamin A, zinc</w:t>
            </w:r>
          </w:p>
        </w:tc>
        <w:tc>
          <w:tcPr>
            <w:tcW w:w="1060" w:type="dxa"/>
            <w:tcBorders>
              <w:top w:val="nil"/>
              <w:left w:val="nil"/>
              <w:bottom w:val="single" w:sz="4" w:space="0" w:color="auto"/>
              <w:right w:val="single" w:sz="4" w:space="0" w:color="auto"/>
            </w:tcBorders>
            <w:shd w:val="clear" w:color="auto" w:fill="auto"/>
            <w:vAlign w:val="bottom"/>
            <w:hideMark/>
          </w:tcPr>
          <w:p w14:paraId="41B994D2"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9.3</w:t>
            </w:r>
          </w:p>
        </w:tc>
        <w:tc>
          <w:tcPr>
            <w:tcW w:w="1019" w:type="dxa"/>
            <w:tcBorders>
              <w:top w:val="nil"/>
              <w:left w:val="nil"/>
              <w:bottom w:val="single" w:sz="4" w:space="0" w:color="auto"/>
              <w:right w:val="single" w:sz="4" w:space="0" w:color="auto"/>
            </w:tcBorders>
            <w:shd w:val="clear" w:color="auto" w:fill="auto"/>
            <w:vAlign w:val="bottom"/>
            <w:hideMark/>
          </w:tcPr>
          <w:p w14:paraId="078F06FF"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999" w:type="dxa"/>
            <w:tcBorders>
              <w:top w:val="nil"/>
              <w:left w:val="nil"/>
              <w:bottom w:val="single" w:sz="4" w:space="0" w:color="auto"/>
              <w:right w:val="single" w:sz="4" w:space="0" w:color="auto"/>
            </w:tcBorders>
            <w:shd w:val="clear" w:color="auto" w:fill="auto"/>
            <w:vAlign w:val="bottom"/>
            <w:hideMark/>
          </w:tcPr>
          <w:p w14:paraId="150C1BC9"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4969" w:type="dxa"/>
            <w:tcBorders>
              <w:top w:val="nil"/>
              <w:left w:val="nil"/>
              <w:bottom w:val="single" w:sz="4" w:space="0" w:color="auto"/>
              <w:right w:val="single" w:sz="4" w:space="0" w:color="auto"/>
            </w:tcBorders>
            <w:shd w:val="clear" w:color="auto" w:fill="auto"/>
            <w:vAlign w:val="bottom"/>
            <w:hideMark/>
          </w:tcPr>
          <w:p w14:paraId="0C92BBE0"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Malawi Demographic and Health Survey 2015-2016</w:t>
            </w:r>
          </w:p>
        </w:tc>
      </w:tr>
      <w:tr w:rsidR="009A53AC" w:rsidRPr="00050AD8" w14:paraId="35E35D2F" w14:textId="77777777" w:rsidTr="00B272AD">
        <w:trPr>
          <w:trHeight w:val="30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FC2B61B"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Mexico</w:t>
            </w:r>
          </w:p>
        </w:tc>
        <w:tc>
          <w:tcPr>
            <w:tcW w:w="879" w:type="dxa"/>
            <w:tcBorders>
              <w:top w:val="nil"/>
              <w:left w:val="nil"/>
              <w:bottom w:val="single" w:sz="4" w:space="0" w:color="auto"/>
              <w:right w:val="single" w:sz="4" w:space="0" w:color="auto"/>
            </w:tcBorders>
            <w:shd w:val="clear" w:color="auto" w:fill="auto"/>
            <w:vAlign w:val="bottom"/>
            <w:hideMark/>
          </w:tcPr>
          <w:p w14:paraId="3BD0E288"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2006</w:t>
            </w:r>
          </w:p>
        </w:tc>
        <w:tc>
          <w:tcPr>
            <w:tcW w:w="975" w:type="dxa"/>
            <w:tcBorders>
              <w:top w:val="nil"/>
              <w:left w:val="nil"/>
              <w:bottom w:val="single" w:sz="4" w:space="0" w:color="auto"/>
              <w:right w:val="single" w:sz="4" w:space="0" w:color="auto"/>
            </w:tcBorders>
            <w:shd w:val="clear" w:color="auto" w:fill="auto"/>
            <w:vAlign w:val="bottom"/>
            <w:hideMark/>
          </w:tcPr>
          <w:p w14:paraId="578F4223"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13-60</w:t>
            </w:r>
          </w:p>
        </w:tc>
        <w:tc>
          <w:tcPr>
            <w:tcW w:w="1118" w:type="dxa"/>
            <w:tcBorders>
              <w:top w:val="nil"/>
              <w:left w:val="nil"/>
              <w:bottom w:val="single" w:sz="4" w:space="0" w:color="auto"/>
              <w:right w:val="single" w:sz="4" w:space="0" w:color="auto"/>
            </w:tcBorders>
            <w:shd w:val="clear" w:color="auto" w:fill="auto"/>
            <w:vAlign w:val="bottom"/>
            <w:hideMark/>
          </w:tcPr>
          <w:p w14:paraId="2DE9248A"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1253</w:t>
            </w:r>
          </w:p>
        </w:tc>
        <w:tc>
          <w:tcPr>
            <w:tcW w:w="1776" w:type="dxa"/>
            <w:tcBorders>
              <w:top w:val="nil"/>
              <w:left w:val="nil"/>
              <w:bottom w:val="single" w:sz="4" w:space="0" w:color="auto"/>
              <w:right w:val="single" w:sz="4" w:space="0" w:color="auto"/>
            </w:tcBorders>
            <w:shd w:val="clear" w:color="auto" w:fill="auto"/>
            <w:vAlign w:val="bottom"/>
            <w:hideMark/>
          </w:tcPr>
          <w:p w14:paraId="642B8438"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iron, zinc</w:t>
            </w:r>
          </w:p>
        </w:tc>
        <w:tc>
          <w:tcPr>
            <w:tcW w:w="1060" w:type="dxa"/>
            <w:tcBorders>
              <w:top w:val="nil"/>
              <w:left w:val="nil"/>
              <w:bottom w:val="single" w:sz="4" w:space="0" w:color="auto"/>
              <w:right w:val="single" w:sz="4" w:space="0" w:color="auto"/>
            </w:tcBorders>
            <w:shd w:val="clear" w:color="auto" w:fill="auto"/>
            <w:vAlign w:val="bottom"/>
            <w:hideMark/>
          </w:tcPr>
          <w:p w14:paraId="747C3A1F"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9.9</w:t>
            </w:r>
          </w:p>
        </w:tc>
        <w:tc>
          <w:tcPr>
            <w:tcW w:w="1019" w:type="dxa"/>
            <w:tcBorders>
              <w:top w:val="nil"/>
              <w:left w:val="nil"/>
              <w:bottom w:val="single" w:sz="4" w:space="0" w:color="auto"/>
              <w:right w:val="single" w:sz="4" w:space="0" w:color="auto"/>
            </w:tcBorders>
            <w:shd w:val="clear" w:color="auto" w:fill="auto"/>
            <w:vAlign w:val="bottom"/>
            <w:hideMark/>
          </w:tcPr>
          <w:p w14:paraId="5CCEB909"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r>
              <w:rPr>
                <w:rFonts w:ascii="Calibri" w:hAnsi="Calibri" w:cs="Calibri"/>
                <w:color w:val="000000"/>
                <w:sz w:val="20"/>
                <w:lang w:eastAsia="en-US"/>
              </w:rPr>
              <w:t>*</w:t>
            </w:r>
          </w:p>
        </w:tc>
        <w:tc>
          <w:tcPr>
            <w:tcW w:w="999" w:type="dxa"/>
            <w:tcBorders>
              <w:top w:val="nil"/>
              <w:left w:val="nil"/>
              <w:bottom w:val="single" w:sz="4" w:space="0" w:color="auto"/>
              <w:right w:val="single" w:sz="4" w:space="0" w:color="auto"/>
            </w:tcBorders>
            <w:shd w:val="clear" w:color="auto" w:fill="auto"/>
            <w:vAlign w:val="bottom"/>
            <w:hideMark/>
          </w:tcPr>
          <w:p w14:paraId="019D7F31"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4969" w:type="dxa"/>
            <w:tcBorders>
              <w:top w:val="nil"/>
              <w:left w:val="nil"/>
              <w:bottom w:val="single" w:sz="4" w:space="0" w:color="auto"/>
              <w:right w:val="single" w:sz="4" w:space="0" w:color="auto"/>
            </w:tcBorders>
            <w:shd w:val="clear" w:color="auto" w:fill="auto"/>
            <w:vAlign w:val="bottom"/>
            <w:hideMark/>
          </w:tcPr>
          <w:p w14:paraId="12252404" w14:textId="77777777" w:rsidR="009A53AC" w:rsidRPr="00D663F8" w:rsidRDefault="009A53AC" w:rsidP="00B272AD">
            <w:pPr>
              <w:spacing w:line="240" w:lineRule="auto"/>
              <w:rPr>
                <w:rFonts w:ascii="Calibri" w:hAnsi="Calibri" w:cs="Calibri"/>
                <w:color w:val="000000"/>
                <w:sz w:val="20"/>
                <w:lang w:val="es-MX" w:eastAsia="en-US"/>
              </w:rPr>
            </w:pPr>
            <w:r w:rsidRPr="00D663F8">
              <w:rPr>
                <w:rFonts w:ascii="Calibri" w:hAnsi="Calibri" w:cs="Calibri"/>
                <w:color w:val="000000"/>
                <w:sz w:val="20"/>
                <w:lang w:val="es-MX" w:eastAsia="en-US"/>
              </w:rPr>
              <w:t>Encuesta Nacional de Salud y Nutrición (ENSANUT)</w:t>
            </w:r>
          </w:p>
        </w:tc>
      </w:tr>
      <w:tr w:rsidR="009A53AC" w:rsidRPr="00050AD8" w14:paraId="1F401EBA" w14:textId="77777777" w:rsidTr="00B272AD">
        <w:trPr>
          <w:trHeight w:val="525"/>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E7AAE19"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Mexico</w:t>
            </w:r>
          </w:p>
        </w:tc>
        <w:tc>
          <w:tcPr>
            <w:tcW w:w="879" w:type="dxa"/>
            <w:tcBorders>
              <w:top w:val="nil"/>
              <w:left w:val="nil"/>
              <w:bottom w:val="single" w:sz="4" w:space="0" w:color="auto"/>
              <w:right w:val="single" w:sz="4" w:space="0" w:color="auto"/>
            </w:tcBorders>
            <w:shd w:val="clear" w:color="auto" w:fill="auto"/>
            <w:vAlign w:val="bottom"/>
            <w:hideMark/>
          </w:tcPr>
          <w:p w14:paraId="7375EB51"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2018-2019</w:t>
            </w:r>
          </w:p>
        </w:tc>
        <w:tc>
          <w:tcPr>
            <w:tcW w:w="975" w:type="dxa"/>
            <w:tcBorders>
              <w:top w:val="nil"/>
              <w:left w:val="nil"/>
              <w:bottom w:val="single" w:sz="4" w:space="0" w:color="auto"/>
              <w:right w:val="single" w:sz="4" w:space="0" w:color="auto"/>
            </w:tcBorders>
            <w:shd w:val="clear" w:color="auto" w:fill="auto"/>
            <w:vAlign w:val="bottom"/>
            <w:hideMark/>
          </w:tcPr>
          <w:p w14:paraId="0DD1748C"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12-48</w:t>
            </w:r>
          </w:p>
        </w:tc>
        <w:tc>
          <w:tcPr>
            <w:tcW w:w="1118" w:type="dxa"/>
            <w:tcBorders>
              <w:top w:val="nil"/>
              <w:left w:val="nil"/>
              <w:bottom w:val="single" w:sz="4" w:space="0" w:color="auto"/>
              <w:right w:val="single" w:sz="4" w:space="0" w:color="auto"/>
            </w:tcBorders>
            <w:shd w:val="clear" w:color="auto" w:fill="auto"/>
            <w:vAlign w:val="bottom"/>
            <w:hideMark/>
          </w:tcPr>
          <w:p w14:paraId="3770C48D"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965</w:t>
            </w:r>
          </w:p>
        </w:tc>
        <w:tc>
          <w:tcPr>
            <w:tcW w:w="1776" w:type="dxa"/>
            <w:tcBorders>
              <w:top w:val="nil"/>
              <w:left w:val="nil"/>
              <w:bottom w:val="single" w:sz="4" w:space="0" w:color="auto"/>
              <w:right w:val="single" w:sz="4" w:space="0" w:color="auto"/>
            </w:tcBorders>
            <w:shd w:val="clear" w:color="auto" w:fill="auto"/>
            <w:vAlign w:val="bottom"/>
            <w:hideMark/>
          </w:tcPr>
          <w:p w14:paraId="7C3116B5"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iron, vitamin A, zinc</w:t>
            </w:r>
          </w:p>
        </w:tc>
        <w:tc>
          <w:tcPr>
            <w:tcW w:w="1060" w:type="dxa"/>
            <w:tcBorders>
              <w:top w:val="nil"/>
              <w:left w:val="nil"/>
              <w:bottom w:val="single" w:sz="4" w:space="0" w:color="auto"/>
              <w:right w:val="single" w:sz="4" w:space="0" w:color="auto"/>
            </w:tcBorders>
            <w:shd w:val="clear" w:color="auto" w:fill="auto"/>
            <w:vAlign w:val="bottom"/>
            <w:hideMark/>
          </w:tcPr>
          <w:p w14:paraId="02411485"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9.9</w:t>
            </w:r>
          </w:p>
        </w:tc>
        <w:tc>
          <w:tcPr>
            <w:tcW w:w="1019" w:type="dxa"/>
            <w:tcBorders>
              <w:top w:val="nil"/>
              <w:left w:val="nil"/>
              <w:bottom w:val="single" w:sz="4" w:space="0" w:color="auto"/>
              <w:right w:val="single" w:sz="4" w:space="0" w:color="auto"/>
            </w:tcBorders>
            <w:shd w:val="clear" w:color="auto" w:fill="auto"/>
            <w:vAlign w:val="bottom"/>
            <w:hideMark/>
          </w:tcPr>
          <w:p w14:paraId="15BCE20C"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999" w:type="dxa"/>
            <w:tcBorders>
              <w:top w:val="nil"/>
              <w:left w:val="nil"/>
              <w:bottom w:val="single" w:sz="4" w:space="0" w:color="auto"/>
              <w:right w:val="single" w:sz="4" w:space="0" w:color="auto"/>
            </w:tcBorders>
            <w:shd w:val="clear" w:color="auto" w:fill="auto"/>
            <w:vAlign w:val="bottom"/>
            <w:hideMark/>
          </w:tcPr>
          <w:p w14:paraId="0A38B4E4"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4969" w:type="dxa"/>
            <w:tcBorders>
              <w:top w:val="nil"/>
              <w:left w:val="nil"/>
              <w:bottom w:val="single" w:sz="4" w:space="0" w:color="auto"/>
              <w:right w:val="single" w:sz="4" w:space="0" w:color="auto"/>
            </w:tcBorders>
            <w:shd w:val="clear" w:color="auto" w:fill="auto"/>
            <w:vAlign w:val="bottom"/>
            <w:hideMark/>
          </w:tcPr>
          <w:p w14:paraId="3C8040BB" w14:textId="77777777" w:rsidR="009A53AC" w:rsidRPr="00D663F8" w:rsidRDefault="009A53AC" w:rsidP="00B272AD">
            <w:pPr>
              <w:spacing w:line="240" w:lineRule="auto"/>
              <w:rPr>
                <w:rFonts w:ascii="Calibri" w:hAnsi="Calibri" w:cs="Calibri"/>
                <w:color w:val="000000"/>
                <w:sz w:val="20"/>
                <w:lang w:val="es-MX" w:eastAsia="en-US"/>
              </w:rPr>
            </w:pPr>
            <w:r w:rsidRPr="00D663F8">
              <w:rPr>
                <w:rFonts w:ascii="Calibri" w:hAnsi="Calibri" w:cs="Calibri"/>
                <w:color w:val="000000"/>
                <w:sz w:val="20"/>
                <w:lang w:val="es-MX" w:eastAsia="en-US"/>
              </w:rPr>
              <w:t>Encuesta Nacional de Salud y Nutrición (ENSANUT)</w:t>
            </w:r>
          </w:p>
        </w:tc>
      </w:tr>
      <w:tr w:rsidR="009A53AC" w:rsidRPr="00050AD8" w14:paraId="208AEB41" w14:textId="77777777" w:rsidTr="00B272AD">
        <w:trPr>
          <w:trHeight w:val="30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9E78269"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Mexico</w:t>
            </w:r>
          </w:p>
        </w:tc>
        <w:tc>
          <w:tcPr>
            <w:tcW w:w="879" w:type="dxa"/>
            <w:tcBorders>
              <w:top w:val="nil"/>
              <w:left w:val="nil"/>
              <w:bottom w:val="single" w:sz="4" w:space="0" w:color="auto"/>
              <w:right w:val="single" w:sz="4" w:space="0" w:color="auto"/>
            </w:tcBorders>
            <w:shd w:val="clear" w:color="auto" w:fill="auto"/>
            <w:vAlign w:val="bottom"/>
            <w:hideMark/>
          </w:tcPr>
          <w:p w14:paraId="4182E2DE"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2012</w:t>
            </w:r>
          </w:p>
        </w:tc>
        <w:tc>
          <w:tcPr>
            <w:tcW w:w="975" w:type="dxa"/>
            <w:tcBorders>
              <w:top w:val="nil"/>
              <w:left w:val="nil"/>
              <w:bottom w:val="single" w:sz="4" w:space="0" w:color="auto"/>
              <w:right w:val="single" w:sz="4" w:space="0" w:color="auto"/>
            </w:tcBorders>
            <w:shd w:val="clear" w:color="auto" w:fill="auto"/>
            <w:vAlign w:val="bottom"/>
            <w:hideMark/>
          </w:tcPr>
          <w:p w14:paraId="554627B4"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12-60</w:t>
            </w:r>
          </w:p>
        </w:tc>
        <w:tc>
          <w:tcPr>
            <w:tcW w:w="1118" w:type="dxa"/>
            <w:tcBorders>
              <w:top w:val="nil"/>
              <w:left w:val="nil"/>
              <w:bottom w:val="single" w:sz="4" w:space="0" w:color="auto"/>
              <w:right w:val="single" w:sz="4" w:space="0" w:color="auto"/>
            </w:tcBorders>
            <w:shd w:val="clear" w:color="auto" w:fill="auto"/>
            <w:vAlign w:val="bottom"/>
            <w:hideMark/>
          </w:tcPr>
          <w:p w14:paraId="7F6E020C"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2595</w:t>
            </w:r>
          </w:p>
        </w:tc>
        <w:tc>
          <w:tcPr>
            <w:tcW w:w="1776" w:type="dxa"/>
            <w:tcBorders>
              <w:top w:val="nil"/>
              <w:left w:val="nil"/>
              <w:bottom w:val="single" w:sz="4" w:space="0" w:color="auto"/>
              <w:right w:val="single" w:sz="4" w:space="0" w:color="auto"/>
            </w:tcBorders>
            <w:shd w:val="clear" w:color="auto" w:fill="auto"/>
            <w:vAlign w:val="bottom"/>
            <w:hideMark/>
          </w:tcPr>
          <w:p w14:paraId="3A518883"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iron, vitamin A</w:t>
            </w:r>
          </w:p>
        </w:tc>
        <w:tc>
          <w:tcPr>
            <w:tcW w:w="1060" w:type="dxa"/>
            <w:tcBorders>
              <w:top w:val="nil"/>
              <w:left w:val="nil"/>
              <w:bottom w:val="single" w:sz="4" w:space="0" w:color="auto"/>
              <w:right w:val="single" w:sz="4" w:space="0" w:color="auto"/>
            </w:tcBorders>
            <w:shd w:val="clear" w:color="auto" w:fill="auto"/>
            <w:vAlign w:val="bottom"/>
            <w:hideMark/>
          </w:tcPr>
          <w:p w14:paraId="64EED0B2"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1019" w:type="dxa"/>
            <w:tcBorders>
              <w:top w:val="nil"/>
              <w:left w:val="nil"/>
              <w:bottom w:val="single" w:sz="4" w:space="0" w:color="auto"/>
              <w:right w:val="single" w:sz="4" w:space="0" w:color="auto"/>
            </w:tcBorders>
            <w:shd w:val="clear" w:color="auto" w:fill="auto"/>
            <w:vAlign w:val="bottom"/>
            <w:hideMark/>
          </w:tcPr>
          <w:p w14:paraId="38C924F7"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11.4</w:t>
            </w:r>
          </w:p>
        </w:tc>
        <w:tc>
          <w:tcPr>
            <w:tcW w:w="999" w:type="dxa"/>
            <w:tcBorders>
              <w:top w:val="nil"/>
              <w:left w:val="nil"/>
              <w:bottom w:val="single" w:sz="4" w:space="0" w:color="auto"/>
              <w:right w:val="single" w:sz="4" w:space="0" w:color="auto"/>
            </w:tcBorders>
            <w:shd w:val="clear" w:color="auto" w:fill="auto"/>
            <w:vAlign w:val="bottom"/>
            <w:hideMark/>
          </w:tcPr>
          <w:p w14:paraId="179BEB94"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4969" w:type="dxa"/>
            <w:tcBorders>
              <w:top w:val="nil"/>
              <w:left w:val="nil"/>
              <w:bottom w:val="single" w:sz="4" w:space="0" w:color="auto"/>
              <w:right w:val="single" w:sz="4" w:space="0" w:color="auto"/>
            </w:tcBorders>
            <w:shd w:val="clear" w:color="auto" w:fill="auto"/>
            <w:vAlign w:val="bottom"/>
            <w:hideMark/>
          </w:tcPr>
          <w:p w14:paraId="53A94A0E" w14:textId="77777777" w:rsidR="009A53AC" w:rsidRPr="00D663F8" w:rsidRDefault="009A53AC" w:rsidP="00B272AD">
            <w:pPr>
              <w:spacing w:line="240" w:lineRule="auto"/>
              <w:rPr>
                <w:rFonts w:ascii="Calibri" w:hAnsi="Calibri" w:cs="Calibri"/>
                <w:color w:val="000000"/>
                <w:sz w:val="20"/>
                <w:lang w:val="es-MX" w:eastAsia="en-US"/>
              </w:rPr>
            </w:pPr>
            <w:r w:rsidRPr="00D663F8">
              <w:rPr>
                <w:rFonts w:ascii="Calibri" w:hAnsi="Calibri" w:cs="Calibri"/>
                <w:color w:val="000000"/>
                <w:sz w:val="20"/>
                <w:lang w:val="es-MX" w:eastAsia="en-US"/>
              </w:rPr>
              <w:t>Encuesta Nacional de Salud y Nutrición (ENSANUT)</w:t>
            </w:r>
          </w:p>
        </w:tc>
      </w:tr>
      <w:tr w:rsidR="009A53AC" w:rsidRPr="00D663F8" w14:paraId="772F32DF" w14:textId="77777777" w:rsidTr="00B272AD">
        <w:trPr>
          <w:trHeight w:val="30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C6FF33C"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Nepal</w:t>
            </w:r>
          </w:p>
        </w:tc>
        <w:tc>
          <w:tcPr>
            <w:tcW w:w="879" w:type="dxa"/>
            <w:tcBorders>
              <w:top w:val="nil"/>
              <w:left w:val="nil"/>
              <w:bottom w:val="single" w:sz="4" w:space="0" w:color="auto"/>
              <w:right w:val="single" w:sz="4" w:space="0" w:color="auto"/>
            </w:tcBorders>
            <w:shd w:val="clear" w:color="auto" w:fill="auto"/>
            <w:vAlign w:val="bottom"/>
            <w:hideMark/>
          </w:tcPr>
          <w:p w14:paraId="3DD2F760"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2016</w:t>
            </w:r>
          </w:p>
        </w:tc>
        <w:tc>
          <w:tcPr>
            <w:tcW w:w="975" w:type="dxa"/>
            <w:tcBorders>
              <w:top w:val="nil"/>
              <w:left w:val="nil"/>
              <w:bottom w:val="single" w:sz="4" w:space="0" w:color="auto"/>
              <w:right w:val="single" w:sz="4" w:space="0" w:color="auto"/>
            </w:tcBorders>
            <w:shd w:val="clear" w:color="auto" w:fill="auto"/>
            <w:vAlign w:val="bottom"/>
            <w:hideMark/>
          </w:tcPr>
          <w:p w14:paraId="6168E8A7"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6-59</w:t>
            </w:r>
          </w:p>
        </w:tc>
        <w:tc>
          <w:tcPr>
            <w:tcW w:w="1118" w:type="dxa"/>
            <w:tcBorders>
              <w:top w:val="nil"/>
              <w:left w:val="nil"/>
              <w:bottom w:val="single" w:sz="4" w:space="0" w:color="auto"/>
              <w:right w:val="single" w:sz="4" w:space="0" w:color="auto"/>
            </w:tcBorders>
            <w:shd w:val="clear" w:color="auto" w:fill="auto"/>
            <w:vAlign w:val="bottom"/>
            <w:hideMark/>
          </w:tcPr>
          <w:p w14:paraId="10B23326"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1647</w:t>
            </w:r>
          </w:p>
        </w:tc>
        <w:tc>
          <w:tcPr>
            <w:tcW w:w="1776" w:type="dxa"/>
            <w:tcBorders>
              <w:top w:val="nil"/>
              <w:left w:val="nil"/>
              <w:bottom w:val="single" w:sz="4" w:space="0" w:color="auto"/>
              <w:right w:val="single" w:sz="4" w:space="0" w:color="auto"/>
            </w:tcBorders>
            <w:shd w:val="clear" w:color="auto" w:fill="auto"/>
            <w:vAlign w:val="bottom"/>
            <w:hideMark/>
          </w:tcPr>
          <w:p w14:paraId="1F610289"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iron, vitamin A, zinc</w:t>
            </w:r>
          </w:p>
        </w:tc>
        <w:tc>
          <w:tcPr>
            <w:tcW w:w="1060" w:type="dxa"/>
            <w:tcBorders>
              <w:top w:val="nil"/>
              <w:left w:val="nil"/>
              <w:bottom w:val="single" w:sz="4" w:space="0" w:color="auto"/>
              <w:right w:val="single" w:sz="4" w:space="0" w:color="auto"/>
            </w:tcBorders>
            <w:shd w:val="clear" w:color="auto" w:fill="auto"/>
            <w:vAlign w:val="bottom"/>
            <w:hideMark/>
          </w:tcPr>
          <w:p w14:paraId="67AB116B"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9.3</w:t>
            </w:r>
          </w:p>
        </w:tc>
        <w:tc>
          <w:tcPr>
            <w:tcW w:w="1019" w:type="dxa"/>
            <w:tcBorders>
              <w:top w:val="nil"/>
              <w:left w:val="nil"/>
              <w:bottom w:val="single" w:sz="4" w:space="0" w:color="auto"/>
              <w:right w:val="single" w:sz="4" w:space="0" w:color="auto"/>
            </w:tcBorders>
            <w:shd w:val="clear" w:color="auto" w:fill="auto"/>
            <w:vAlign w:val="bottom"/>
            <w:hideMark/>
          </w:tcPr>
          <w:p w14:paraId="28C812EF"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999" w:type="dxa"/>
            <w:tcBorders>
              <w:top w:val="nil"/>
              <w:left w:val="nil"/>
              <w:bottom w:val="single" w:sz="4" w:space="0" w:color="auto"/>
              <w:right w:val="single" w:sz="4" w:space="0" w:color="auto"/>
            </w:tcBorders>
            <w:shd w:val="clear" w:color="auto" w:fill="auto"/>
            <w:vAlign w:val="bottom"/>
            <w:hideMark/>
          </w:tcPr>
          <w:p w14:paraId="1E8B253B"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340</w:t>
            </w:r>
          </w:p>
        </w:tc>
        <w:tc>
          <w:tcPr>
            <w:tcW w:w="4969" w:type="dxa"/>
            <w:tcBorders>
              <w:top w:val="nil"/>
              <w:left w:val="nil"/>
              <w:bottom w:val="single" w:sz="4" w:space="0" w:color="auto"/>
              <w:right w:val="single" w:sz="4" w:space="0" w:color="auto"/>
            </w:tcBorders>
            <w:shd w:val="clear" w:color="auto" w:fill="auto"/>
            <w:vAlign w:val="bottom"/>
            <w:hideMark/>
          </w:tcPr>
          <w:p w14:paraId="5B200A12" w14:textId="77777777" w:rsidR="009A53AC" w:rsidRPr="00D663F8" w:rsidRDefault="009A53AC" w:rsidP="00B272AD">
            <w:pPr>
              <w:spacing w:line="240" w:lineRule="auto"/>
              <w:rPr>
                <w:rFonts w:ascii="Calibri" w:hAnsi="Calibri" w:cs="Calibri"/>
                <w:color w:val="000000"/>
                <w:sz w:val="20"/>
                <w:lang w:eastAsia="en-US"/>
              </w:rPr>
            </w:pPr>
            <w:r>
              <w:rPr>
                <w:rFonts w:ascii="Calibri" w:hAnsi="Calibri" w:cs="Calibri"/>
                <w:color w:val="000000"/>
                <w:sz w:val="20"/>
                <w:lang w:eastAsia="en-US"/>
              </w:rPr>
              <w:t xml:space="preserve">Nepal </w:t>
            </w:r>
            <w:r w:rsidRPr="00D663F8">
              <w:rPr>
                <w:rFonts w:ascii="Calibri" w:hAnsi="Calibri" w:cs="Calibri"/>
                <w:color w:val="000000"/>
                <w:sz w:val="20"/>
                <w:lang w:eastAsia="en-US"/>
              </w:rPr>
              <w:t>National Micronutrient Status Survey</w:t>
            </w:r>
            <w:r>
              <w:rPr>
                <w:rFonts w:ascii="Calibri" w:hAnsi="Calibri" w:cs="Calibri"/>
                <w:color w:val="000000"/>
                <w:sz w:val="20"/>
                <w:lang w:eastAsia="en-US"/>
              </w:rPr>
              <w:t xml:space="preserve"> (NNMSS)</w:t>
            </w:r>
          </w:p>
        </w:tc>
      </w:tr>
      <w:tr w:rsidR="009A53AC" w:rsidRPr="00050AD8" w14:paraId="3AF0C5AE" w14:textId="77777777" w:rsidTr="00B272AD">
        <w:trPr>
          <w:trHeight w:val="525"/>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8BF8926"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Nicaragua</w:t>
            </w:r>
          </w:p>
        </w:tc>
        <w:tc>
          <w:tcPr>
            <w:tcW w:w="879" w:type="dxa"/>
            <w:tcBorders>
              <w:top w:val="nil"/>
              <w:left w:val="nil"/>
              <w:bottom w:val="single" w:sz="4" w:space="0" w:color="auto"/>
              <w:right w:val="single" w:sz="4" w:space="0" w:color="auto"/>
            </w:tcBorders>
            <w:shd w:val="clear" w:color="auto" w:fill="auto"/>
            <w:vAlign w:val="bottom"/>
            <w:hideMark/>
          </w:tcPr>
          <w:p w14:paraId="16FD65A0"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2005</w:t>
            </w:r>
          </w:p>
        </w:tc>
        <w:tc>
          <w:tcPr>
            <w:tcW w:w="975" w:type="dxa"/>
            <w:tcBorders>
              <w:top w:val="nil"/>
              <w:left w:val="nil"/>
              <w:bottom w:val="single" w:sz="4" w:space="0" w:color="auto"/>
              <w:right w:val="single" w:sz="4" w:space="0" w:color="auto"/>
            </w:tcBorders>
            <w:shd w:val="clear" w:color="auto" w:fill="auto"/>
            <w:vAlign w:val="bottom"/>
            <w:hideMark/>
          </w:tcPr>
          <w:p w14:paraId="12307768"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6-60</w:t>
            </w:r>
          </w:p>
        </w:tc>
        <w:tc>
          <w:tcPr>
            <w:tcW w:w="1118" w:type="dxa"/>
            <w:tcBorders>
              <w:top w:val="nil"/>
              <w:left w:val="nil"/>
              <w:bottom w:val="single" w:sz="4" w:space="0" w:color="auto"/>
              <w:right w:val="single" w:sz="4" w:space="0" w:color="auto"/>
            </w:tcBorders>
            <w:shd w:val="clear" w:color="auto" w:fill="auto"/>
            <w:vAlign w:val="bottom"/>
            <w:hideMark/>
          </w:tcPr>
          <w:p w14:paraId="686180CF"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953</w:t>
            </w:r>
          </w:p>
        </w:tc>
        <w:tc>
          <w:tcPr>
            <w:tcW w:w="1776" w:type="dxa"/>
            <w:tcBorders>
              <w:top w:val="nil"/>
              <w:left w:val="nil"/>
              <w:bottom w:val="single" w:sz="4" w:space="0" w:color="auto"/>
              <w:right w:val="single" w:sz="4" w:space="0" w:color="auto"/>
            </w:tcBorders>
            <w:shd w:val="clear" w:color="auto" w:fill="auto"/>
            <w:vAlign w:val="bottom"/>
            <w:hideMark/>
          </w:tcPr>
          <w:p w14:paraId="7F976F98"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iron, vitamin A</w:t>
            </w:r>
          </w:p>
        </w:tc>
        <w:tc>
          <w:tcPr>
            <w:tcW w:w="1060" w:type="dxa"/>
            <w:tcBorders>
              <w:top w:val="nil"/>
              <w:left w:val="nil"/>
              <w:bottom w:val="single" w:sz="4" w:space="0" w:color="auto"/>
              <w:right w:val="single" w:sz="4" w:space="0" w:color="auto"/>
            </w:tcBorders>
            <w:shd w:val="clear" w:color="auto" w:fill="auto"/>
            <w:vAlign w:val="bottom"/>
            <w:hideMark/>
          </w:tcPr>
          <w:p w14:paraId="6FA117B9"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1019" w:type="dxa"/>
            <w:tcBorders>
              <w:top w:val="nil"/>
              <w:left w:val="nil"/>
              <w:bottom w:val="single" w:sz="4" w:space="0" w:color="auto"/>
              <w:right w:val="single" w:sz="4" w:space="0" w:color="auto"/>
            </w:tcBorders>
            <w:shd w:val="clear" w:color="auto" w:fill="auto"/>
            <w:vAlign w:val="bottom"/>
            <w:hideMark/>
          </w:tcPr>
          <w:p w14:paraId="1217F7A4"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999" w:type="dxa"/>
            <w:tcBorders>
              <w:top w:val="nil"/>
              <w:left w:val="nil"/>
              <w:bottom w:val="single" w:sz="4" w:space="0" w:color="auto"/>
              <w:right w:val="single" w:sz="4" w:space="0" w:color="auto"/>
            </w:tcBorders>
            <w:shd w:val="clear" w:color="auto" w:fill="auto"/>
            <w:vAlign w:val="bottom"/>
            <w:hideMark/>
          </w:tcPr>
          <w:p w14:paraId="3C84038E"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4969" w:type="dxa"/>
            <w:tcBorders>
              <w:top w:val="nil"/>
              <w:left w:val="nil"/>
              <w:bottom w:val="single" w:sz="4" w:space="0" w:color="auto"/>
              <w:right w:val="single" w:sz="4" w:space="0" w:color="auto"/>
            </w:tcBorders>
            <w:shd w:val="clear" w:color="auto" w:fill="auto"/>
            <w:vAlign w:val="bottom"/>
            <w:hideMark/>
          </w:tcPr>
          <w:p w14:paraId="2F89222C" w14:textId="77777777" w:rsidR="009A53AC" w:rsidRPr="00D663F8" w:rsidRDefault="009A53AC" w:rsidP="00B272AD">
            <w:pPr>
              <w:spacing w:line="240" w:lineRule="auto"/>
              <w:rPr>
                <w:rFonts w:ascii="Calibri" w:hAnsi="Calibri" w:cs="Calibri"/>
                <w:color w:val="000000"/>
                <w:sz w:val="20"/>
                <w:lang w:val="es-MX" w:eastAsia="en-US"/>
              </w:rPr>
            </w:pPr>
            <w:r w:rsidRPr="00D663F8">
              <w:rPr>
                <w:rFonts w:ascii="Calibri" w:hAnsi="Calibri" w:cs="Calibri"/>
                <w:color w:val="000000"/>
                <w:sz w:val="20"/>
                <w:lang w:val="es-MX" w:eastAsia="en-US"/>
              </w:rPr>
              <w:t>Sistema Integrado de Vigilancia de Intervenciones Nutricionales (SIVIN)</w:t>
            </w:r>
          </w:p>
        </w:tc>
      </w:tr>
      <w:tr w:rsidR="009A53AC" w:rsidRPr="00D663F8" w14:paraId="2F1BEDC9" w14:textId="77777777" w:rsidTr="00B272AD">
        <w:trPr>
          <w:trHeight w:val="30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1DC79EE"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Pakistan</w:t>
            </w:r>
          </w:p>
        </w:tc>
        <w:tc>
          <w:tcPr>
            <w:tcW w:w="879" w:type="dxa"/>
            <w:tcBorders>
              <w:top w:val="nil"/>
              <w:left w:val="nil"/>
              <w:bottom w:val="single" w:sz="4" w:space="0" w:color="auto"/>
              <w:right w:val="single" w:sz="4" w:space="0" w:color="auto"/>
            </w:tcBorders>
            <w:shd w:val="clear" w:color="auto" w:fill="auto"/>
            <w:vAlign w:val="bottom"/>
            <w:hideMark/>
          </w:tcPr>
          <w:p w14:paraId="423E7182"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2011</w:t>
            </w:r>
          </w:p>
        </w:tc>
        <w:tc>
          <w:tcPr>
            <w:tcW w:w="975" w:type="dxa"/>
            <w:tcBorders>
              <w:top w:val="nil"/>
              <w:left w:val="nil"/>
              <w:bottom w:val="single" w:sz="4" w:space="0" w:color="auto"/>
              <w:right w:val="single" w:sz="4" w:space="0" w:color="auto"/>
            </w:tcBorders>
            <w:shd w:val="clear" w:color="auto" w:fill="auto"/>
            <w:vAlign w:val="bottom"/>
            <w:hideMark/>
          </w:tcPr>
          <w:p w14:paraId="70955E17"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6-59</w:t>
            </w:r>
          </w:p>
        </w:tc>
        <w:tc>
          <w:tcPr>
            <w:tcW w:w="1118" w:type="dxa"/>
            <w:tcBorders>
              <w:top w:val="nil"/>
              <w:left w:val="nil"/>
              <w:bottom w:val="single" w:sz="4" w:space="0" w:color="auto"/>
              <w:right w:val="single" w:sz="4" w:space="0" w:color="auto"/>
            </w:tcBorders>
            <w:shd w:val="clear" w:color="auto" w:fill="auto"/>
            <w:vAlign w:val="bottom"/>
            <w:hideMark/>
          </w:tcPr>
          <w:p w14:paraId="2D479EB4"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6638</w:t>
            </w:r>
          </w:p>
        </w:tc>
        <w:tc>
          <w:tcPr>
            <w:tcW w:w="1776" w:type="dxa"/>
            <w:tcBorders>
              <w:top w:val="nil"/>
              <w:left w:val="nil"/>
              <w:bottom w:val="single" w:sz="4" w:space="0" w:color="auto"/>
              <w:right w:val="single" w:sz="4" w:space="0" w:color="auto"/>
            </w:tcBorders>
            <w:shd w:val="clear" w:color="auto" w:fill="auto"/>
            <w:vAlign w:val="bottom"/>
            <w:hideMark/>
          </w:tcPr>
          <w:p w14:paraId="2FA02D18"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iron, vitamin A, zinc</w:t>
            </w:r>
          </w:p>
        </w:tc>
        <w:tc>
          <w:tcPr>
            <w:tcW w:w="1060" w:type="dxa"/>
            <w:tcBorders>
              <w:top w:val="nil"/>
              <w:left w:val="nil"/>
              <w:bottom w:val="single" w:sz="4" w:space="0" w:color="auto"/>
              <w:right w:val="single" w:sz="4" w:space="0" w:color="auto"/>
            </w:tcBorders>
            <w:shd w:val="clear" w:color="auto" w:fill="auto"/>
            <w:vAlign w:val="bottom"/>
            <w:hideMark/>
          </w:tcPr>
          <w:p w14:paraId="2EEEB30F"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9.3</w:t>
            </w:r>
          </w:p>
        </w:tc>
        <w:tc>
          <w:tcPr>
            <w:tcW w:w="1019" w:type="dxa"/>
            <w:tcBorders>
              <w:top w:val="nil"/>
              <w:left w:val="nil"/>
              <w:bottom w:val="single" w:sz="4" w:space="0" w:color="auto"/>
              <w:right w:val="single" w:sz="4" w:space="0" w:color="auto"/>
            </w:tcBorders>
            <w:shd w:val="clear" w:color="auto" w:fill="auto"/>
            <w:vAlign w:val="bottom"/>
            <w:hideMark/>
          </w:tcPr>
          <w:p w14:paraId="165808EA"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999" w:type="dxa"/>
            <w:tcBorders>
              <w:top w:val="nil"/>
              <w:left w:val="nil"/>
              <w:bottom w:val="single" w:sz="4" w:space="0" w:color="auto"/>
              <w:right w:val="single" w:sz="4" w:space="0" w:color="auto"/>
            </w:tcBorders>
            <w:shd w:val="clear" w:color="auto" w:fill="auto"/>
            <w:vAlign w:val="bottom"/>
            <w:hideMark/>
          </w:tcPr>
          <w:p w14:paraId="4A5AB0E7"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4969" w:type="dxa"/>
            <w:tcBorders>
              <w:top w:val="nil"/>
              <w:left w:val="nil"/>
              <w:bottom w:val="single" w:sz="4" w:space="0" w:color="auto"/>
              <w:right w:val="single" w:sz="4" w:space="0" w:color="auto"/>
            </w:tcBorders>
            <w:shd w:val="clear" w:color="auto" w:fill="auto"/>
            <w:vAlign w:val="bottom"/>
            <w:hideMark/>
          </w:tcPr>
          <w:p w14:paraId="14417B17"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Pakistan National Nutrition Survey</w:t>
            </w:r>
          </w:p>
        </w:tc>
      </w:tr>
      <w:tr w:rsidR="009A53AC" w:rsidRPr="00D663F8" w14:paraId="39568C3F" w14:textId="77777777" w:rsidTr="00B272AD">
        <w:trPr>
          <w:trHeight w:val="525"/>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D7DF5FC"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United Kingdom</w:t>
            </w:r>
          </w:p>
        </w:tc>
        <w:tc>
          <w:tcPr>
            <w:tcW w:w="879" w:type="dxa"/>
            <w:tcBorders>
              <w:top w:val="nil"/>
              <w:left w:val="nil"/>
              <w:bottom w:val="single" w:sz="4" w:space="0" w:color="auto"/>
              <w:right w:val="single" w:sz="4" w:space="0" w:color="auto"/>
            </w:tcBorders>
            <w:shd w:val="clear" w:color="auto" w:fill="auto"/>
            <w:vAlign w:val="bottom"/>
            <w:hideMark/>
          </w:tcPr>
          <w:p w14:paraId="4452A6B4"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2008-2019</w:t>
            </w:r>
          </w:p>
        </w:tc>
        <w:tc>
          <w:tcPr>
            <w:tcW w:w="975" w:type="dxa"/>
            <w:tcBorders>
              <w:top w:val="nil"/>
              <w:left w:val="nil"/>
              <w:bottom w:val="single" w:sz="4" w:space="0" w:color="auto"/>
              <w:right w:val="single" w:sz="4" w:space="0" w:color="auto"/>
            </w:tcBorders>
            <w:shd w:val="clear" w:color="auto" w:fill="auto"/>
            <w:vAlign w:val="bottom"/>
            <w:hideMark/>
          </w:tcPr>
          <w:p w14:paraId="31D21F48"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12-48</w:t>
            </w:r>
          </w:p>
        </w:tc>
        <w:tc>
          <w:tcPr>
            <w:tcW w:w="1118" w:type="dxa"/>
            <w:tcBorders>
              <w:top w:val="nil"/>
              <w:left w:val="nil"/>
              <w:bottom w:val="single" w:sz="4" w:space="0" w:color="auto"/>
              <w:right w:val="single" w:sz="4" w:space="0" w:color="auto"/>
            </w:tcBorders>
            <w:shd w:val="clear" w:color="auto" w:fill="auto"/>
            <w:vAlign w:val="bottom"/>
            <w:hideMark/>
          </w:tcPr>
          <w:p w14:paraId="6506E977"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140</w:t>
            </w:r>
          </w:p>
        </w:tc>
        <w:tc>
          <w:tcPr>
            <w:tcW w:w="1776" w:type="dxa"/>
            <w:tcBorders>
              <w:top w:val="nil"/>
              <w:left w:val="nil"/>
              <w:bottom w:val="single" w:sz="4" w:space="0" w:color="auto"/>
              <w:right w:val="single" w:sz="4" w:space="0" w:color="auto"/>
            </w:tcBorders>
            <w:shd w:val="clear" w:color="auto" w:fill="auto"/>
            <w:vAlign w:val="bottom"/>
            <w:hideMark/>
          </w:tcPr>
          <w:p w14:paraId="5537720A"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iron, vitamin A</w:t>
            </w:r>
          </w:p>
        </w:tc>
        <w:tc>
          <w:tcPr>
            <w:tcW w:w="1060" w:type="dxa"/>
            <w:tcBorders>
              <w:top w:val="nil"/>
              <w:left w:val="nil"/>
              <w:bottom w:val="single" w:sz="4" w:space="0" w:color="auto"/>
              <w:right w:val="single" w:sz="4" w:space="0" w:color="auto"/>
            </w:tcBorders>
            <w:shd w:val="clear" w:color="auto" w:fill="auto"/>
            <w:vAlign w:val="bottom"/>
            <w:hideMark/>
          </w:tcPr>
          <w:p w14:paraId="4B1ED47B"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1019" w:type="dxa"/>
            <w:tcBorders>
              <w:top w:val="nil"/>
              <w:left w:val="nil"/>
              <w:bottom w:val="single" w:sz="4" w:space="0" w:color="auto"/>
              <w:right w:val="single" w:sz="4" w:space="0" w:color="auto"/>
            </w:tcBorders>
            <w:shd w:val="clear" w:color="auto" w:fill="auto"/>
            <w:vAlign w:val="bottom"/>
            <w:hideMark/>
          </w:tcPr>
          <w:p w14:paraId="78CA4D45"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10</w:t>
            </w:r>
          </w:p>
        </w:tc>
        <w:tc>
          <w:tcPr>
            <w:tcW w:w="999" w:type="dxa"/>
            <w:tcBorders>
              <w:top w:val="nil"/>
              <w:left w:val="nil"/>
              <w:bottom w:val="single" w:sz="4" w:space="0" w:color="auto"/>
              <w:right w:val="single" w:sz="4" w:space="0" w:color="auto"/>
            </w:tcBorders>
            <w:shd w:val="clear" w:color="auto" w:fill="auto"/>
            <w:vAlign w:val="bottom"/>
            <w:hideMark/>
          </w:tcPr>
          <w:p w14:paraId="04034110"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340</w:t>
            </w:r>
          </w:p>
        </w:tc>
        <w:tc>
          <w:tcPr>
            <w:tcW w:w="4969" w:type="dxa"/>
            <w:tcBorders>
              <w:top w:val="nil"/>
              <w:left w:val="nil"/>
              <w:bottom w:val="single" w:sz="4" w:space="0" w:color="auto"/>
              <w:right w:val="single" w:sz="4" w:space="0" w:color="auto"/>
            </w:tcBorders>
            <w:shd w:val="clear" w:color="auto" w:fill="auto"/>
            <w:vAlign w:val="bottom"/>
            <w:hideMark/>
          </w:tcPr>
          <w:p w14:paraId="0BE3B2FF"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National Diet and Nutrition Survey (NDNS)</w:t>
            </w:r>
          </w:p>
        </w:tc>
      </w:tr>
      <w:tr w:rsidR="009A53AC" w:rsidRPr="00D663F8" w14:paraId="27E61017" w14:textId="77777777" w:rsidTr="00B272AD">
        <w:trPr>
          <w:trHeight w:val="105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84F1BC9"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Viet Nam</w:t>
            </w:r>
          </w:p>
        </w:tc>
        <w:tc>
          <w:tcPr>
            <w:tcW w:w="879" w:type="dxa"/>
            <w:tcBorders>
              <w:top w:val="nil"/>
              <w:left w:val="nil"/>
              <w:bottom w:val="single" w:sz="4" w:space="0" w:color="auto"/>
              <w:right w:val="single" w:sz="4" w:space="0" w:color="auto"/>
            </w:tcBorders>
            <w:shd w:val="clear" w:color="auto" w:fill="auto"/>
            <w:vAlign w:val="bottom"/>
            <w:hideMark/>
          </w:tcPr>
          <w:p w14:paraId="1DE9D220"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2010</w:t>
            </w:r>
          </w:p>
        </w:tc>
        <w:tc>
          <w:tcPr>
            <w:tcW w:w="975" w:type="dxa"/>
            <w:tcBorders>
              <w:top w:val="nil"/>
              <w:left w:val="nil"/>
              <w:bottom w:val="single" w:sz="4" w:space="0" w:color="auto"/>
              <w:right w:val="single" w:sz="4" w:space="0" w:color="auto"/>
            </w:tcBorders>
            <w:shd w:val="clear" w:color="auto" w:fill="auto"/>
            <w:vAlign w:val="bottom"/>
            <w:hideMark/>
          </w:tcPr>
          <w:p w14:paraId="2E2EE2E1"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11-60</w:t>
            </w:r>
          </w:p>
        </w:tc>
        <w:tc>
          <w:tcPr>
            <w:tcW w:w="1118" w:type="dxa"/>
            <w:tcBorders>
              <w:top w:val="nil"/>
              <w:left w:val="nil"/>
              <w:bottom w:val="single" w:sz="4" w:space="0" w:color="auto"/>
              <w:right w:val="single" w:sz="4" w:space="0" w:color="auto"/>
            </w:tcBorders>
            <w:shd w:val="clear" w:color="auto" w:fill="auto"/>
            <w:vAlign w:val="bottom"/>
            <w:hideMark/>
          </w:tcPr>
          <w:p w14:paraId="57C28FA1"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360</w:t>
            </w:r>
          </w:p>
        </w:tc>
        <w:tc>
          <w:tcPr>
            <w:tcW w:w="1776" w:type="dxa"/>
            <w:tcBorders>
              <w:top w:val="nil"/>
              <w:left w:val="nil"/>
              <w:bottom w:val="single" w:sz="4" w:space="0" w:color="auto"/>
              <w:right w:val="single" w:sz="4" w:space="0" w:color="auto"/>
            </w:tcBorders>
            <w:shd w:val="clear" w:color="auto" w:fill="auto"/>
            <w:vAlign w:val="bottom"/>
            <w:hideMark/>
          </w:tcPr>
          <w:p w14:paraId="5E0CEEAD"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eastAsia="en-US"/>
              </w:rPr>
              <w:t>iron, vitamin A, zinc</w:t>
            </w:r>
          </w:p>
        </w:tc>
        <w:tc>
          <w:tcPr>
            <w:tcW w:w="1060" w:type="dxa"/>
            <w:tcBorders>
              <w:top w:val="nil"/>
              <w:left w:val="nil"/>
              <w:bottom w:val="single" w:sz="4" w:space="0" w:color="auto"/>
              <w:right w:val="single" w:sz="4" w:space="0" w:color="auto"/>
            </w:tcBorders>
            <w:shd w:val="clear" w:color="auto" w:fill="auto"/>
            <w:vAlign w:val="bottom"/>
            <w:hideMark/>
          </w:tcPr>
          <w:p w14:paraId="312D3EDC"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9.9</w:t>
            </w:r>
          </w:p>
        </w:tc>
        <w:tc>
          <w:tcPr>
            <w:tcW w:w="1019" w:type="dxa"/>
            <w:tcBorders>
              <w:top w:val="nil"/>
              <w:left w:val="nil"/>
              <w:bottom w:val="single" w:sz="4" w:space="0" w:color="auto"/>
              <w:right w:val="single" w:sz="4" w:space="0" w:color="auto"/>
            </w:tcBorders>
            <w:shd w:val="clear" w:color="auto" w:fill="auto"/>
            <w:vAlign w:val="bottom"/>
            <w:hideMark/>
          </w:tcPr>
          <w:p w14:paraId="2FD159DC"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12</w:t>
            </w:r>
          </w:p>
        </w:tc>
        <w:tc>
          <w:tcPr>
            <w:tcW w:w="999" w:type="dxa"/>
            <w:tcBorders>
              <w:top w:val="nil"/>
              <w:left w:val="nil"/>
              <w:bottom w:val="single" w:sz="4" w:space="0" w:color="auto"/>
              <w:right w:val="single" w:sz="4" w:space="0" w:color="auto"/>
            </w:tcBorders>
            <w:shd w:val="clear" w:color="auto" w:fill="auto"/>
            <w:vAlign w:val="bottom"/>
            <w:hideMark/>
          </w:tcPr>
          <w:p w14:paraId="0D7121E5" w14:textId="77777777" w:rsidR="009A53AC" w:rsidRPr="00D663F8" w:rsidRDefault="009A53AC" w:rsidP="00B272AD">
            <w:pPr>
              <w:spacing w:line="240" w:lineRule="auto"/>
              <w:jc w:val="center"/>
              <w:rPr>
                <w:rFonts w:ascii="Calibri" w:hAnsi="Calibri" w:cs="Calibri"/>
                <w:color w:val="000000"/>
                <w:sz w:val="20"/>
                <w:lang w:eastAsia="en-US"/>
              </w:rPr>
            </w:pPr>
            <w:r w:rsidRPr="00D663F8">
              <w:rPr>
                <w:rFonts w:ascii="Calibri" w:hAnsi="Calibri" w:cs="Calibri"/>
                <w:color w:val="000000"/>
                <w:sz w:val="20"/>
                <w:lang w:eastAsia="en-US"/>
              </w:rPr>
              <w:t> </w:t>
            </w:r>
          </w:p>
        </w:tc>
        <w:tc>
          <w:tcPr>
            <w:tcW w:w="4969" w:type="dxa"/>
            <w:tcBorders>
              <w:top w:val="nil"/>
              <w:left w:val="nil"/>
              <w:bottom w:val="single" w:sz="4" w:space="0" w:color="auto"/>
              <w:right w:val="single" w:sz="4" w:space="0" w:color="auto"/>
            </w:tcBorders>
            <w:shd w:val="clear" w:color="auto" w:fill="auto"/>
            <w:vAlign w:val="bottom"/>
            <w:hideMark/>
          </w:tcPr>
          <w:p w14:paraId="482E00EB" w14:textId="77777777" w:rsidR="009A53AC" w:rsidRPr="00D663F8" w:rsidRDefault="009A53AC" w:rsidP="00B272AD">
            <w:pPr>
              <w:spacing w:line="240" w:lineRule="auto"/>
              <w:rPr>
                <w:rFonts w:ascii="Calibri" w:hAnsi="Calibri" w:cs="Calibri"/>
                <w:color w:val="000000"/>
                <w:sz w:val="20"/>
                <w:lang w:eastAsia="en-US"/>
              </w:rPr>
            </w:pPr>
            <w:r w:rsidRPr="00D663F8">
              <w:rPr>
                <w:rFonts w:ascii="Calibri" w:hAnsi="Calibri" w:cs="Calibri"/>
                <w:color w:val="000000"/>
                <w:sz w:val="20"/>
                <w:lang w:val="es-MX" w:eastAsia="en-US"/>
              </w:rPr>
              <w:t xml:space="preserve">Laillou, A., Van Pham, T., Tran, N. T., Le, H. T., Wieringa, F., Rohner, F., et al. </w:t>
            </w:r>
            <w:r w:rsidRPr="00D663F8">
              <w:rPr>
                <w:rFonts w:ascii="Calibri" w:hAnsi="Calibri" w:cs="Calibri"/>
                <w:color w:val="000000"/>
                <w:sz w:val="20"/>
                <w:lang w:eastAsia="en-US"/>
              </w:rPr>
              <w:t xml:space="preserve">(2012). Micronutrient deficits are still public health issues among women and young children in Vietnam. </w:t>
            </w:r>
            <w:proofErr w:type="spellStart"/>
            <w:r w:rsidRPr="00D663F8">
              <w:rPr>
                <w:rFonts w:ascii="Calibri" w:hAnsi="Calibri" w:cs="Calibri"/>
                <w:color w:val="000000"/>
                <w:sz w:val="20"/>
                <w:lang w:eastAsia="en-US"/>
              </w:rPr>
              <w:t>PloS</w:t>
            </w:r>
            <w:proofErr w:type="spellEnd"/>
            <w:r w:rsidRPr="00D663F8">
              <w:rPr>
                <w:rFonts w:ascii="Calibri" w:hAnsi="Calibri" w:cs="Calibri"/>
                <w:color w:val="000000"/>
                <w:sz w:val="20"/>
                <w:lang w:eastAsia="en-US"/>
              </w:rPr>
              <w:t xml:space="preserve"> </w:t>
            </w:r>
            <w:r>
              <w:rPr>
                <w:rFonts w:ascii="Calibri" w:hAnsi="Calibri" w:cs="Calibri"/>
                <w:color w:val="000000"/>
                <w:sz w:val="20"/>
                <w:lang w:eastAsia="en-US"/>
              </w:rPr>
              <w:t>O</w:t>
            </w:r>
            <w:r w:rsidRPr="00D663F8">
              <w:rPr>
                <w:rFonts w:ascii="Calibri" w:hAnsi="Calibri" w:cs="Calibri"/>
                <w:color w:val="000000"/>
                <w:sz w:val="20"/>
                <w:lang w:eastAsia="en-US"/>
              </w:rPr>
              <w:t>ne, 7(4).</w:t>
            </w:r>
          </w:p>
        </w:tc>
      </w:tr>
    </w:tbl>
    <w:p w14:paraId="4003F83B" w14:textId="77777777" w:rsidR="009A53AC" w:rsidRPr="00A34060" w:rsidRDefault="009A53AC" w:rsidP="009A53AC">
      <w:pPr>
        <w:rPr>
          <w:rFonts w:cstheme="minorHAnsi"/>
          <w:lang w:val="en-GB"/>
        </w:rPr>
      </w:pPr>
    </w:p>
    <w:p w14:paraId="7356B9E9" w14:textId="77777777" w:rsidR="009A53AC" w:rsidRDefault="009A53AC" w:rsidP="009A53AC">
      <w:pPr>
        <w:rPr>
          <w:rFonts w:cstheme="minorHAnsi"/>
          <w:lang w:val="en-GB"/>
        </w:rPr>
      </w:pPr>
      <w:r>
        <w:rPr>
          <w:rFonts w:cstheme="minorHAnsi"/>
          <w:lang w:val="en-GB"/>
        </w:rPr>
        <w:t>* An assay correction factor was not obtained for this survey.</w:t>
      </w:r>
    </w:p>
    <w:p w14:paraId="61270E9D" w14:textId="77777777" w:rsidR="009A53AC" w:rsidRDefault="009A53AC" w:rsidP="009A53AC">
      <w:pPr>
        <w:rPr>
          <w:rFonts w:cstheme="minorHAnsi"/>
          <w:lang w:val="en-GB"/>
        </w:rPr>
      </w:pPr>
    </w:p>
    <w:p w14:paraId="212EB39B" w14:textId="5BAA39AF" w:rsidR="006D06E1" w:rsidRPr="00EA1CC4" w:rsidRDefault="03C7B32C" w:rsidP="00EA1CC4">
      <w:pPr>
        <w:spacing w:line="276" w:lineRule="auto"/>
      </w:pPr>
      <w:bookmarkStart w:id="13" w:name="_Toc94512113"/>
      <w:r w:rsidRPr="03C7B32C">
        <w:rPr>
          <w:rStyle w:val="Heading3Char"/>
        </w:rPr>
        <w:t>Appendix Table 7. Included data sources and their characteristics (non-pregnant women 15-49 years)</w:t>
      </w:r>
      <w:r w:rsidR="0015270D">
        <w:rPr>
          <w:rStyle w:val="Heading3Char"/>
          <w:rFonts w:cstheme="minorBidi"/>
        </w:rPr>
        <w:t>.</w:t>
      </w:r>
      <w:bookmarkEnd w:id="13"/>
      <w:r w:rsidR="0015270D">
        <w:rPr>
          <w:rStyle w:val="Heading3Char"/>
          <w:rFonts w:cstheme="minorBidi"/>
        </w:rPr>
        <w:t xml:space="preserve"> </w:t>
      </w:r>
      <w:r w:rsidRPr="03C7B32C">
        <w:rPr>
          <w:rFonts w:eastAsiaTheme="majorEastAsia"/>
        </w:rPr>
        <w:t xml:space="preserve">All data sources are nationally representative household surveys. Surveys are categorized as having measured iron deficiency if serum ferritin and one measure of inflammation (either AGP or CRP) have </w:t>
      </w:r>
      <w:r w:rsidRPr="03C7B32C">
        <w:rPr>
          <w:rFonts w:eastAsiaTheme="majorEastAsia"/>
        </w:rPr>
        <w:lastRenderedPageBreak/>
        <w:t>been measured, as having measured folate if serum folate or RBC folate have been measured, and zinc if serum zinc has been measured. Sample size noted here refers to the sample size for the core deficiencies measured in the survey.</w:t>
      </w:r>
    </w:p>
    <w:tbl>
      <w:tblPr>
        <w:tblW w:w="14035" w:type="dxa"/>
        <w:tblInd w:w="113" w:type="dxa"/>
        <w:tblLook w:val="04A0" w:firstRow="1" w:lastRow="0" w:firstColumn="1" w:lastColumn="0" w:noHBand="0" w:noVBand="1"/>
      </w:tblPr>
      <w:tblGrid>
        <w:gridCol w:w="1320"/>
        <w:gridCol w:w="1200"/>
        <w:gridCol w:w="957"/>
        <w:gridCol w:w="978"/>
        <w:gridCol w:w="1410"/>
        <w:gridCol w:w="1058"/>
        <w:gridCol w:w="1004"/>
        <w:gridCol w:w="1713"/>
        <w:gridCol w:w="4395"/>
      </w:tblGrid>
      <w:tr w:rsidR="001C0B5B" w:rsidRPr="001C0B5B" w14:paraId="607C48D0" w14:textId="77777777" w:rsidTr="03C7B32C">
        <w:trPr>
          <w:trHeight w:val="1035"/>
          <w:tblHeader/>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C80EF" w14:textId="77777777" w:rsidR="001C0B5B" w:rsidRPr="001C0B5B" w:rsidRDefault="001C0B5B" w:rsidP="001C0B5B">
            <w:pPr>
              <w:spacing w:line="240" w:lineRule="auto"/>
              <w:rPr>
                <w:rFonts w:ascii="Calibri" w:hAnsi="Calibri" w:cs="Calibri"/>
                <w:b/>
                <w:bCs/>
                <w:color w:val="000000"/>
                <w:sz w:val="20"/>
                <w:lang w:eastAsia="en-US"/>
              </w:rPr>
            </w:pPr>
            <w:r w:rsidRPr="001C0B5B">
              <w:rPr>
                <w:rFonts w:ascii="Calibri" w:hAnsi="Calibri" w:cs="Calibri"/>
                <w:b/>
                <w:bCs/>
                <w:color w:val="000000"/>
                <w:sz w:val="20"/>
                <w:lang w:eastAsia="en-US"/>
              </w:rPr>
              <w:t>Country</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49B0C78" w14:textId="77777777" w:rsidR="001C0B5B" w:rsidRPr="001C0B5B" w:rsidRDefault="001C0B5B" w:rsidP="001C0B5B">
            <w:pPr>
              <w:spacing w:line="240" w:lineRule="auto"/>
              <w:rPr>
                <w:rFonts w:ascii="Calibri" w:hAnsi="Calibri" w:cs="Calibri"/>
                <w:b/>
                <w:bCs/>
                <w:color w:val="000000"/>
                <w:sz w:val="20"/>
                <w:lang w:eastAsia="en-US"/>
              </w:rPr>
            </w:pPr>
            <w:r w:rsidRPr="001C0B5B">
              <w:rPr>
                <w:rFonts w:ascii="Calibri" w:hAnsi="Calibri" w:cs="Calibri"/>
                <w:b/>
                <w:bCs/>
                <w:color w:val="000000"/>
                <w:sz w:val="20"/>
                <w:lang w:eastAsia="en-US"/>
              </w:rPr>
              <w:t>Years</w:t>
            </w:r>
          </w:p>
        </w:tc>
        <w:tc>
          <w:tcPr>
            <w:tcW w:w="957" w:type="dxa"/>
            <w:tcBorders>
              <w:top w:val="single" w:sz="4" w:space="0" w:color="auto"/>
              <w:left w:val="nil"/>
              <w:bottom w:val="single" w:sz="4" w:space="0" w:color="auto"/>
              <w:right w:val="single" w:sz="4" w:space="0" w:color="auto"/>
            </w:tcBorders>
            <w:shd w:val="clear" w:color="auto" w:fill="auto"/>
            <w:vAlign w:val="bottom"/>
            <w:hideMark/>
          </w:tcPr>
          <w:p w14:paraId="1B3A218D" w14:textId="77777777" w:rsidR="001C0B5B" w:rsidRPr="001C0B5B" w:rsidRDefault="001C0B5B" w:rsidP="001C0B5B">
            <w:pPr>
              <w:spacing w:line="240" w:lineRule="auto"/>
              <w:rPr>
                <w:rFonts w:ascii="Calibri" w:hAnsi="Calibri" w:cs="Calibri"/>
                <w:b/>
                <w:bCs/>
                <w:color w:val="000000"/>
                <w:sz w:val="20"/>
                <w:lang w:eastAsia="en-US"/>
              </w:rPr>
            </w:pPr>
            <w:r w:rsidRPr="001C0B5B">
              <w:rPr>
                <w:rFonts w:ascii="Calibri" w:hAnsi="Calibri" w:cs="Calibri"/>
                <w:b/>
                <w:bCs/>
                <w:color w:val="000000"/>
                <w:sz w:val="20"/>
                <w:lang w:eastAsia="en-US"/>
              </w:rPr>
              <w:t>Age range (years)</w:t>
            </w:r>
          </w:p>
        </w:tc>
        <w:tc>
          <w:tcPr>
            <w:tcW w:w="978" w:type="dxa"/>
            <w:tcBorders>
              <w:top w:val="single" w:sz="4" w:space="0" w:color="auto"/>
              <w:left w:val="nil"/>
              <w:bottom w:val="single" w:sz="4" w:space="0" w:color="auto"/>
              <w:right w:val="single" w:sz="4" w:space="0" w:color="auto"/>
            </w:tcBorders>
            <w:shd w:val="clear" w:color="auto" w:fill="auto"/>
            <w:vAlign w:val="bottom"/>
            <w:hideMark/>
          </w:tcPr>
          <w:p w14:paraId="2025DC6A" w14:textId="77777777" w:rsidR="001C0B5B" w:rsidRPr="001C0B5B" w:rsidRDefault="001C0B5B" w:rsidP="001C0B5B">
            <w:pPr>
              <w:spacing w:line="240" w:lineRule="auto"/>
              <w:rPr>
                <w:rFonts w:ascii="Calibri" w:hAnsi="Calibri" w:cs="Calibri"/>
                <w:b/>
                <w:bCs/>
                <w:color w:val="000000"/>
                <w:sz w:val="20"/>
                <w:lang w:eastAsia="en-US"/>
              </w:rPr>
            </w:pPr>
            <w:r w:rsidRPr="001C0B5B">
              <w:rPr>
                <w:rFonts w:ascii="Calibri" w:hAnsi="Calibri" w:cs="Calibri"/>
                <w:b/>
                <w:bCs/>
                <w:color w:val="000000"/>
                <w:sz w:val="20"/>
                <w:lang w:eastAsia="en-US"/>
              </w:rPr>
              <w:t>Sample size</w:t>
            </w:r>
          </w:p>
        </w:tc>
        <w:tc>
          <w:tcPr>
            <w:tcW w:w="1410" w:type="dxa"/>
            <w:tcBorders>
              <w:top w:val="single" w:sz="4" w:space="0" w:color="auto"/>
              <w:left w:val="nil"/>
              <w:bottom w:val="single" w:sz="4" w:space="0" w:color="auto"/>
              <w:right w:val="single" w:sz="4" w:space="0" w:color="auto"/>
            </w:tcBorders>
            <w:shd w:val="clear" w:color="auto" w:fill="auto"/>
            <w:vAlign w:val="bottom"/>
            <w:hideMark/>
          </w:tcPr>
          <w:p w14:paraId="67859F34" w14:textId="77777777" w:rsidR="001C0B5B" w:rsidRPr="001C0B5B" w:rsidRDefault="001C0B5B" w:rsidP="001C0B5B">
            <w:pPr>
              <w:spacing w:line="240" w:lineRule="auto"/>
              <w:rPr>
                <w:rFonts w:ascii="Calibri" w:hAnsi="Calibri" w:cs="Calibri"/>
                <w:b/>
                <w:bCs/>
                <w:color w:val="000000"/>
                <w:sz w:val="20"/>
                <w:lang w:eastAsia="en-US"/>
              </w:rPr>
            </w:pPr>
            <w:r w:rsidRPr="001C0B5B">
              <w:rPr>
                <w:rFonts w:ascii="Calibri" w:hAnsi="Calibri" w:cs="Calibri"/>
                <w:b/>
                <w:bCs/>
                <w:color w:val="000000"/>
                <w:sz w:val="20"/>
                <w:lang w:eastAsia="en-US"/>
              </w:rPr>
              <w:t>Core deficiencies measured</w:t>
            </w:r>
          </w:p>
        </w:tc>
        <w:tc>
          <w:tcPr>
            <w:tcW w:w="1058" w:type="dxa"/>
            <w:tcBorders>
              <w:top w:val="single" w:sz="4" w:space="0" w:color="auto"/>
              <w:left w:val="nil"/>
              <w:bottom w:val="single" w:sz="4" w:space="0" w:color="auto"/>
              <w:right w:val="single" w:sz="4" w:space="0" w:color="auto"/>
            </w:tcBorders>
            <w:shd w:val="clear" w:color="auto" w:fill="auto"/>
            <w:vAlign w:val="bottom"/>
            <w:hideMark/>
          </w:tcPr>
          <w:p w14:paraId="0C397FC9" w14:textId="77777777" w:rsidR="001C0B5B" w:rsidRPr="001C0B5B" w:rsidRDefault="001C0B5B" w:rsidP="001C0B5B">
            <w:pPr>
              <w:spacing w:line="240" w:lineRule="auto"/>
              <w:rPr>
                <w:rFonts w:ascii="Calibri" w:hAnsi="Calibri" w:cs="Calibri"/>
                <w:b/>
                <w:bCs/>
                <w:color w:val="000000"/>
                <w:sz w:val="20"/>
                <w:lang w:eastAsia="en-US"/>
              </w:rPr>
            </w:pPr>
            <w:r w:rsidRPr="001C0B5B">
              <w:rPr>
                <w:rFonts w:ascii="Calibri" w:hAnsi="Calibri" w:cs="Calibri"/>
                <w:b/>
                <w:bCs/>
                <w:color w:val="000000"/>
                <w:sz w:val="20"/>
                <w:lang w:eastAsia="en-US"/>
              </w:rPr>
              <w:t>Zinc deficiency cutoff (</w:t>
            </w:r>
            <w:proofErr w:type="spellStart"/>
            <w:r w:rsidRPr="001C0B5B">
              <w:rPr>
                <w:rFonts w:ascii="Calibri" w:hAnsi="Calibri" w:cs="Calibri"/>
                <w:b/>
                <w:bCs/>
                <w:color w:val="000000"/>
                <w:sz w:val="20"/>
                <w:lang w:eastAsia="en-US"/>
              </w:rPr>
              <w:t>μmol</w:t>
            </w:r>
            <w:proofErr w:type="spellEnd"/>
            <w:r w:rsidRPr="001C0B5B">
              <w:rPr>
                <w:rFonts w:ascii="Calibri" w:hAnsi="Calibri" w:cs="Calibri"/>
                <w:b/>
                <w:bCs/>
                <w:color w:val="000000"/>
                <w:sz w:val="20"/>
                <w:lang w:eastAsia="en-US"/>
              </w:rPr>
              <w:t>/l)</w:t>
            </w:r>
          </w:p>
        </w:tc>
        <w:tc>
          <w:tcPr>
            <w:tcW w:w="1004" w:type="dxa"/>
            <w:tcBorders>
              <w:top w:val="single" w:sz="4" w:space="0" w:color="auto"/>
              <w:left w:val="nil"/>
              <w:bottom w:val="single" w:sz="4" w:space="0" w:color="auto"/>
              <w:right w:val="single" w:sz="4" w:space="0" w:color="auto"/>
            </w:tcBorders>
            <w:shd w:val="clear" w:color="auto" w:fill="auto"/>
            <w:vAlign w:val="bottom"/>
            <w:hideMark/>
          </w:tcPr>
          <w:p w14:paraId="14E7F918" w14:textId="62686B7D" w:rsidR="001C0B5B" w:rsidRPr="00557975" w:rsidRDefault="001C0B5B" w:rsidP="001C0B5B">
            <w:pPr>
              <w:spacing w:line="240" w:lineRule="auto"/>
              <w:rPr>
                <w:rFonts w:ascii="Calibri" w:hAnsi="Calibri" w:cs="Calibri"/>
                <w:b/>
                <w:bCs/>
                <w:color w:val="000000"/>
                <w:sz w:val="20"/>
                <w:vertAlign w:val="superscript"/>
                <w:lang w:eastAsia="en-US"/>
              </w:rPr>
            </w:pPr>
            <w:r w:rsidRPr="001C0B5B">
              <w:rPr>
                <w:rFonts w:ascii="Calibri" w:hAnsi="Calibri" w:cs="Calibri"/>
                <w:b/>
                <w:bCs/>
                <w:color w:val="000000"/>
                <w:sz w:val="20"/>
                <w:lang w:eastAsia="en-US"/>
              </w:rPr>
              <w:t>Serum folate cutoff (nmol/l)</w:t>
            </w:r>
            <w:r w:rsidR="00557975">
              <w:rPr>
                <w:rFonts w:ascii="Calibri" w:hAnsi="Calibri" w:cs="Calibri"/>
                <w:b/>
                <w:bCs/>
                <w:color w:val="000000"/>
                <w:sz w:val="20"/>
                <w:vertAlign w:val="superscript"/>
                <w:lang w:eastAsia="en-US"/>
              </w:rPr>
              <w:t>1</w:t>
            </w:r>
          </w:p>
        </w:tc>
        <w:tc>
          <w:tcPr>
            <w:tcW w:w="1713" w:type="dxa"/>
            <w:tcBorders>
              <w:top w:val="single" w:sz="4" w:space="0" w:color="auto"/>
              <w:left w:val="nil"/>
              <w:bottom w:val="single" w:sz="4" w:space="0" w:color="auto"/>
              <w:right w:val="single" w:sz="4" w:space="0" w:color="auto"/>
            </w:tcBorders>
            <w:shd w:val="clear" w:color="auto" w:fill="auto"/>
            <w:vAlign w:val="bottom"/>
            <w:hideMark/>
          </w:tcPr>
          <w:p w14:paraId="224BD49A" w14:textId="77777777" w:rsidR="001C0B5B" w:rsidRPr="001C0B5B" w:rsidRDefault="03C7B32C" w:rsidP="03C7B32C">
            <w:pPr>
              <w:spacing w:line="240" w:lineRule="auto"/>
              <w:rPr>
                <w:rFonts w:ascii="Calibri" w:hAnsi="Calibri" w:cs="Calibri"/>
                <w:b/>
                <w:bCs/>
                <w:color w:val="000000"/>
                <w:sz w:val="20"/>
                <w:lang w:eastAsia="en-US"/>
              </w:rPr>
            </w:pPr>
            <w:r w:rsidRPr="03C7B32C">
              <w:rPr>
                <w:rFonts w:ascii="Calibri" w:hAnsi="Calibri" w:cs="Calibri"/>
                <w:b/>
                <w:bCs/>
                <w:color w:val="000000" w:themeColor="text1"/>
                <w:sz w:val="20"/>
                <w:lang w:eastAsia="en-US"/>
              </w:rPr>
              <w:t>RBC folate cutoff (nmol/l)</w:t>
            </w:r>
          </w:p>
        </w:tc>
        <w:tc>
          <w:tcPr>
            <w:tcW w:w="4395" w:type="dxa"/>
            <w:tcBorders>
              <w:top w:val="single" w:sz="4" w:space="0" w:color="auto"/>
              <w:left w:val="nil"/>
              <w:bottom w:val="single" w:sz="4" w:space="0" w:color="auto"/>
              <w:right w:val="single" w:sz="4" w:space="0" w:color="auto"/>
            </w:tcBorders>
            <w:shd w:val="clear" w:color="auto" w:fill="auto"/>
            <w:noWrap/>
            <w:vAlign w:val="bottom"/>
            <w:hideMark/>
          </w:tcPr>
          <w:p w14:paraId="5227EB57" w14:textId="77777777" w:rsidR="001C0B5B" w:rsidRPr="001C0B5B" w:rsidRDefault="001C0B5B" w:rsidP="001C0B5B">
            <w:pPr>
              <w:spacing w:line="240" w:lineRule="auto"/>
              <w:rPr>
                <w:rFonts w:ascii="Calibri" w:hAnsi="Calibri" w:cs="Calibri"/>
                <w:b/>
                <w:bCs/>
                <w:color w:val="000000"/>
                <w:sz w:val="20"/>
                <w:lang w:eastAsia="en-US"/>
              </w:rPr>
            </w:pPr>
            <w:r w:rsidRPr="001C0B5B">
              <w:rPr>
                <w:rFonts w:ascii="Calibri" w:hAnsi="Calibri" w:cs="Calibri"/>
                <w:b/>
                <w:bCs/>
                <w:color w:val="000000"/>
                <w:sz w:val="20"/>
                <w:lang w:eastAsia="en-US"/>
              </w:rPr>
              <w:t>Data source</w:t>
            </w:r>
          </w:p>
        </w:tc>
      </w:tr>
      <w:tr w:rsidR="001C0B5B" w:rsidRPr="001C0B5B" w14:paraId="4E8A0692" w14:textId="77777777" w:rsidTr="03C7B32C">
        <w:trPr>
          <w:trHeight w:val="300"/>
        </w:trPr>
        <w:tc>
          <w:tcPr>
            <w:tcW w:w="1320" w:type="dxa"/>
            <w:tcBorders>
              <w:top w:val="nil"/>
              <w:left w:val="single" w:sz="4" w:space="0" w:color="auto"/>
              <w:bottom w:val="single" w:sz="4" w:space="0" w:color="auto"/>
              <w:right w:val="single" w:sz="4" w:space="0" w:color="auto"/>
            </w:tcBorders>
            <w:shd w:val="clear" w:color="auto" w:fill="auto"/>
            <w:vAlign w:val="bottom"/>
            <w:hideMark/>
          </w:tcPr>
          <w:p w14:paraId="1B023619"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Afghanistan</w:t>
            </w:r>
          </w:p>
        </w:tc>
        <w:tc>
          <w:tcPr>
            <w:tcW w:w="1200" w:type="dxa"/>
            <w:tcBorders>
              <w:top w:val="nil"/>
              <w:left w:val="nil"/>
              <w:bottom w:val="single" w:sz="4" w:space="0" w:color="auto"/>
              <w:right w:val="single" w:sz="4" w:space="0" w:color="auto"/>
            </w:tcBorders>
            <w:shd w:val="clear" w:color="auto" w:fill="auto"/>
            <w:vAlign w:val="bottom"/>
            <w:hideMark/>
          </w:tcPr>
          <w:p w14:paraId="3EE20B17"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2013</w:t>
            </w:r>
          </w:p>
        </w:tc>
        <w:tc>
          <w:tcPr>
            <w:tcW w:w="957" w:type="dxa"/>
            <w:tcBorders>
              <w:top w:val="nil"/>
              <w:left w:val="nil"/>
              <w:bottom w:val="single" w:sz="4" w:space="0" w:color="auto"/>
              <w:right w:val="single" w:sz="4" w:space="0" w:color="auto"/>
            </w:tcBorders>
            <w:shd w:val="clear" w:color="auto" w:fill="auto"/>
            <w:vAlign w:val="bottom"/>
            <w:hideMark/>
          </w:tcPr>
          <w:p w14:paraId="00D03911"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15-49</w:t>
            </w:r>
          </w:p>
        </w:tc>
        <w:tc>
          <w:tcPr>
            <w:tcW w:w="978" w:type="dxa"/>
            <w:tcBorders>
              <w:top w:val="nil"/>
              <w:left w:val="nil"/>
              <w:bottom w:val="single" w:sz="4" w:space="0" w:color="auto"/>
              <w:right w:val="single" w:sz="4" w:space="0" w:color="auto"/>
            </w:tcBorders>
            <w:shd w:val="clear" w:color="auto" w:fill="auto"/>
            <w:vAlign w:val="bottom"/>
            <w:hideMark/>
          </w:tcPr>
          <w:p w14:paraId="4F29EE22"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1044</w:t>
            </w:r>
          </w:p>
        </w:tc>
        <w:tc>
          <w:tcPr>
            <w:tcW w:w="1410" w:type="dxa"/>
            <w:tcBorders>
              <w:top w:val="nil"/>
              <w:left w:val="nil"/>
              <w:bottom w:val="single" w:sz="4" w:space="0" w:color="auto"/>
              <w:right w:val="single" w:sz="4" w:space="0" w:color="auto"/>
            </w:tcBorders>
            <w:shd w:val="clear" w:color="auto" w:fill="auto"/>
            <w:vAlign w:val="bottom"/>
            <w:hideMark/>
          </w:tcPr>
          <w:p w14:paraId="16A16798" w14:textId="564F456B"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iron, zinc</w:t>
            </w:r>
            <w:r w:rsidR="00557975">
              <w:rPr>
                <w:rFonts w:ascii="Calibri" w:hAnsi="Calibri" w:cs="Calibri"/>
                <w:color w:val="000000"/>
                <w:sz w:val="20"/>
                <w:vertAlign w:val="superscript"/>
                <w:lang w:eastAsia="en-US"/>
              </w:rPr>
              <w:t>2</w:t>
            </w:r>
          </w:p>
        </w:tc>
        <w:tc>
          <w:tcPr>
            <w:tcW w:w="1058" w:type="dxa"/>
            <w:tcBorders>
              <w:top w:val="nil"/>
              <w:left w:val="nil"/>
              <w:bottom w:val="single" w:sz="4" w:space="0" w:color="auto"/>
              <w:right w:val="single" w:sz="4" w:space="0" w:color="auto"/>
            </w:tcBorders>
            <w:shd w:val="clear" w:color="auto" w:fill="auto"/>
            <w:vAlign w:val="bottom"/>
            <w:hideMark/>
          </w:tcPr>
          <w:p w14:paraId="490FFDF9"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9.55</w:t>
            </w:r>
          </w:p>
        </w:tc>
        <w:tc>
          <w:tcPr>
            <w:tcW w:w="1004" w:type="dxa"/>
            <w:tcBorders>
              <w:top w:val="nil"/>
              <w:left w:val="nil"/>
              <w:bottom w:val="single" w:sz="4" w:space="0" w:color="auto"/>
              <w:right w:val="single" w:sz="4" w:space="0" w:color="auto"/>
            </w:tcBorders>
            <w:shd w:val="clear" w:color="auto" w:fill="auto"/>
            <w:vAlign w:val="bottom"/>
            <w:hideMark/>
          </w:tcPr>
          <w:p w14:paraId="058F0570"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 </w:t>
            </w:r>
          </w:p>
        </w:tc>
        <w:tc>
          <w:tcPr>
            <w:tcW w:w="1713" w:type="dxa"/>
            <w:tcBorders>
              <w:top w:val="nil"/>
              <w:left w:val="nil"/>
              <w:bottom w:val="single" w:sz="4" w:space="0" w:color="auto"/>
              <w:right w:val="single" w:sz="4" w:space="0" w:color="auto"/>
            </w:tcBorders>
            <w:shd w:val="clear" w:color="auto" w:fill="auto"/>
            <w:vAlign w:val="bottom"/>
            <w:hideMark/>
          </w:tcPr>
          <w:p w14:paraId="5AD05435"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 </w:t>
            </w:r>
          </w:p>
        </w:tc>
        <w:tc>
          <w:tcPr>
            <w:tcW w:w="4395" w:type="dxa"/>
            <w:tcBorders>
              <w:top w:val="nil"/>
              <w:left w:val="nil"/>
              <w:bottom w:val="single" w:sz="4" w:space="0" w:color="auto"/>
              <w:right w:val="single" w:sz="4" w:space="0" w:color="auto"/>
            </w:tcBorders>
            <w:shd w:val="clear" w:color="auto" w:fill="auto"/>
            <w:vAlign w:val="bottom"/>
            <w:hideMark/>
          </w:tcPr>
          <w:p w14:paraId="053B49C7"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National Nutrition Survey</w:t>
            </w:r>
          </w:p>
        </w:tc>
      </w:tr>
      <w:tr w:rsidR="001C0B5B" w:rsidRPr="001C0B5B" w14:paraId="43838C7F" w14:textId="77777777" w:rsidTr="03C7B32C">
        <w:trPr>
          <w:trHeight w:val="300"/>
        </w:trPr>
        <w:tc>
          <w:tcPr>
            <w:tcW w:w="1320" w:type="dxa"/>
            <w:tcBorders>
              <w:top w:val="nil"/>
              <w:left w:val="single" w:sz="4" w:space="0" w:color="auto"/>
              <w:bottom w:val="single" w:sz="4" w:space="0" w:color="auto"/>
              <w:right w:val="single" w:sz="4" w:space="0" w:color="auto"/>
            </w:tcBorders>
            <w:shd w:val="clear" w:color="auto" w:fill="auto"/>
            <w:vAlign w:val="bottom"/>
            <w:hideMark/>
          </w:tcPr>
          <w:p w14:paraId="202B007C"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Azerbaijan</w:t>
            </w:r>
          </w:p>
        </w:tc>
        <w:tc>
          <w:tcPr>
            <w:tcW w:w="1200" w:type="dxa"/>
            <w:tcBorders>
              <w:top w:val="nil"/>
              <w:left w:val="nil"/>
              <w:bottom w:val="single" w:sz="4" w:space="0" w:color="auto"/>
              <w:right w:val="single" w:sz="4" w:space="0" w:color="auto"/>
            </w:tcBorders>
            <w:shd w:val="clear" w:color="auto" w:fill="auto"/>
            <w:vAlign w:val="bottom"/>
            <w:hideMark/>
          </w:tcPr>
          <w:p w14:paraId="2CBE48AD"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2013</w:t>
            </w:r>
          </w:p>
        </w:tc>
        <w:tc>
          <w:tcPr>
            <w:tcW w:w="957" w:type="dxa"/>
            <w:tcBorders>
              <w:top w:val="nil"/>
              <w:left w:val="nil"/>
              <w:bottom w:val="single" w:sz="4" w:space="0" w:color="auto"/>
              <w:right w:val="single" w:sz="4" w:space="0" w:color="auto"/>
            </w:tcBorders>
            <w:shd w:val="clear" w:color="auto" w:fill="auto"/>
            <w:vAlign w:val="bottom"/>
            <w:hideMark/>
          </w:tcPr>
          <w:p w14:paraId="1AF6CE18"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15-49</w:t>
            </w:r>
          </w:p>
        </w:tc>
        <w:tc>
          <w:tcPr>
            <w:tcW w:w="978" w:type="dxa"/>
            <w:tcBorders>
              <w:top w:val="nil"/>
              <w:left w:val="nil"/>
              <w:bottom w:val="single" w:sz="4" w:space="0" w:color="auto"/>
              <w:right w:val="single" w:sz="4" w:space="0" w:color="auto"/>
            </w:tcBorders>
            <w:shd w:val="clear" w:color="auto" w:fill="auto"/>
            <w:vAlign w:val="bottom"/>
            <w:hideMark/>
          </w:tcPr>
          <w:p w14:paraId="094D3FDF"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2551</w:t>
            </w:r>
          </w:p>
        </w:tc>
        <w:tc>
          <w:tcPr>
            <w:tcW w:w="1410" w:type="dxa"/>
            <w:tcBorders>
              <w:top w:val="nil"/>
              <w:left w:val="nil"/>
              <w:bottom w:val="single" w:sz="4" w:space="0" w:color="auto"/>
              <w:right w:val="single" w:sz="4" w:space="0" w:color="auto"/>
            </w:tcBorders>
            <w:shd w:val="clear" w:color="auto" w:fill="auto"/>
            <w:vAlign w:val="bottom"/>
            <w:hideMark/>
          </w:tcPr>
          <w:p w14:paraId="7397F69F"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iron, folate</w:t>
            </w:r>
          </w:p>
        </w:tc>
        <w:tc>
          <w:tcPr>
            <w:tcW w:w="1058" w:type="dxa"/>
            <w:tcBorders>
              <w:top w:val="nil"/>
              <w:left w:val="nil"/>
              <w:bottom w:val="single" w:sz="4" w:space="0" w:color="auto"/>
              <w:right w:val="single" w:sz="4" w:space="0" w:color="auto"/>
            </w:tcBorders>
            <w:shd w:val="clear" w:color="auto" w:fill="auto"/>
            <w:vAlign w:val="bottom"/>
            <w:hideMark/>
          </w:tcPr>
          <w:p w14:paraId="27DD1CD6"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 </w:t>
            </w:r>
          </w:p>
        </w:tc>
        <w:tc>
          <w:tcPr>
            <w:tcW w:w="1004" w:type="dxa"/>
            <w:tcBorders>
              <w:top w:val="nil"/>
              <w:left w:val="nil"/>
              <w:bottom w:val="single" w:sz="4" w:space="0" w:color="auto"/>
              <w:right w:val="single" w:sz="4" w:space="0" w:color="auto"/>
            </w:tcBorders>
            <w:shd w:val="clear" w:color="auto" w:fill="auto"/>
            <w:vAlign w:val="bottom"/>
            <w:hideMark/>
          </w:tcPr>
          <w:p w14:paraId="68A806F2"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10</w:t>
            </w:r>
          </w:p>
        </w:tc>
        <w:tc>
          <w:tcPr>
            <w:tcW w:w="1713" w:type="dxa"/>
            <w:tcBorders>
              <w:top w:val="nil"/>
              <w:left w:val="nil"/>
              <w:bottom w:val="single" w:sz="4" w:space="0" w:color="auto"/>
              <w:right w:val="single" w:sz="4" w:space="0" w:color="auto"/>
            </w:tcBorders>
            <w:shd w:val="clear" w:color="auto" w:fill="auto"/>
            <w:vAlign w:val="bottom"/>
            <w:hideMark/>
          </w:tcPr>
          <w:p w14:paraId="111F5D84"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 </w:t>
            </w:r>
          </w:p>
        </w:tc>
        <w:tc>
          <w:tcPr>
            <w:tcW w:w="4395" w:type="dxa"/>
            <w:tcBorders>
              <w:top w:val="nil"/>
              <w:left w:val="nil"/>
              <w:bottom w:val="single" w:sz="4" w:space="0" w:color="auto"/>
              <w:right w:val="single" w:sz="4" w:space="0" w:color="auto"/>
            </w:tcBorders>
            <w:shd w:val="clear" w:color="auto" w:fill="auto"/>
            <w:vAlign w:val="bottom"/>
            <w:hideMark/>
          </w:tcPr>
          <w:p w14:paraId="7B533E22"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Azerbaijan Nutrition Survey</w:t>
            </w:r>
          </w:p>
        </w:tc>
      </w:tr>
      <w:tr w:rsidR="001C0B5B" w:rsidRPr="001C0B5B" w14:paraId="72175570" w14:textId="77777777" w:rsidTr="03C7B32C">
        <w:trPr>
          <w:trHeight w:val="300"/>
        </w:trPr>
        <w:tc>
          <w:tcPr>
            <w:tcW w:w="1320" w:type="dxa"/>
            <w:tcBorders>
              <w:top w:val="nil"/>
              <w:left w:val="single" w:sz="4" w:space="0" w:color="auto"/>
              <w:bottom w:val="single" w:sz="4" w:space="0" w:color="auto"/>
              <w:right w:val="single" w:sz="4" w:space="0" w:color="auto"/>
            </w:tcBorders>
            <w:shd w:val="clear" w:color="auto" w:fill="auto"/>
            <w:vAlign w:val="bottom"/>
            <w:hideMark/>
          </w:tcPr>
          <w:p w14:paraId="28B1BE94"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Bangladesh</w:t>
            </w:r>
          </w:p>
        </w:tc>
        <w:tc>
          <w:tcPr>
            <w:tcW w:w="1200" w:type="dxa"/>
            <w:tcBorders>
              <w:top w:val="nil"/>
              <w:left w:val="nil"/>
              <w:bottom w:val="single" w:sz="4" w:space="0" w:color="auto"/>
              <w:right w:val="single" w:sz="4" w:space="0" w:color="auto"/>
            </w:tcBorders>
            <w:shd w:val="clear" w:color="auto" w:fill="auto"/>
            <w:vAlign w:val="bottom"/>
            <w:hideMark/>
          </w:tcPr>
          <w:p w14:paraId="45E8F075"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2011</w:t>
            </w:r>
          </w:p>
        </w:tc>
        <w:tc>
          <w:tcPr>
            <w:tcW w:w="957" w:type="dxa"/>
            <w:tcBorders>
              <w:top w:val="nil"/>
              <w:left w:val="nil"/>
              <w:bottom w:val="single" w:sz="4" w:space="0" w:color="auto"/>
              <w:right w:val="single" w:sz="4" w:space="0" w:color="auto"/>
            </w:tcBorders>
            <w:shd w:val="clear" w:color="auto" w:fill="auto"/>
            <w:vAlign w:val="bottom"/>
            <w:hideMark/>
          </w:tcPr>
          <w:p w14:paraId="145D974B"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15-49</w:t>
            </w:r>
          </w:p>
        </w:tc>
        <w:tc>
          <w:tcPr>
            <w:tcW w:w="978" w:type="dxa"/>
            <w:tcBorders>
              <w:top w:val="nil"/>
              <w:left w:val="nil"/>
              <w:bottom w:val="single" w:sz="4" w:space="0" w:color="auto"/>
              <w:right w:val="single" w:sz="4" w:space="0" w:color="auto"/>
            </w:tcBorders>
            <w:shd w:val="clear" w:color="auto" w:fill="auto"/>
            <w:vAlign w:val="bottom"/>
            <w:hideMark/>
          </w:tcPr>
          <w:p w14:paraId="6581C31A"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699</w:t>
            </w:r>
          </w:p>
        </w:tc>
        <w:tc>
          <w:tcPr>
            <w:tcW w:w="1410" w:type="dxa"/>
            <w:tcBorders>
              <w:top w:val="nil"/>
              <w:left w:val="nil"/>
              <w:bottom w:val="single" w:sz="4" w:space="0" w:color="auto"/>
              <w:right w:val="single" w:sz="4" w:space="0" w:color="auto"/>
            </w:tcBorders>
            <w:shd w:val="clear" w:color="auto" w:fill="auto"/>
            <w:vAlign w:val="bottom"/>
            <w:hideMark/>
          </w:tcPr>
          <w:p w14:paraId="3E26B8C0"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iron, folate, zinc</w:t>
            </w:r>
          </w:p>
        </w:tc>
        <w:tc>
          <w:tcPr>
            <w:tcW w:w="1058" w:type="dxa"/>
            <w:tcBorders>
              <w:top w:val="nil"/>
              <w:left w:val="nil"/>
              <w:bottom w:val="single" w:sz="4" w:space="0" w:color="auto"/>
              <w:right w:val="single" w:sz="4" w:space="0" w:color="auto"/>
            </w:tcBorders>
            <w:shd w:val="clear" w:color="auto" w:fill="auto"/>
            <w:vAlign w:val="bottom"/>
            <w:hideMark/>
          </w:tcPr>
          <w:p w14:paraId="6E8A84B3"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9.55</w:t>
            </w:r>
          </w:p>
        </w:tc>
        <w:tc>
          <w:tcPr>
            <w:tcW w:w="1004" w:type="dxa"/>
            <w:tcBorders>
              <w:top w:val="nil"/>
              <w:left w:val="nil"/>
              <w:bottom w:val="single" w:sz="4" w:space="0" w:color="auto"/>
              <w:right w:val="single" w:sz="4" w:space="0" w:color="auto"/>
            </w:tcBorders>
            <w:shd w:val="clear" w:color="auto" w:fill="auto"/>
            <w:vAlign w:val="bottom"/>
            <w:hideMark/>
          </w:tcPr>
          <w:p w14:paraId="5311B6E5"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16.3</w:t>
            </w:r>
          </w:p>
        </w:tc>
        <w:tc>
          <w:tcPr>
            <w:tcW w:w="1713" w:type="dxa"/>
            <w:tcBorders>
              <w:top w:val="nil"/>
              <w:left w:val="nil"/>
              <w:bottom w:val="single" w:sz="4" w:space="0" w:color="auto"/>
              <w:right w:val="single" w:sz="4" w:space="0" w:color="auto"/>
            </w:tcBorders>
            <w:shd w:val="clear" w:color="auto" w:fill="auto"/>
            <w:vAlign w:val="bottom"/>
            <w:hideMark/>
          </w:tcPr>
          <w:p w14:paraId="69A2505F"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 </w:t>
            </w:r>
          </w:p>
        </w:tc>
        <w:tc>
          <w:tcPr>
            <w:tcW w:w="4395" w:type="dxa"/>
            <w:tcBorders>
              <w:top w:val="nil"/>
              <w:left w:val="nil"/>
              <w:bottom w:val="single" w:sz="4" w:space="0" w:color="auto"/>
              <w:right w:val="single" w:sz="4" w:space="0" w:color="auto"/>
            </w:tcBorders>
            <w:shd w:val="clear" w:color="auto" w:fill="auto"/>
            <w:vAlign w:val="bottom"/>
            <w:hideMark/>
          </w:tcPr>
          <w:p w14:paraId="12F23CE8"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National Micronutrients Status Survey 2011-12</w:t>
            </w:r>
          </w:p>
        </w:tc>
      </w:tr>
      <w:tr w:rsidR="001C0B5B" w:rsidRPr="001C0B5B" w14:paraId="7ABF1473" w14:textId="77777777" w:rsidTr="03C7B32C">
        <w:trPr>
          <w:trHeight w:val="300"/>
        </w:trPr>
        <w:tc>
          <w:tcPr>
            <w:tcW w:w="1320" w:type="dxa"/>
            <w:tcBorders>
              <w:top w:val="nil"/>
              <w:left w:val="single" w:sz="4" w:space="0" w:color="auto"/>
              <w:bottom w:val="single" w:sz="4" w:space="0" w:color="auto"/>
              <w:right w:val="single" w:sz="4" w:space="0" w:color="auto"/>
            </w:tcBorders>
            <w:shd w:val="clear" w:color="auto" w:fill="auto"/>
            <w:vAlign w:val="bottom"/>
            <w:hideMark/>
          </w:tcPr>
          <w:p w14:paraId="04359CA2"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Cambodia</w:t>
            </w:r>
          </w:p>
        </w:tc>
        <w:tc>
          <w:tcPr>
            <w:tcW w:w="1200" w:type="dxa"/>
            <w:tcBorders>
              <w:top w:val="nil"/>
              <w:left w:val="nil"/>
              <w:bottom w:val="single" w:sz="4" w:space="0" w:color="auto"/>
              <w:right w:val="single" w:sz="4" w:space="0" w:color="auto"/>
            </w:tcBorders>
            <w:shd w:val="clear" w:color="auto" w:fill="auto"/>
            <w:vAlign w:val="bottom"/>
            <w:hideMark/>
          </w:tcPr>
          <w:p w14:paraId="17C6988B"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2014</w:t>
            </w:r>
          </w:p>
        </w:tc>
        <w:tc>
          <w:tcPr>
            <w:tcW w:w="957" w:type="dxa"/>
            <w:tcBorders>
              <w:top w:val="nil"/>
              <w:left w:val="nil"/>
              <w:bottom w:val="single" w:sz="4" w:space="0" w:color="auto"/>
              <w:right w:val="single" w:sz="4" w:space="0" w:color="auto"/>
            </w:tcBorders>
            <w:shd w:val="clear" w:color="auto" w:fill="auto"/>
            <w:vAlign w:val="bottom"/>
            <w:hideMark/>
          </w:tcPr>
          <w:p w14:paraId="38D6CDFC"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16-49</w:t>
            </w:r>
          </w:p>
        </w:tc>
        <w:tc>
          <w:tcPr>
            <w:tcW w:w="978" w:type="dxa"/>
            <w:tcBorders>
              <w:top w:val="nil"/>
              <w:left w:val="nil"/>
              <w:bottom w:val="single" w:sz="4" w:space="0" w:color="auto"/>
              <w:right w:val="single" w:sz="4" w:space="0" w:color="auto"/>
            </w:tcBorders>
            <w:shd w:val="clear" w:color="auto" w:fill="auto"/>
            <w:vAlign w:val="bottom"/>
            <w:hideMark/>
          </w:tcPr>
          <w:p w14:paraId="23A90CF2"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689</w:t>
            </w:r>
          </w:p>
        </w:tc>
        <w:tc>
          <w:tcPr>
            <w:tcW w:w="1410" w:type="dxa"/>
            <w:tcBorders>
              <w:top w:val="nil"/>
              <w:left w:val="nil"/>
              <w:bottom w:val="single" w:sz="4" w:space="0" w:color="auto"/>
              <w:right w:val="single" w:sz="4" w:space="0" w:color="auto"/>
            </w:tcBorders>
            <w:shd w:val="clear" w:color="auto" w:fill="auto"/>
            <w:vAlign w:val="bottom"/>
            <w:hideMark/>
          </w:tcPr>
          <w:p w14:paraId="276275EF"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iron, folate, zinc</w:t>
            </w:r>
          </w:p>
        </w:tc>
        <w:tc>
          <w:tcPr>
            <w:tcW w:w="1058" w:type="dxa"/>
            <w:tcBorders>
              <w:top w:val="nil"/>
              <w:left w:val="nil"/>
              <w:bottom w:val="single" w:sz="4" w:space="0" w:color="auto"/>
              <w:right w:val="single" w:sz="4" w:space="0" w:color="auto"/>
            </w:tcBorders>
            <w:shd w:val="clear" w:color="auto" w:fill="auto"/>
            <w:vAlign w:val="bottom"/>
            <w:hideMark/>
          </w:tcPr>
          <w:p w14:paraId="07531962"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10.1</w:t>
            </w:r>
          </w:p>
        </w:tc>
        <w:tc>
          <w:tcPr>
            <w:tcW w:w="1004" w:type="dxa"/>
            <w:tcBorders>
              <w:top w:val="nil"/>
              <w:left w:val="nil"/>
              <w:bottom w:val="single" w:sz="4" w:space="0" w:color="auto"/>
              <w:right w:val="single" w:sz="4" w:space="0" w:color="auto"/>
            </w:tcBorders>
            <w:shd w:val="clear" w:color="auto" w:fill="auto"/>
            <w:vAlign w:val="bottom"/>
            <w:hideMark/>
          </w:tcPr>
          <w:p w14:paraId="1A0189FD"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15.9</w:t>
            </w:r>
          </w:p>
        </w:tc>
        <w:tc>
          <w:tcPr>
            <w:tcW w:w="1713" w:type="dxa"/>
            <w:tcBorders>
              <w:top w:val="nil"/>
              <w:left w:val="nil"/>
              <w:bottom w:val="single" w:sz="4" w:space="0" w:color="auto"/>
              <w:right w:val="single" w:sz="4" w:space="0" w:color="auto"/>
            </w:tcBorders>
            <w:shd w:val="clear" w:color="auto" w:fill="auto"/>
            <w:vAlign w:val="bottom"/>
            <w:hideMark/>
          </w:tcPr>
          <w:p w14:paraId="48176A07"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 </w:t>
            </w:r>
          </w:p>
        </w:tc>
        <w:tc>
          <w:tcPr>
            <w:tcW w:w="4395" w:type="dxa"/>
            <w:tcBorders>
              <w:top w:val="nil"/>
              <w:left w:val="nil"/>
              <w:bottom w:val="single" w:sz="4" w:space="0" w:color="auto"/>
              <w:right w:val="single" w:sz="4" w:space="0" w:color="auto"/>
            </w:tcBorders>
            <w:shd w:val="clear" w:color="auto" w:fill="auto"/>
            <w:vAlign w:val="bottom"/>
            <w:hideMark/>
          </w:tcPr>
          <w:p w14:paraId="454B7472"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Cambodia Demographic and Health Survey 2014</w:t>
            </w:r>
          </w:p>
        </w:tc>
      </w:tr>
      <w:tr w:rsidR="001C0B5B" w:rsidRPr="001C0B5B" w14:paraId="0F62F94A" w14:textId="77777777" w:rsidTr="03C7B32C">
        <w:trPr>
          <w:trHeight w:val="1290"/>
        </w:trPr>
        <w:tc>
          <w:tcPr>
            <w:tcW w:w="1320" w:type="dxa"/>
            <w:tcBorders>
              <w:top w:val="nil"/>
              <w:left w:val="single" w:sz="4" w:space="0" w:color="auto"/>
              <w:bottom w:val="single" w:sz="4" w:space="0" w:color="auto"/>
              <w:right w:val="single" w:sz="4" w:space="0" w:color="auto"/>
            </w:tcBorders>
            <w:shd w:val="clear" w:color="auto" w:fill="auto"/>
            <w:vAlign w:val="bottom"/>
            <w:hideMark/>
          </w:tcPr>
          <w:p w14:paraId="0F807438"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Cameroon</w:t>
            </w:r>
          </w:p>
        </w:tc>
        <w:tc>
          <w:tcPr>
            <w:tcW w:w="1200" w:type="dxa"/>
            <w:tcBorders>
              <w:top w:val="nil"/>
              <w:left w:val="nil"/>
              <w:bottom w:val="single" w:sz="4" w:space="0" w:color="auto"/>
              <w:right w:val="single" w:sz="4" w:space="0" w:color="auto"/>
            </w:tcBorders>
            <w:shd w:val="clear" w:color="auto" w:fill="auto"/>
            <w:vAlign w:val="bottom"/>
            <w:hideMark/>
          </w:tcPr>
          <w:p w14:paraId="4DF7464F"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2009</w:t>
            </w:r>
          </w:p>
        </w:tc>
        <w:tc>
          <w:tcPr>
            <w:tcW w:w="957" w:type="dxa"/>
            <w:tcBorders>
              <w:top w:val="nil"/>
              <w:left w:val="nil"/>
              <w:bottom w:val="single" w:sz="4" w:space="0" w:color="auto"/>
              <w:right w:val="single" w:sz="4" w:space="0" w:color="auto"/>
            </w:tcBorders>
            <w:shd w:val="clear" w:color="auto" w:fill="auto"/>
            <w:vAlign w:val="bottom"/>
            <w:hideMark/>
          </w:tcPr>
          <w:p w14:paraId="225126DB"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15-47</w:t>
            </w:r>
          </w:p>
        </w:tc>
        <w:tc>
          <w:tcPr>
            <w:tcW w:w="978" w:type="dxa"/>
            <w:tcBorders>
              <w:top w:val="nil"/>
              <w:left w:val="nil"/>
              <w:bottom w:val="single" w:sz="4" w:space="0" w:color="auto"/>
              <w:right w:val="single" w:sz="4" w:space="0" w:color="auto"/>
            </w:tcBorders>
            <w:shd w:val="clear" w:color="auto" w:fill="auto"/>
            <w:vAlign w:val="bottom"/>
            <w:hideMark/>
          </w:tcPr>
          <w:p w14:paraId="1E4C7774"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332</w:t>
            </w:r>
          </w:p>
        </w:tc>
        <w:tc>
          <w:tcPr>
            <w:tcW w:w="1410" w:type="dxa"/>
            <w:tcBorders>
              <w:top w:val="nil"/>
              <w:left w:val="nil"/>
              <w:bottom w:val="single" w:sz="4" w:space="0" w:color="auto"/>
              <w:right w:val="single" w:sz="4" w:space="0" w:color="auto"/>
            </w:tcBorders>
            <w:shd w:val="clear" w:color="auto" w:fill="auto"/>
            <w:vAlign w:val="bottom"/>
            <w:hideMark/>
          </w:tcPr>
          <w:p w14:paraId="768F5316"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iron, folate, zinc</w:t>
            </w:r>
          </w:p>
        </w:tc>
        <w:tc>
          <w:tcPr>
            <w:tcW w:w="1058" w:type="dxa"/>
            <w:tcBorders>
              <w:top w:val="nil"/>
              <w:left w:val="nil"/>
              <w:bottom w:val="single" w:sz="4" w:space="0" w:color="auto"/>
              <w:right w:val="single" w:sz="4" w:space="0" w:color="auto"/>
            </w:tcBorders>
            <w:shd w:val="clear" w:color="auto" w:fill="auto"/>
            <w:vAlign w:val="bottom"/>
            <w:hideMark/>
          </w:tcPr>
          <w:p w14:paraId="73736ACD"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9.55</w:t>
            </w:r>
          </w:p>
        </w:tc>
        <w:tc>
          <w:tcPr>
            <w:tcW w:w="1004" w:type="dxa"/>
            <w:tcBorders>
              <w:top w:val="nil"/>
              <w:left w:val="nil"/>
              <w:bottom w:val="single" w:sz="4" w:space="0" w:color="auto"/>
              <w:right w:val="single" w:sz="4" w:space="0" w:color="auto"/>
            </w:tcBorders>
            <w:shd w:val="clear" w:color="auto" w:fill="auto"/>
            <w:vAlign w:val="bottom"/>
            <w:hideMark/>
          </w:tcPr>
          <w:p w14:paraId="2DD52566"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13.4</w:t>
            </w:r>
          </w:p>
        </w:tc>
        <w:tc>
          <w:tcPr>
            <w:tcW w:w="1713" w:type="dxa"/>
            <w:tcBorders>
              <w:top w:val="nil"/>
              <w:left w:val="nil"/>
              <w:bottom w:val="single" w:sz="4" w:space="0" w:color="auto"/>
              <w:right w:val="single" w:sz="4" w:space="0" w:color="auto"/>
            </w:tcBorders>
            <w:shd w:val="clear" w:color="auto" w:fill="auto"/>
            <w:vAlign w:val="bottom"/>
            <w:hideMark/>
          </w:tcPr>
          <w:p w14:paraId="65087552"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 </w:t>
            </w:r>
          </w:p>
        </w:tc>
        <w:tc>
          <w:tcPr>
            <w:tcW w:w="4395" w:type="dxa"/>
            <w:tcBorders>
              <w:top w:val="nil"/>
              <w:left w:val="nil"/>
              <w:bottom w:val="single" w:sz="4" w:space="0" w:color="auto"/>
              <w:right w:val="single" w:sz="4" w:space="0" w:color="auto"/>
            </w:tcBorders>
            <w:shd w:val="clear" w:color="auto" w:fill="auto"/>
            <w:vAlign w:val="bottom"/>
            <w:hideMark/>
          </w:tcPr>
          <w:p w14:paraId="1089BEA2"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 xml:space="preserve">Engle-Stone, R., </w:t>
            </w:r>
            <w:proofErr w:type="spellStart"/>
            <w:r w:rsidRPr="001C0B5B">
              <w:rPr>
                <w:rFonts w:ascii="Calibri" w:hAnsi="Calibri" w:cs="Calibri"/>
                <w:color w:val="000000"/>
                <w:sz w:val="20"/>
                <w:lang w:eastAsia="en-US"/>
              </w:rPr>
              <w:t>Ndjebayi</w:t>
            </w:r>
            <w:proofErr w:type="spellEnd"/>
            <w:r w:rsidRPr="001C0B5B">
              <w:rPr>
                <w:rFonts w:ascii="Calibri" w:hAnsi="Calibri" w:cs="Calibri"/>
                <w:color w:val="000000"/>
                <w:sz w:val="20"/>
                <w:lang w:eastAsia="en-US"/>
              </w:rPr>
              <w:t xml:space="preserve">, A. O., </w:t>
            </w:r>
            <w:proofErr w:type="spellStart"/>
            <w:r w:rsidRPr="001C0B5B">
              <w:rPr>
                <w:rFonts w:ascii="Calibri" w:hAnsi="Calibri" w:cs="Calibri"/>
                <w:color w:val="000000"/>
                <w:sz w:val="20"/>
                <w:lang w:eastAsia="en-US"/>
              </w:rPr>
              <w:t>Nankap</w:t>
            </w:r>
            <w:proofErr w:type="spellEnd"/>
            <w:r w:rsidRPr="001C0B5B">
              <w:rPr>
                <w:rFonts w:ascii="Calibri" w:hAnsi="Calibri" w:cs="Calibri"/>
                <w:color w:val="000000"/>
                <w:sz w:val="20"/>
                <w:lang w:eastAsia="en-US"/>
              </w:rPr>
              <w:t>, M., &amp; Brown, K. H. (2012). Consumption of potentially fortifiable foods by women and young children varies by ecological zone and socio-economic status in Cameroon. The Journal of nutrition, 142(3), 555-565.</w:t>
            </w:r>
          </w:p>
        </w:tc>
      </w:tr>
      <w:tr w:rsidR="001C0B5B" w:rsidRPr="001C0B5B" w14:paraId="46F9BDB2" w14:textId="77777777" w:rsidTr="03C7B32C">
        <w:trPr>
          <w:trHeight w:val="1545"/>
        </w:trPr>
        <w:tc>
          <w:tcPr>
            <w:tcW w:w="1320" w:type="dxa"/>
            <w:tcBorders>
              <w:top w:val="nil"/>
              <w:left w:val="single" w:sz="4" w:space="0" w:color="auto"/>
              <w:bottom w:val="single" w:sz="4" w:space="0" w:color="auto"/>
              <w:right w:val="single" w:sz="4" w:space="0" w:color="auto"/>
            </w:tcBorders>
            <w:shd w:val="clear" w:color="auto" w:fill="auto"/>
            <w:vAlign w:val="bottom"/>
            <w:hideMark/>
          </w:tcPr>
          <w:p w14:paraId="63023458"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Côte d’Ivoire</w:t>
            </w:r>
          </w:p>
        </w:tc>
        <w:tc>
          <w:tcPr>
            <w:tcW w:w="1200" w:type="dxa"/>
            <w:tcBorders>
              <w:top w:val="nil"/>
              <w:left w:val="nil"/>
              <w:bottom w:val="single" w:sz="4" w:space="0" w:color="auto"/>
              <w:right w:val="single" w:sz="4" w:space="0" w:color="auto"/>
            </w:tcBorders>
            <w:shd w:val="clear" w:color="auto" w:fill="auto"/>
            <w:vAlign w:val="bottom"/>
            <w:hideMark/>
          </w:tcPr>
          <w:p w14:paraId="669EF11A"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2007</w:t>
            </w:r>
          </w:p>
        </w:tc>
        <w:tc>
          <w:tcPr>
            <w:tcW w:w="957" w:type="dxa"/>
            <w:tcBorders>
              <w:top w:val="nil"/>
              <w:left w:val="nil"/>
              <w:bottom w:val="single" w:sz="4" w:space="0" w:color="auto"/>
              <w:right w:val="single" w:sz="4" w:space="0" w:color="auto"/>
            </w:tcBorders>
            <w:shd w:val="clear" w:color="auto" w:fill="auto"/>
            <w:vAlign w:val="bottom"/>
            <w:hideMark/>
          </w:tcPr>
          <w:p w14:paraId="7A946A2D"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15-48</w:t>
            </w:r>
          </w:p>
        </w:tc>
        <w:tc>
          <w:tcPr>
            <w:tcW w:w="978" w:type="dxa"/>
            <w:tcBorders>
              <w:top w:val="nil"/>
              <w:left w:val="nil"/>
              <w:bottom w:val="single" w:sz="4" w:space="0" w:color="auto"/>
              <w:right w:val="single" w:sz="4" w:space="0" w:color="auto"/>
            </w:tcBorders>
            <w:shd w:val="clear" w:color="auto" w:fill="auto"/>
            <w:vAlign w:val="bottom"/>
            <w:hideMark/>
          </w:tcPr>
          <w:p w14:paraId="2ABA4A98"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792</w:t>
            </w:r>
          </w:p>
        </w:tc>
        <w:tc>
          <w:tcPr>
            <w:tcW w:w="1410" w:type="dxa"/>
            <w:tcBorders>
              <w:top w:val="nil"/>
              <w:left w:val="nil"/>
              <w:bottom w:val="single" w:sz="4" w:space="0" w:color="auto"/>
              <w:right w:val="single" w:sz="4" w:space="0" w:color="auto"/>
            </w:tcBorders>
            <w:shd w:val="clear" w:color="auto" w:fill="auto"/>
            <w:vAlign w:val="bottom"/>
            <w:hideMark/>
          </w:tcPr>
          <w:p w14:paraId="47CC61A4"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iron, folate</w:t>
            </w:r>
          </w:p>
        </w:tc>
        <w:tc>
          <w:tcPr>
            <w:tcW w:w="1058" w:type="dxa"/>
            <w:tcBorders>
              <w:top w:val="nil"/>
              <w:left w:val="nil"/>
              <w:bottom w:val="single" w:sz="4" w:space="0" w:color="auto"/>
              <w:right w:val="single" w:sz="4" w:space="0" w:color="auto"/>
            </w:tcBorders>
            <w:shd w:val="clear" w:color="auto" w:fill="auto"/>
            <w:vAlign w:val="bottom"/>
            <w:hideMark/>
          </w:tcPr>
          <w:p w14:paraId="06CAA1CE"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 </w:t>
            </w:r>
          </w:p>
        </w:tc>
        <w:tc>
          <w:tcPr>
            <w:tcW w:w="1004" w:type="dxa"/>
            <w:tcBorders>
              <w:top w:val="nil"/>
              <w:left w:val="nil"/>
              <w:bottom w:val="single" w:sz="4" w:space="0" w:color="auto"/>
              <w:right w:val="single" w:sz="4" w:space="0" w:color="auto"/>
            </w:tcBorders>
            <w:shd w:val="clear" w:color="auto" w:fill="auto"/>
            <w:vAlign w:val="bottom"/>
            <w:hideMark/>
          </w:tcPr>
          <w:p w14:paraId="26AE0B6B"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12</w:t>
            </w:r>
          </w:p>
        </w:tc>
        <w:tc>
          <w:tcPr>
            <w:tcW w:w="1713" w:type="dxa"/>
            <w:tcBorders>
              <w:top w:val="nil"/>
              <w:left w:val="nil"/>
              <w:bottom w:val="single" w:sz="4" w:space="0" w:color="auto"/>
              <w:right w:val="single" w:sz="4" w:space="0" w:color="auto"/>
            </w:tcBorders>
            <w:shd w:val="clear" w:color="auto" w:fill="auto"/>
            <w:vAlign w:val="bottom"/>
            <w:hideMark/>
          </w:tcPr>
          <w:p w14:paraId="7DF8C875"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 </w:t>
            </w:r>
          </w:p>
        </w:tc>
        <w:tc>
          <w:tcPr>
            <w:tcW w:w="4395" w:type="dxa"/>
            <w:tcBorders>
              <w:top w:val="nil"/>
              <w:left w:val="nil"/>
              <w:bottom w:val="single" w:sz="4" w:space="0" w:color="auto"/>
              <w:right w:val="single" w:sz="4" w:space="0" w:color="auto"/>
            </w:tcBorders>
            <w:shd w:val="clear" w:color="auto" w:fill="auto"/>
            <w:vAlign w:val="bottom"/>
            <w:hideMark/>
          </w:tcPr>
          <w:p w14:paraId="4C2F205F" w14:textId="4E15C380" w:rsidR="001C0B5B" w:rsidRPr="001C0B5B" w:rsidRDefault="001C0B5B" w:rsidP="001C0B5B">
            <w:pPr>
              <w:spacing w:line="240" w:lineRule="auto"/>
              <w:rPr>
                <w:rFonts w:ascii="Calibri" w:hAnsi="Calibri" w:cs="Calibri"/>
                <w:color w:val="000000"/>
                <w:sz w:val="20"/>
                <w:lang w:eastAsia="en-US"/>
              </w:rPr>
            </w:pPr>
            <w:proofErr w:type="spellStart"/>
            <w:r w:rsidRPr="001C0B5B">
              <w:rPr>
                <w:rFonts w:ascii="Calibri" w:hAnsi="Calibri" w:cs="Calibri"/>
                <w:color w:val="000000"/>
                <w:sz w:val="20"/>
                <w:lang w:eastAsia="en-US"/>
              </w:rPr>
              <w:t>Rohner</w:t>
            </w:r>
            <w:proofErr w:type="spellEnd"/>
            <w:r w:rsidRPr="001C0B5B">
              <w:rPr>
                <w:rFonts w:ascii="Calibri" w:hAnsi="Calibri" w:cs="Calibri"/>
                <w:color w:val="000000"/>
                <w:sz w:val="20"/>
                <w:lang w:eastAsia="en-US"/>
              </w:rPr>
              <w:t xml:space="preserve">, F., </w:t>
            </w:r>
            <w:proofErr w:type="spellStart"/>
            <w:r w:rsidRPr="001C0B5B">
              <w:rPr>
                <w:rFonts w:ascii="Calibri" w:hAnsi="Calibri" w:cs="Calibri"/>
                <w:color w:val="000000"/>
                <w:sz w:val="20"/>
                <w:lang w:eastAsia="en-US"/>
              </w:rPr>
              <w:t>Tschannen</w:t>
            </w:r>
            <w:proofErr w:type="spellEnd"/>
            <w:r w:rsidRPr="001C0B5B">
              <w:rPr>
                <w:rFonts w:ascii="Calibri" w:hAnsi="Calibri" w:cs="Calibri"/>
                <w:color w:val="000000"/>
                <w:sz w:val="20"/>
                <w:lang w:eastAsia="en-US"/>
              </w:rPr>
              <w:t>, A. B., Northrop-</w:t>
            </w:r>
            <w:proofErr w:type="spellStart"/>
            <w:r w:rsidRPr="001C0B5B">
              <w:rPr>
                <w:rFonts w:ascii="Calibri" w:hAnsi="Calibri" w:cs="Calibri"/>
                <w:color w:val="000000"/>
                <w:sz w:val="20"/>
                <w:lang w:eastAsia="en-US"/>
              </w:rPr>
              <w:t>Clewes</w:t>
            </w:r>
            <w:proofErr w:type="spellEnd"/>
            <w:r w:rsidRPr="001C0B5B">
              <w:rPr>
                <w:rFonts w:ascii="Calibri" w:hAnsi="Calibri" w:cs="Calibri"/>
                <w:color w:val="000000"/>
                <w:sz w:val="20"/>
                <w:lang w:eastAsia="en-US"/>
              </w:rPr>
              <w:t xml:space="preserve">, C., </w:t>
            </w:r>
            <w:proofErr w:type="spellStart"/>
            <w:r w:rsidRPr="001C0B5B">
              <w:rPr>
                <w:rFonts w:ascii="Calibri" w:hAnsi="Calibri" w:cs="Calibri"/>
                <w:color w:val="000000"/>
                <w:sz w:val="20"/>
                <w:lang w:eastAsia="en-US"/>
              </w:rPr>
              <w:t>Kouassi-Gohou</w:t>
            </w:r>
            <w:proofErr w:type="spellEnd"/>
            <w:r w:rsidRPr="001C0B5B">
              <w:rPr>
                <w:rFonts w:ascii="Calibri" w:hAnsi="Calibri" w:cs="Calibri"/>
                <w:color w:val="000000"/>
                <w:sz w:val="20"/>
                <w:lang w:eastAsia="en-US"/>
              </w:rPr>
              <w:t xml:space="preserve">, V., </w:t>
            </w:r>
            <w:proofErr w:type="spellStart"/>
            <w:r w:rsidRPr="001C0B5B">
              <w:rPr>
                <w:rFonts w:ascii="Calibri" w:hAnsi="Calibri" w:cs="Calibri"/>
                <w:color w:val="000000"/>
                <w:sz w:val="20"/>
                <w:lang w:eastAsia="en-US"/>
              </w:rPr>
              <w:t>Bosso</w:t>
            </w:r>
            <w:proofErr w:type="spellEnd"/>
            <w:r w:rsidRPr="001C0B5B">
              <w:rPr>
                <w:rFonts w:ascii="Calibri" w:hAnsi="Calibri" w:cs="Calibri"/>
                <w:color w:val="000000"/>
                <w:sz w:val="20"/>
                <w:lang w:eastAsia="en-US"/>
              </w:rPr>
              <w:t xml:space="preserve">, P. E., &amp; </w:t>
            </w:r>
            <w:proofErr w:type="spellStart"/>
            <w:r w:rsidRPr="001C0B5B">
              <w:rPr>
                <w:rFonts w:ascii="Calibri" w:hAnsi="Calibri" w:cs="Calibri"/>
                <w:color w:val="000000"/>
                <w:sz w:val="20"/>
                <w:lang w:eastAsia="en-US"/>
              </w:rPr>
              <w:t>Mascie</w:t>
            </w:r>
            <w:proofErr w:type="spellEnd"/>
            <w:r w:rsidRPr="001C0B5B">
              <w:rPr>
                <w:rFonts w:ascii="Calibri" w:hAnsi="Calibri" w:cs="Calibri"/>
                <w:color w:val="000000"/>
                <w:sz w:val="20"/>
                <w:lang w:eastAsia="en-US"/>
              </w:rPr>
              <w:t xml:space="preserve">-Taylor, C. N. (2012). Comparison of a possession score and a poverty index in predicting </w:t>
            </w:r>
            <w:proofErr w:type="spellStart"/>
            <w:r w:rsidRPr="001C0B5B">
              <w:rPr>
                <w:rFonts w:ascii="Calibri" w:hAnsi="Calibri" w:cs="Calibri"/>
                <w:color w:val="000000"/>
                <w:sz w:val="20"/>
                <w:lang w:eastAsia="en-US"/>
              </w:rPr>
              <w:t>anaemia</w:t>
            </w:r>
            <w:proofErr w:type="spellEnd"/>
            <w:r w:rsidRPr="001C0B5B">
              <w:rPr>
                <w:rFonts w:ascii="Calibri" w:hAnsi="Calibri" w:cs="Calibri"/>
                <w:color w:val="000000"/>
                <w:sz w:val="20"/>
                <w:lang w:eastAsia="en-US"/>
              </w:rPr>
              <w:t xml:space="preserve"> and undernutrition in pre-school children and women of reproductive age in rural and urban Cote d'Ivoire. Public </w:t>
            </w:r>
            <w:r w:rsidR="009E4EA0">
              <w:rPr>
                <w:rFonts w:ascii="Calibri" w:hAnsi="Calibri" w:cs="Calibri"/>
                <w:color w:val="000000"/>
                <w:sz w:val="20"/>
                <w:lang w:eastAsia="en-US"/>
              </w:rPr>
              <w:t>H</w:t>
            </w:r>
            <w:r w:rsidRPr="001C0B5B">
              <w:rPr>
                <w:rFonts w:ascii="Calibri" w:hAnsi="Calibri" w:cs="Calibri"/>
                <w:color w:val="000000"/>
                <w:sz w:val="20"/>
                <w:lang w:eastAsia="en-US"/>
              </w:rPr>
              <w:t xml:space="preserve">ealth </w:t>
            </w:r>
            <w:r w:rsidR="009E4EA0">
              <w:rPr>
                <w:rFonts w:ascii="Calibri" w:hAnsi="Calibri" w:cs="Calibri"/>
                <w:color w:val="000000"/>
                <w:sz w:val="20"/>
                <w:lang w:eastAsia="en-US"/>
              </w:rPr>
              <w:t>N</w:t>
            </w:r>
            <w:r w:rsidRPr="001C0B5B">
              <w:rPr>
                <w:rFonts w:ascii="Calibri" w:hAnsi="Calibri" w:cs="Calibri"/>
                <w:color w:val="000000"/>
                <w:sz w:val="20"/>
                <w:lang w:eastAsia="en-US"/>
              </w:rPr>
              <w:t>utrition, 15(9), 1620-1629.</w:t>
            </w:r>
          </w:p>
        </w:tc>
      </w:tr>
      <w:tr w:rsidR="001C0B5B" w:rsidRPr="00050AD8" w14:paraId="75172A76" w14:textId="77777777" w:rsidTr="03C7B32C">
        <w:trPr>
          <w:trHeight w:val="300"/>
        </w:trPr>
        <w:tc>
          <w:tcPr>
            <w:tcW w:w="1320" w:type="dxa"/>
            <w:tcBorders>
              <w:top w:val="nil"/>
              <w:left w:val="single" w:sz="4" w:space="0" w:color="auto"/>
              <w:bottom w:val="single" w:sz="4" w:space="0" w:color="auto"/>
              <w:right w:val="single" w:sz="4" w:space="0" w:color="auto"/>
            </w:tcBorders>
            <w:shd w:val="clear" w:color="auto" w:fill="auto"/>
            <w:vAlign w:val="bottom"/>
            <w:hideMark/>
          </w:tcPr>
          <w:p w14:paraId="75EF1FB1"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Ecuador</w:t>
            </w:r>
          </w:p>
        </w:tc>
        <w:tc>
          <w:tcPr>
            <w:tcW w:w="1200" w:type="dxa"/>
            <w:tcBorders>
              <w:top w:val="nil"/>
              <w:left w:val="nil"/>
              <w:bottom w:val="single" w:sz="4" w:space="0" w:color="auto"/>
              <w:right w:val="single" w:sz="4" w:space="0" w:color="auto"/>
            </w:tcBorders>
            <w:shd w:val="clear" w:color="auto" w:fill="auto"/>
            <w:vAlign w:val="bottom"/>
            <w:hideMark/>
          </w:tcPr>
          <w:p w14:paraId="719FB4D2"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2012</w:t>
            </w:r>
          </w:p>
        </w:tc>
        <w:tc>
          <w:tcPr>
            <w:tcW w:w="957" w:type="dxa"/>
            <w:tcBorders>
              <w:top w:val="nil"/>
              <w:left w:val="nil"/>
              <w:bottom w:val="single" w:sz="4" w:space="0" w:color="auto"/>
              <w:right w:val="single" w:sz="4" w:space="0" w:color="auto"/>
            </w:tcBorders>
            <w:shd w:val="clear" w:color="auto" w:fill="auto"/>
            <w:vAlign w:val="bottom"/>
            <w:hideMark/>
          </w:tcPr>
          <w:p w14:paraId="16E8CF4F"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15-49</w:t>
            </w:r>
          </w:p>
        </w:tc>
        <w:tc>
          <w:tcPr>
            <w:tcW w:w="978" w:type="dxa"/>
            <w:tcBorders>
              <w:top w:val="nil"/>
              <w:left w:val="nil"/>
              <w:bottom w:val="single" w:sz="4" w:space="0" w:color="auto"/>
              <w:right w:val="single" w:sz="4" w:space="0" w:color="auto"/>
            </w:tcBorders>
            <w:shd w:val="clear" w:color="auto" w:fill="auto"/>
            <w:vAlign w:val="bottom"/>
            <w:hideMark/>
          </w:tcPr>
          <w:p w14:paraId="7C65B647"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7230</w:t>
            </w:r>
          </w:p>
        </w:tc>
        <w:tc>
          <w:tcPr>
            <w:tcW w:w="1410" w:type="dxa"/>
            <w:tcBorders>
              <w:top w:val="nil"/>
              <w:left w:val="nil"/>
              <w:bottom w:val="single" w:sz="4" w:space="0" w:color="auto"/>
              <w:right w:val="single" w:sz="4" w:space="0" w:color="auto"/>
            </w:tcBorders>
            <w:shd w:val="clear" w:color="auto" w:fill="auto"/>
            <w:vAlign w:val="bottom"/>
            <w:hideMark/>
          </w:tcPr>
          <w:p w14:paraId="650EC4EA"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iron, folate, zinc</w:t>
            </w:r>
          </w:p>
        </w:tc>
        <w:tc>
          <w:tcPr>
            <w:tcW w:w="1058" w:type="dxa"/>
            <w:tcBorders>
              <w:top w:val="nil"/>
              <w:left w:val="nil"/>
              <w:bottom w:val="single" w:sz="4" w:space="0" w:color="auto"/>
              <w:right w:val="single" w:sz="4" w:space="0" w:color="auto"/>
            </w:tcBorders>
            <w:shd w:val="clear" w:color="auto" w:fill="auto"/>
            <w:vAlign w:val="bottom"/>
            <w:hideMark/>
          </w:tcPr>
          <w:p w14:paraId="02A5406B"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10.7</w:t>
            </w:r>
          </w:p>
        </w:tc>
        <w:tc>
          <w:tcPr>
            <w:tcW w:w="1004" w:type="dxa"/>
            <w:tcBorders>
              <w:top w:val="nil"/>
              <w:left w:val="nil"/>
              <w:bottom w:val="single" w:sz="4" w:space="0" w:color="auto"/>
              <w:right w:val="single" w:sz="4" w:space="0" w:color="auto"/>
            </w:tcBorders>
            <w:shd w:val="clear" w:color="auto" w:fill="auto"/>
            <w:vAlign w:val="bottom"/>
            <w:hideMark/>
          </w:tcPr>
          <w:p w14:paraId="18A50292"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10.3</w:t>
            </w:r>
          </w:p>
        </w:tc>
        <w:tc>
          <w:tcPr>
            <w:tcW w:w="1713" w:type="dxa"/>
            <w:tcBorders>
              <w:top w:val="nil"/>
              <w:left w:val="nil"/>
              <w:bottom w:val="single" w:sz="4" w:space="0" w:color="auto"/>
              <w:right w:val="single" w:sz="4" w:space="0" w:color="auto"/>
            </w:tcBorders>
            <w:shd w:val="clear" w:color="auto" w:fill="auto"/>
            <w:vAlign w:val="bottom"/>
            <w:hideMark/>
          </w:tcPr>
          <w:p w14:paraId="0D604947"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551</w:t>
            </w:r>
          </w:p>
        </w:tc>
        <w:tc>
          <w:tcPr>
            <w:tcW w:w="4395" w:type="dxa"/>
            <w:tcBorders>
              <w:top w:val="nil"/>
              <w:left w:val="nil"/>
              <w:bottom w:val="single" w:sz="4" w:space="0" w:color="auto"/>
              <w:right w:val="single" w:sz="4" w:space="0" w:color="auto"/>
            </w:tcBorders>
            <w:shd w:val="clear" w:color="auto" w:fill="auto"/>
            <w:vAlign w:val="bottom"/>
            <w:hideMark/>
          </w:tcPr>
          <w:p w14:paraId="41E7CFAE" w14:textId="02CCBD3B" w:rsidR="001C0B5B" w:rsidRPr="001C0B5B" w:rsidRDefault="001C0B5B" w:rsidP="001C0B5B">
            <w:pPr>
              <w:spacing w:line="240" w:lineRule="auto"/>
              <w:rPr>
                <w:rFonts w:ascii="Calibri" w:hAnsi="Calibri" w:cs="Calibri"/>
                <w:color w:val="000000"/>
                <w:sz w:val="20"/>
                <w:lang w:val="es-MX" w:eastAsia="en-US"/>
              </w:rPr>
            </w:pPr>
            <w:r w:rsidRPr="001C0B5B">
              <w:rPr>
                <w:rFonts w:ascii="Calibri" w:hAnsi="Calibri" w:cs="Calibri"/>
                <w:color w:val="000000"/>
                <w:sz w:val="20"/>
                <w:lang w:val="es-MX" w:eastAsia="en-US"/>
              </w:rPr>
              <w:t>Encuesta Nacional de Salud y Nutrición (ENSANUT</w:t>
            </w:r>
            <w:r w:rsidR="008F1326">
              <w:rPr>
                <w:rFonts w:ascii="Calibri" w:hAnsi="Calibri" w:cs="Calibri"/>
                <w:color w:val="000000"/>
                <w:sz w:val="20"/>
                <w:lang w:val="es-MX" w:eastAsia="en-US"/>
              </w:rPr>
              <w:t>-2012</w:t>
            </w:r>
            <w:r w:rsidRPr="001C0B5B">
              <w:rPr>
                <w:rFonts w:ascii="Calibri" w:hAnsi="Calibri" w:cs="Calibri"/>
                <w:color w:val="000000"/>
                <w:sz w:val="20"/>
                <w:lang w:val="es-MX" w:eastAsia="en-US"/>
              </w:rPr>
              <w:t>)</w:t>
            </w:r>
          </w:p>
        </w:tc>
      </w:tr>
      <w:tr w:rsidR="001C0B5B" w:rsidRPr="001C0B5B" w14:paraId="7D644719" w14:textId="77777777" w:rsidTr="03C7B32C">
        <w:trPr>
          <w:trHeight w:val="300"/>
        </w:trPr>
        <w:tc>
          <w:tcPr>
            <w:tcW w:w="1320" w:type="dxa"/>
            <w:tcBorders>
              <w:top w:val="nil"/>
              <w:left w:val="single" w:sz="4" w:space="0" w:color="auto"/>
              <w:bottom w:val="single" w:sz="4" w:space="0" w:color="auto"/>
              <w:right w:val="single" w:sz="4" w:space="0" w:color="auto"/>
            </w:tcBorders>
            <w:shd w:val="clear" w:color="auto" w:fill="auto"/>
            <w:vAlign w:val="bottom"/>
            <w:hideMark/>
          </w:tcPr>
          <w:p w14:paraId="14C4F26C"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Ethiopia</w:t>
            </w:r>
          </w:p>
        </w:tc>
        <w:tc>
          <w:tcPr>
            <w:tcW w:w="1200" w:type="dxa"/>
            <w:tcBorders>
              <w:top w:val="nil"/>
              <w:left w:val="nil"/>
              <w:bottom w:val="single" w:sz="4" w:space="0" w:color="auto"/>
              <w:right w:val="single" w:sz="4" w:space="0" w:color="auto"/>
            </w:tcBorders>
            <w:shd w:val="clear" w:color="auto" w:fill="auto"/>
            <w:vAlign w:val="bottom"/>
            <w:hideMark/>
          </w:tcPr>
          <w:p w14:paraId="6294CEF5"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2015</w:t>
            </w:r>
          </w:p>
        </w:tc>
        <w:tc>
          <w:tcPr>
            <w:tcW w:w="957" w:type="dxa"/>
            <w:tcBorders>
              <w:top w:val="nil"/>
              <w:left w:val="nil"/>
              <w:bottom w:val="single" w:sz="4" w:space="0" w:color="auto"/>
              <w:right w:val="single" w:sz="4" w:space="0" w:color="auto"/>
            </w:tcBorders>
            <w:shd w:val="clear" w:color="auto" w:fill="auto"/>
            <w:vAlign w:val="bottom"/>
            <w:hideMark/>
          </w:tcPr>
          <w:p w14:paraId="01D46FEA"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15-49</w:t>
            </w:r>
          </w:p>
        </w:tc>
        <w:tc>
          <w:tcPr>
            <w:tcW w:w="978" w:type="dxa"/>
            <w:tcBorders>
              <w:top w:val="nil"/>
              <w:left w:val="nil"/>
              <w:bottom w:val="single" w:sz="4" w:space="0" w:color="auto"/>
              <w:right w:val="single" w:sz="4" w:space="0" w:color="auto"/>
            </w:tcBorders>
            <w:shd w:val="clear" w:color="auto" w:fill="auto"/>
            <w:vAlign w:val="bottom"/>
            <w:hideMark/>
          </w:tcPr>
          <w:p w14:paraId="4DD60E7E"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1607</w:t>
            </w:r>
          </w:p>
        </w:tc>
        <w:tc>
          <w:tcPr>
            <w:tcW w:w="1410" w:type="dxa"/>
            <w:tcBorders>
              <w:top w:val="nil"/>
              <w:left w:val="nil"/>
              <w:bottom w:val="single" w:sz="4" w:space="0" w:color="auto"/>
              <w:right w:val="single" w:sz="4" w:space="0" w:color="auto"/>
            </w:tcBorders>
            <w:shd w:val="clear" w:color="auto" w:fill="auto"/>
            <w:vAlign w:val="bottom"/>
            <w:hideMark/>
          </w:tcPr>
          <w:p w14:paraId="27F6D13E"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iron, folate, zinc</w:t>
            </w:r>
          </w:p>
        </w:tc>
        <w:tc>
          <w:tcPr>
            <w:tcW w:w="1058" w:type="dxa"/>
            <w:tcBorders>
              <w:top w:val="nil"/>
              <w:left w:val="nil"/>
              <w:bottom w:val="single" w:sz="4" w:space="0" w:color="auto"/>
              <w:right w:val="single" w:sz="4" w:space="0" w:color="auto"/>
            </w:tcBorders>
            <w:shd w:val="clear" w:color="auto" w:fill="auto"/>
            <w:vAlign w:val="bottom"/>
            <w:hideMark/>
          </w:tcPr>
          <w:p w14:paraId="42C5FD5B"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9.55</w:t>
            </w:r>
          </w:p>
        </w:tc>
        <w:tc>
          <w:tcPr>
            <w:tcW w:w="1004" w:type="dxa"/>
            <w:tcBorders>
              <w:top w:val="nil"/>
              <w:left w:val="nil"/>
              <w:bottom w:val="single" w:sz="4" w:space="0" w:color="auto"/>
              <w:right w:val="single" w:sz="4" w:space="0" w:color="auto"/>
            </w:tcBorders>
            <w:shd w:val="clear" w:color="auto" w:fill="auto"/>
            <w:vAlign w:val="bottom"/>
            <w:hideMark/>
          </w:tcPr>
          <w:p w14:paraId="409570FD"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13</w:t>
            </w:r>
          </w:p>
        </w:tc>
        <w:tc>
          <w:tcPr>
            <w:tcW w:w="1713" w:type="dxa"/>
            <w:tcBorders>
              <w:top w:val="nil"/>
              <w:left w:val="nil"/>
              <w:bottom w:val="single" w:sz="4" w:space="0" w:color="auto"/>
              <w:right w:val="single" w:sz="4" w:space="0" w:color="auto"/>
            </w:tcBorders>
            <w:shd w:val="clear" w:color="auto" w:fill="auto"/>
            <w:vAlign w:val="bottom"/>
            <w:hideMark/>
          </w:tcPr>
          <w:p w14:paraId="401C6716"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442</w:t>
            </w:r>
          </w:p>
        </w:tc>
        <w:tc>
          <w:tcPr>
            <w:tcW w:w="4395" w:type="dxa"/>
            <w:tcBorders>
              <w:top w:val="nil"/>
              <w:left w:val="nil"/>
              <w:bottom w:val="single" w:sz="4" w:space="0" w:color="auto"/>
              <w:right w:val="single" w:sz="4" w:space="0" w:color="auto"/>
            </w:tcBorders>
            <w:shd w:val="clear" w:color="auto" w:fill="auto"/>
            <w:vAlign w:val="bottom"/>
            <w:hideMark/>
          </w:tcPr>
          <w:p w14:paraId="1CAB9448"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Ethiopian National Micronutrient Survey</w:t>
            </w:r>
          </w:p>
        </w:tc>
      </w:tr>
      <w:tr w:rsidR="001C0B5B" w:rsidRPr="001C0B5B" w14:paraId="048C93BC" w14:textId="77777777" w:rsidTr="03C7B32C">
        <w:trPr>
          <w:trHeight w:val="300"/>
        </w:trPr>
        <w:tc>
          <w:tcPr>
            <w:tcW w:w="1320" w:type="dxa"/>
            <w:tcBorders>
              <w:top w:val="nil"/>
              <w:left w:val="single" w:sz="4" w:space="0" w:color="auto"/>
              <w:bottom w:val="single" w:sz="4" w:space="0" w:color="auto"/>
              <w:right w:val="single" w:sz="4" w:space="0" w:color="auto"/>
            </w:tcBorders>
            <w:shd w:val="clear" w:color="auto" w:fill="auto"/>
            <w:vAlign w:val="bottom"/>
            <w:hideMark/>
          </w:tcPr>
          <w:p w14:paraId="0B088C16"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Georgia</w:t>
            </w:r>
          </w:p>
        </w:tc>
        <w:tc>
          <w:tcPr>
            <w:tcW w:w="1200" w:type="dxa"/>
            <w:tcBorders>
              <w:top w:val="nil"/>
              <w:left w:val="nil"/>
              <w:bottom w:val="single" w:sz="4" w:space="0" w:color="auto"/>
              <w:right w:val="single" w:sz="4" w:space="0" w:color="auto"/>
            </w:tcBorders>
            <w:shd w:val="clear" w:color="auto" w:fill="auto"/>
            <w:vAlign w:val="bottom"/>
            <w:hideMark/>
          </w:tcPr>
          <w:p w14:paraId="61F2E129"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2009</w:t>
            </w:r>
          </w:p>
        </w:tc>
        <w:tc>
          <w:tcPr>
            <w:tcW w:w="957" w:type="dxa"/>
            <w:tcBorders>
              <w:top w:val="nil"/>
              <w:left w:val="nil"/>
              <w:bottom w:val="single" w:sz="4" w:space="0" w:color="auto"/>
              <w:right w:val="single" w:sz="4" w:space="0" w:color="auto"/>
            </w:tcBorders>
            <w:shd w:val="clear" w:color="auto" w:fill="auto"/>
            <w:vAlign w:val="bottom"/>
            <w:hideMark/>
          </w:tcPr>
          <w:p w14:paraId="3DB4D270"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15-49</w:t>
            </w:r>
          </w:p>
        </w:tc>
        <w:tc>
          <w:tcPr>
            <w:tcW w:w="978" w:type="dxa"/>
            <w:tcBorders>
              <w:top w:val="nil"/>
              <w:left w:val="nil"/>
              <w:bottom w:val="single" w:sz="4" w:space="0" w:color="auto"/>
              <w:right w:val="single" w:sz="4" w:space="0" w:color="auto"/>
            </w:tcBorders>
            <w:shd w:val="clear" w:color="auto" w:fill="auto"/>
            <w:vAlign w:val="bottom"/>
            <w:hideMark/>
          </w:tcPr>
          <w:p w14:paraId="5CF9E5C8"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407</w:t>
            </w:r>
          </w:p>
        </w:tc>
        <w:tc>
          <w:tcPr>
            <w:tcW w:w="1410" w:type="dxa"/>
            <w:tcBorders>
              <w:top w:val="nil"/>
              <w:left w:val="nil"/>
              <w:bottom w:val="single" w:sz="4" w:space="0" w:color="auto"/>
              <w:right w:val="single" w:sz="4" w:space="0" w:color="auto"/>
            </w:tcBorders>
            <w:shd w:val="clear" w:color="auto" w:fill="auto"/>
            <w:vAlign w:val="bottom"/>
            <w:hideMark/>
          </w:tcPr>
          <w:p w14:paraId="79F1145A"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iron, folate</w:t>
            </w:r>
          </w:p>
        </w:tc>
        <w:tc>
          <w:tcPr>
            <w:tcW w:w="1058" w:type="dxa"/>
            <w:tcBorders>
              <w:top w:val="nil"/>
              <w:left w:val="nil"/>
              <w:bottom w:val="single" w:sz="4" w:space="0" w:color="auto"/>
              <w:right w:val="single" w:sz="4" w:space="0" w:color="auto"/>
            </w:tcBorders>
            <w:shd w:val="clear" w:color="auto" w:fill="auto"/>
            <w:vAlign w:val="bottom"/>
            <w:hideMark/>
          </w:tcPr>
          <w:p w14:paraId="30A6B3B6"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 </w:t>
            </w:r>
          </w:p>
        </w:tc>
        <w:tc>
          <w:tcPr>
            <w:tcW w:w="1004" w:type="dxa"/>
            <w:tcBorders>
              <w:top w:val="nil"/>
              <w:left w:val="nil"/>
              <w:bottom w:val="single" w:sz="4" w:space="0" w:color="auto"/>
              <w:right w:val="single" w:sz="4" w:space="0" w:color="auto"/>
            </w:tcBorders>
            <w:shd w:val="clear" w:color="auto" w:fill="auto"/>
            <w:vAlign w:val="bottom"/>
            <w:hideMark/>
          </w:tcPr>
          <w:p w14:paraId="06492011"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12</w:t>
            </w:r>
          </w:p>
        </w:tc>
        <w:tc>
          <w:tcPr>
            <w:tcW w:w="1713" w:type="dxa"/>
            <w:tcBorders>
              <w:top w:val="nil"/>
              <w:left w:val="nil"/>
              <w:bottom w:val="single" w:sz="4" w:space="0" w:color="auto"/>
              <w:right w:val="single" w:sz="4" w:space="0" w:color="auto"/>
            </w:tcBorders>
            <w:shd w:val="clear" w:color="auto" w:fill="auto"/>
            <w:vAlign w:val="bottom"/>
            <w:hideMark/>
          </w:tcPr>
          <w:p w14:paraId="3E5FE293"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 </w:t>
            </w:r>
          </w:p>
        </w:tc>
        <w:tc>
          <w:tcPr>
            <w:tcW w:w="4395" w:type="dxa"/>
            <w:tcBorders>
              <w:top w:val="nil"/>
              <w:left w:val="nil"/>
              <w:bottom w:val="single" w:sz="4" w:space="0" w:color="auto"/>
              <w:right w:val="single" w:sz="4" w:space="0" w:color="auto"/>
            </w:tcBorders>
            <w:shd w:val="clear" w:color="auto" w:fill="auto"/>
            <w:vAlign w:val="bottom"/>
            <w:hideMark/>
          </w:tcPr>
          <w:p w14:paraId="7F83F64B"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Georgia National Nutrition Survey</w:t>
            </w:r>
          </w:p>
        </w:tc>
      </w:tr>
      <w:tr w:rsidR="001C0B5B" w:rsidRPr="001C0B5B" w14:paraId="6D7C665F" w14:textId="77777777" w:rsidTr="03C7B32C">
        <w:trPr>
          <w:trHeight w:val="300"/>
        </w:trPr>
        <w:tc>
          <w:tcPr>
            <w:tcW w:w="1320" w:type="dxa"/>
            <w:tcBorders>
              <w:top w:val="nil"/>
              <w:left w:val="single" w:sz="4" w:space="0" w:color="auto"/>
              <w:bottom w:val="single" w:sz="4" w:space="0" w:color="auto"/>
              <w:right w:val="single" w:sz="4" w:space="0" w:color="auto"/>
            </w:tcBorders>
            <w:shd w:val="clear" w:color="auto" w:fill="auto"/>
            <w:vAlign w:val="bottom"/>
            <w:hideMark/>
          </w:tcPr>
          <w:p w14:paraId="200C49C6"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Ghana</w:t>
            </w:r>
          </w:p>
        </w:tc>
        <w:tc>
          <w:tcPr>
            <w:tcW w:w="1200" w:type="dxa"/>
            <w:tcBorders>
              <w:top w:val="nil"/>
              <w:left w:val="nil"/>
              <w:bottom w:val="single" w:sz="4" w:space="0" w:color="auto"/>
              <w:right w:val="single" w:sz="4" w:space="0" w:color="auto"/>
            </w:tcBorders>
            <w:shd w:val="clear" w:color="auto" w:fill="auto"/>
            <w:vAlign w:val="bottom"/>
            <w:hideMark/>
          </w:tcPr>
          <w:p w14:paraId="1276E66E"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2017</w:t>
            </w:r>
          </w:p>
        </w:tc>
        <w:tc>
          <w:tcPr>
            <w:tcW w:w="957" w:type="dxa"/>
            <w:tcBorders>
              <w:top w:val="nil"/>
              <w:left w:val="nil"/>
              <w:bottom w:val="single" w:sz="4" w:space="0" w:color="auto"/>
              <w:right w:val="single" w:sz="4" w:space="0" w:color="auto"/>
            </w:tcBorders>
            <w:shd w:val="clear" w:color="auto" w:fill="auto"/>
            <w:vAlign w:val="bottom"/>
            <w:hideMark/>
          </w:tcPr>
          <w:p w14:paraId="7672D7F5"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15-49</w:t>
            </w:r>
          </w:p>
        </w:tc>
        <w:tc>
          <w:tcPr>
            <w:tcW w:w="978" w:type="dxa"/>
            <w:tcBorders>
              <w:top w:val="nil"/>
              <w:left w:val="nil"/>
              <w:bottom w:val="single" w:sz="4" w:space="0" w:color="auto"/>
              <w:right w:val="single" w:sz="4" w:space="0" w:color="auto"/>
            </w:tcBorders>
            <w:shd w:val="clear" w:color="auto" w:fill="auto"/>
            <w:vAlign w:val="bottom"/>
            <w:hideMark/>
          </w:tcPr>
          <w:p w14:paraId="2ED3D594"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466</w:t>
            </w:r>
          </w:p>
        </w:tc>
        <w:tc>
          <w:tcPr>
            <w:tcW w:w="1410" w:type="dxa"/>
            <w:tcBorders>
              <w:top w:val="nil"/>
              <w:left w:val="nil"/>
              <w:bottom w:val="single" w:sz="4" w:space="0" w:color="auto"/>
              <w:right w:val="single" w:sz="4" w:space="0" w:color="auto"/>
            </w:tcBorders>
            <w:shd w:val="clear" w:color="auto" w:fill="auto"/>
            <w:vAlign w:val="bottom"/>
            <w:hideMark/>
          </w:tcPr>
          <w:p w14:paraId="0FB5671C"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iron, folate</w:t>
            </w:r>
          </w:p>
        </w:tc>
        <w:tc>
          <w:tcPr>
            <w:tcW w:w="1058" w:type="dxa"/>
            <w:tcBorders>
              <w:top w:val="nil"/>
              <w:left w:val="nil"/>
              <w:bottom w:val="single" w:sz="4" w:space="0" w:color="auto"/>
              <w:right w:val="single" w:sz="4" w:space="0" w:color="auto"/>
            </w:tcBorders>
            <w:shd w:val="clear" w:color="auto" w:fill="auto"/>
            <w:vAlign w:val="bottom"/>
            <w:hideMark/>
          </w:tcPr>
          <w:p w14:paraId="3D415691"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 </w:t>
            </w:r>
          </w:p>
        </w:tc>
        <w:tc>
          <w:tcPr>
            <w:tcW w:w="1004" w:type="dxa"/>
            <w:tcBorders>
              <w:top w:val="nil"/>
              <w:left w:val="nil"/>
              <w:bottom w:val="single" w:sz="4" w:space="0" w:color="auto"/>
              <w:right w:val="single" w:sz="4" w:space="0" w:color="auto"/>
            </w:tcBorders>
            <w:shd w:val="clear" w:color="auto" w:fill="auto"/>
            <w:vAlign w:val="bottom"/>
            <w:hideMark/>
          </w:tcPr>
          <w:p w14:paraId="0EA2D7C3"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12</w:t>
            </w:r>
          </w:p>
        </w:tc>
        <w:tc>
          <w:tcPr>
            <w:tcW w:w="1713" w:type="dxa"/>
            <w:tcBorders>
              <w:top w:val="nil"/>
              <w:left w:val="nil"/>
              <w:bottom w:val="single" w:sz="4" w:space="0" w:color="auto"/>
              <w:right w:val="single" w:sz="4" w:space="0" w:color="auto"/>
            </w:tcBorders>
            <w:shd w:val="clear" w:color="auto" w:fill="auto"/>
            <w:vAlign w:val="bottom"/>
            <w:hideMark/>
          </w:tcPr>
          <w:p w14:paraId="183C1A93"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 </w:t>
            </w:r>
          </w:p>
        </w:tc>
        <w:tc>
          <w:tcPr>
            <w:tcW w:w="4395" w:type="dxa"/>
            <w:tcBorders>
              <w:top w:val="nil"/>
              <w:left w:val="nil"/>
              <w:bottom w:val="single" w:sz="4" w:space="0" w:color="auto"/>
              <w:right w:val="single" w:sz="4" w:space="0" w:color="auto"/>
            </w:tcBorders>
            <w:shd w:val="clear" w:color="auto" w:fill="auto"/>
            <w:vAlign w:val="bottom"/>
            <w:hideMark/>
          </w:tcPr>
          <w:p w14:paraId="54D43EDC"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Ghana Micronutrient Survey</w:t>
            </w:r>
          </w:p>
        </w:tc>
      </w:tr>
      <w:tr w:rsidR="001C0B5B" w:rsidRPr="00050AD8" w14:paraId="413314D0" w14:textId="77777777" w:rsidTr="03C7B32C">
        <w:trPr>
          <w:trHeight w:val="525"/>
        </w:trPr>
        <w:tc>
          <w:tcPr>
            <w:tcW w:w="1320" w:type="dxa"/>
            <w:tcBorders>
              <w:top w:val="nil"/>
              <w:left w:val="single" w:sz="4" w:space="0" w:color="auto"/>
              <w:bottom w:val="single" w:sz="4" w:space="0" w:color="auto"/>
              <w:right w:val="single" w:sz="4" w:space="0" w:color="auto"/>
            </w:tcBorders>
            <w:shd w:val="clear" w:color="auto" w:fill="auto"/>
            <w:vAlign w:val="bottom"/>
            <w:hideMark/>
          </w:tcPr>
          <w:p w14:paraId="58702C4B"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Guatemala</w:t>
            </w:r>
          </w:p>
        </w:tc>
        <w:tc>
          <w:tcPr>
            <w:tcW w:w="1200" w:type="dxa"/>
            <w:tcBorders>
              <w:top w:val="nil"/>
              <w:left w:val="nil"/>
              <w:bottom w:val="single" w:sz="4" w:space="0" w:color="auto"/>
              <w:right w:val="single" w:sz="4" w:space="0" w:color="auto"/>
            </w:tcBorders>
            <w:shd w:val="clear" w:color="auto" w:fill="auto"/>
            <w:vAlign w:val="bottom"/>
            <w:hideMark/>
          </w:tcPr>
          <w:p w14:paraId="626014BB" w14:textId="79BDA21A"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2013-2016</w:t>
            </w:r>
          </w:p>
        </w:tc>
        <w:tc>
          <w:tcPr>
            <w:tcW w:w="957" w:type="dxa"/>
            <w:tcBorders>
              <w:top w:val="nil"/>
              <w:left w:val="nil"/>
              <w:bottom w:val="single" w:sz="4" w:space="0" w:color="auto"/>
              <w:right w:val="single" w:sz="4" w:space="0" w:color="auto"/>
            </w:tcBorders>
            <w:shd w:val="clear" w:color="auto" w:fill="auto"/>
            <w:vAlign w:val="bottom"/>
            <w:hideMark/>
          </w:tcPr>
          <w:p w14:paraId="1B0841D2"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15-49</w:t>
            </w:r>
          </w:p>
        </w:tc>
        <w:tc>
          <w:tcPr>
            <w:tcW w:w="978" w:type="dxa"/>
            <w:tcBorders>
              <w:top w:val="nil"/>
              <w:left w:val="nil"/>
              <w:bottom w:val="single" w:sz="4" w:space="0" w:color="auto"/>
              <w:right w:val="single" w:sz="4" w:space="0" w:color="auto"/>
            </w:tcBorders>
            <w:shd w:val="clear" w:color="auto" w:fill="auto"/>
            <w:vAlign w:val="bottom"/>
            <w:hideMark/>
          </w:tcPr>
          <w:p w14:paraId="26D1E0BE"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209</w:t>
            </w:r>
          </w:p>
        </w:tc>
        <w:tc>
          <w:tcPr>
            <w:tcW w:w="1410" w:type="dxa"/>
            <w:tcBorders>
              <w:top w:val="nil"/>
              <w:left w:val="nil"/>
              <w:bottom w:val="single" w:sz="4" w:space="0" w:color="auto"/>
              <w:right w:val="single" w:sz="4" w:space="0" w:color="auto"/>
            </w:tcBorders>
            <w:shd w:val="clear" w:color="auto" w:fill="auto"/>
            <w:vAlign w:val="bottom"/>
            <w:hideMark/>
          </w:tcPr>
          <w:p w14:paraId="5CA7AF7D"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iron, zinc</w:t>
            </w:r>
          </w:p>
        </w:tc>
        <w:tc>
          <w:tcPr>
            <w:tcW w:w="1058" w:type="dxa"/>
            <w:tcBorders>
              <w:top w:val="nil"/>
              <w:left w:val="nil"/>
              <w:bottom w:val="single" w:sz="4" w:space="0" w:color="auto"/>
              <w:right w:val="single" w:sz="4" w:space="0" w:color="auto"/>
            </w:tcBorders>
            <w:shd w:val="clear" w:color="auto" w:fill="auto"/>
            <w:vAlign w:val="bottom"/>
            <w:hideMark/>
          </w:tcPr>
          <w:p w14:paraId="28043FC7"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9.55</w:t>
            </w:r>
          </w:p>
        </w:tc>
        <w:tc>
          <w:tcPr>
            <w:tcW w:w="1004" w:type="dxa"/>
            <w:tcBorders>
              <w:top w:val="nil"/>
              <w:left w:val="nil"/>
              <w:bottom w:val="single" w:sz="4" w:space="0" w:color="auto"/>
              <w:right w:val="single" w:sz="4" w:space="0" w:color="auto"/>
            </w:tcBorders>
            <w:shd w:val="clear" w:color="auto" w:fill="auto"/>
            <w:vAlign w:val="bottom"/>
            <w:hideMark/>
          </w:tcPr>
          <w:p w14:paraId="460F8850"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 </w:t>
            </w:r>
          </w:p>
        </w:tc>
        <w:tc>
          <w:tcPr>
            <w:tcW w:w="1713" w:type="dxa"/>
            <w:tcBorders>
              <w:top w:val="nil"/>
              <w:left w:val="nil"/>
              <w:bottom w:val="single" w:sz="4" w:space="0" w:color="auto"/>
              <w:right w:val="single" w:sz="4" w:space="0" w:color="auto"/>
            </w:tcBorders>
            <w:shd w:val="clear" w:color="auto" w:fill="auto"/>
            <w:vAlign w:val="bottom"/>
            <w:hideMark/>
          </w:tcPr>
          <w:p w14:paraId="5CED48CA"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 </w:t>
            </w:r>
          </w:p>
        </w:tc>
        <w:tc>
          <w:tcPr>
            <w:tcW w:w="4395" w:type="dxa"/>
            <w:tcBorders>
              <w:top w:val="nil"/>
              <w:left w:val="nil"/>
              <w:bottom w:val="single" w:sz="4" w:space="0" w:color="auto"/>
              <w:right w:val="single" w:sz="4" w:space="0" w:color="auto"/>
            </w:tcBorders>
            <w:shd w:val="clear" w:color="auto" w:fill="auto"/>
            <w:vAlign w:val="bottom"/>
            <w:hideMark/>
          </w:tcPr>
          <w:p w14:paraId="160E6486" w14:textId="77777777" w:rsidR="001C0B5B" w:rsidRPr="001C0B5B" w:rsidRDefault="001C0B5B" w:rsidP="001C0B5B">
            <w:pPr>
              <w:spacing w:line="240" w:lineRule="auto"/>
              <w:rPr>
                <w:rFonts w:ascii="Calibri" w:hAnsi="Calibri" w:cs="Calibri"/>
                <w:color w:val="000000"/>
                <w:sz w:val="20"/>
                <w:lang w:val="es-MX" w:eastAsia="en-US"/>
              </w:rPr>
            </w:pPr>
            <w:r w:rsidRPr="001C0B5B">
              <w:rPr>
                <w:rFonts w:ascii="Calibri" w:hAnsi="Calibri" w:cs="Calibri"/>
                <w:color w:val="000000"/>
                <w:sz w:val="20"/>
                <w:lang w:val="es-MX" w:eastAsia="en-US"/>
              </w:rPr>
              <w:t>Sistema de Vigilancia Epidemiológica de Salud y Nutrición (SIVESNU)</w:t>
            </w:r>
          </w:p>
        </w:tc>
      </w:tr>
      <w:tr w:rsidR="001C0B5B" w:rsidRPr="001C0B5B" w14:paraId="48F8906C" w14:textId="77777777" w:rsidTr="03C7B32C">
        <w:trPr>
          <w:trHeight w:val="300"/>
        </w:trPr>
        <w:tc>
          <w:tcPr>
            <w:tcW w:w="1320" w:type="dxa"/>
            <w:tcBorders>
              <w:top w:val="nil"/>
              <w:left w:val="single" w:sz="4" w:space="0" w:color="auto"/>
              <w:bottom w:val="single" w:sz="4" w:space="0" w:color="auto"/>
              <w:right w:val="single" w:sz="4" w:space="0" w:color="auto"/>
            </w:tcBorders>
            <w:shd w:val="clear" w:color="auto" w:fill="auto"/>
            <w:vAlign w:val="bottom"/>
            <w:hideMark/>
          </w:tcPr>
          <w:p w14:paraId="5FB248E0"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India</w:t>
            </w:r>
          </w:p>
        </w:tc>
        <w:tc>
          <w:tcPr>
            <w:tcW w:w="1200" w:type="dxa"/>
            <w:tcBorders>
              <w:top w:val="nil"/>
              <w:left w:val="nil"/>
              <w:bottom w:val="single" w:sz="4" w:space="0" w:color="auto"/>
              <w:right w:val="single" w:sz="4" w:space="0" w:color="auto"/>
            </w:tcBorders>
            <w:shd w:val="clear" w:color="auto" w:fill="auto"/>
            <w:vAlign w:val="bottom"/>
            <w:hideMark/>
          </w:tcPr>
          <w:p w14:paraId="55A2A6FE"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2016-2018</w:t>
            </w:r>
          </w:p>
        </w:tc>
        <w:tc>
          <w:tcPr>
            <w:tcW w:w="957" w:type="dxa"/>
            <w:tcBorders>
              <w:top w:val="nil"/>
              <w:left w:val="nil"/>
              <w:bottom w:val="single" w:sz="4" w:space="0" w:color="auto"/>
              <w:right w:val="single" w:sz="4" w:space="0" w:color="auto"/>
            </w:tcBorders>
            <w:shd w:val="clear" w:color="auto" w:fill="auto"/>
            <w:vAlign w:val="bottom"/>
            <w:hideMark/>
          </w:tcPr>
          <w:p w14:paraId="5BED5482"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15-19</w:t>
            </w:r>
          </w:p>
        </w:tc>
        <w:tc>
          <w:tcPr>
            <w:tcW w:w="978" w:type="dxa"/>
            <w:tcBorders>
              <w:top w:val="nil"/>
              <w:left w:val="nil"/>
              <w:bottom w:val="single" w:sz="4" w:space="0" w:color="auto"/>
              <w:right w:val="single" w:sz="4" w:space="0" w:color="auto"/>
            </w:tcBorders>
            <w:shd w:val="clear" w:color="auto" w:fill="auto"/>
            <w:vAlign w:val="bottom"/>
            <w:hideMark/>
          </w:tcPr>
          <w:p w14:paraId="3ACFF131"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2348</w:t>
            </w:r>
          </w:p>
        </w:tc>
        <w:tc>
          <w:tcPr>
            <w:tcW w:w="1410" w:type="dxa"/>
            <w:tcBorders>
              <w:top w:val="nil"/>
              <w:left w:val="nil"/>
              <w:bottom w:val="single" w:sz="4" w:space="0" w:color="auto"/>
              <w:right w:val="single" w:sz="4" w:space="0" w:color="auto"/>
            </w:tcBorders>
            <w:shd w:val="clear" w:color="auto" w:fill="auto"/>
            <w:vAlign w:val="bottom"/>
            <w:hideMark/>
          </w:tcPr>
          <w:p w14:paraId="5664C934"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iron, folate, zinc</w:t>
            </w:r>
          </w:p>
        </w:tc>
        <w:tc>
          <w:tcPr>
            <w:tcW w:w="1058" w:type="dxa"/>
            <w:tcBorders>
              <w:top w:val="nil"/>
              <w:left w:val="nil"/>
              <w:bottom w:val="single" w:sz="4" w:space="0" w:color="auto"/>
              <w:right w:val="single" w:sz="4" w:space="0" w:color="auto"/>
            </w:tcBorders>
            <w:shd w:val="clear" w:color="auto" w:fill="auto"/>
            <w:vAlign w:val="bottom"/>
            <w:hideMark/>
          </w:tcPr>
          <w:p w14:paraId="7387B903"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10.7</w:t>
            </w:r>
          </w:p>
        </w:tc>
        <w:tc>
          <w:tcPr>
            <w:tcW w:w="1004" w:type="dxa"/>
            <w:tcBorders>
              <w:top w:val="nil"/>
              <w:left w:val="nil"/>
              <w:bottom w:val="single" w:sz="4" w:space="0" w:color="auto"/>
              <w:right w:val="single" w:sz="4" w:space="0" w:color="auto"/>
            </w:tcBorders>
            <w:shd w:val="clear" w:color="auto" w:fill="auto"/>
            <w:vAlign w:val="bottom"/>
            <w:hideMark/>
          </w:tcPr>
          <w:p w14:paraId="38D1A239"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 </w:t>
            </w:r>
          </w:p>
        </w:tc>
        <w:tc>
          <w:tcPr>
            <w:tcW w:w="1713" w:type="dxa"/>
            <w:tcBorders>
              <w:top w:val="nil"/>
              <w:left w:val="nil"/>
              <w:bottom w:val="single" w:sz="4" w:space="0" w:color="auto"/>
              <w:right w:val="single" w:sz="4" w:space="0" w:color="auto"/>
            </w:tcBorders>
            <w:shd w:val="clear" w:color="auto" w:fill="auto"/>
            <w:vAlign w:val="bottom"/>
            <w:hideMark/>
          </w:tcPr>
          <w:p w14:paraId="5D49418B"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639</w:t>
            </w:r>
          </w:p>
        </w:tc>
        <w:tc>
          <w:tcPr>
            <w:tcW w:w="4395" w:type="dxa"/>
            <w:tcBorders>
              <w:top w:val="nil"/>
              <w:left w:val="nil"/>
              <w:bottom w:val="single" w:sz="4" w:space="0" w:color="auto"/>
              <w:right w:val="single" w:sz="4" w:space="0" w:color="auto"/>
            </w:tcBorders>
            <w:shd w:val="clear" w:color="auto" w:fill="auto"/>
            <w:vAlign w:val="bottom"/>
            <w:hideMark/>
          </w:tcPr>
          <w:p w14:paraId="5E644D5B"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Comprehensive National Nutrition Survey (CNNS)</w:t>
            </w:r>
          </w:p>
        </w:tc>
      </w:tr>
      <w:tr w:rsidR="001C0B5B" w:rsidRPr="001C0B5B" w14:paraId="36A40336" w14:textId="77777777" w:rsidTr="03C7B32C">
        <w:trPr>
          <w:trHeight w:val="300"/>
        </w:trPr>
        <w:tc>
          <w:tcPr>
            <w:tcW w:w="1320" w:type="dxa"/>
            <w:tcBorders>
              <w:top w:val="nil"/>
              <w:left w:val="single" w:sz="4" w:space="0" w:color="auto"/>
              <w:bottom w:val="single" w:sz="4" w:space="0" w:color="auto"/>
              <w:right w:val="single" w:sz="4" w:space="0" w:color="auto"/>
            </w:tcBorders>
            <w:shd w:val="clear" w:color="auto" w:fill="auto"/>
            <w:vAlign w:val="bottom"/>
            <w:hideMark/>
          </w:tcPr>
          <w:p w14:paraId="02C95C73"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lastRenderedPageBreak/>
              <w:t>Malawi</w:t>
            </w:r>
          </w:p>
        </w:tc>
        <w:tc>
          <w:tcPr>
            <w:tcW w:w="1200" w:type="dxa"/>
            <w:tcBorders>
              <w:top w:val="nil"/>
              <w:left w:val="nil"/>
              <w:bottom w:val="single" w:sz="4" w:space="0" w:color="auto"/>
              <w:right w:val="single" w:sz="4" w:space="0" w:color="auto"/>
            </w:tcBorders>
            <w:shd w:val="clear" w:color="auto" w:fill="auto"/>
            <w:vAlign w:val="bottom"/>
            <w:hideMark/>
          </w:tcPr>
          <w:p w14:paraId="01EC59C2"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2015-2016</w:t>
            </w:r>
          </w:p>
        </w:tc>
        <w:tc>
          <w:tcPr>
            <w:tcW w:w="957" w:type="dxa"/>
            <w:tcBorders>
              <w:top w:val="nil"/>
              <w:left w:val="nil"/>
              <w:bottom w:val="single" w:sz="4" w:space="0" w:color="auto"/>
              <w:right w:val="single" w:sz="4" w:space="0" w:color="auto"/>
            </w:tcBorders>
            <w:shd w:val="clear" w:color="auto" w:fill="auto"/>
            <w:vAlign w:val="bottom"/>
            <w:hideMark/>
          </w:tcPr>
          <w:p w14:paraId="633C20DF"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15-49</w:t>
            </w:r>
          </w:p>
        </w:tc>
        <w:tc>
          <w:tcPr>
            <w:tcW w:w="978" w:type="dxa"/>
            <w:tcBorders>
              <w:top w:val="nil"/>
              <w:left w:val="nil"/>
              <w:bottom w:val="single" w:sz="4" w:space="0" w:color="auto"/>
              <w:right w:val="single" w:sz="4" w:space="0" w:color="auto"/>
            </w:tcBorders>
            <w:shd w:val="clear" w:color="auto" w:fill="auto"/>
            <w:vAlign w:val="bottom"/>
            <w:hideMark/>
          </w:tcPr>
          <w:p w14:paraId="14C60119"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746</w:t>
            </w:r>
          </w:p>
        </w:tc>
        <w:tc>
          <w:tcPr>
            <w:tcW w:w="1410" w:type="dxa"/>
            <w:tcBorders>
              <w:top w:val="nil"/>
              <w:left w:val="nil"/>
              <w:bottom w:val="single" w:sz="4" w:space="0" w:color="auto"/>
              <w:right w:val="single" w:sz="4" w:space="0" w:color="auto"/>
            </w:tcBorders>
            <w:shd w:val="clear" w:color="auto" w:fill="auto"/>
            <w:vAlign w:val="bottom"/>
            <w:hideMark/>
          </w:tcPr>
          <w:p w14:paraId="0B24D21C"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iron, folate, zinc</w:t>
            </w:r>
          </w:p>
        </w:tc>
        <w:tc>
          <w:tcPr>
            <w:tcW w:w="1058" w:type="dxa"/>
            <w:tcBorders>
              <w:top w:val="nil"/>
              <w:left w:val="nil"/>
              <w:bottom w:val="single" w:sz="4" w:space="0" w:color="auto"/>
              <w:right w:val="single" w:sz="4" w:space="0" w:color="auto"/>
            </w:tcBorders>
            <w:shd w:val="clear" w:color="auto" w:fill="auto"/>
            <w:vAlign w:val="bottom"/>
            <w:hideMark/>
          </w:tcPr>
          <w:p w14:paraId="1E9D2E3A"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9.55</w:t>
            </w:r>
          </w:p>
        </w:tc>
        <w:tc>
          <w:tcPr>
            <w:tcW w:w="1004" w:type="dxa"/>
            <w:tcBorders>
              <w:top w:val="nil"/>
              <w:left w:val="nil"/>
              <w:bottom w:val="single" w:sz="4" w:space="0" w:color="auto"/>
              <w:right w:val="single" w:sz="4" w:space="0" w:color="auto"/>
            </w:tcBorders>
            <w:shd w:val="clear" w:color="auto" w:fill="auto"/>
            <w:vAlign w:val="bottom"/>
            <w:hideMark/>
          </w:tcPr>
          <w:p w14:paraId="0F032770"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10</w:t>
            </w:r>
          </w:p>
        </w:tc>
        <w:tc>
          <w:tcPr>
            <w:tcW w:w="1713" w:type="dxa"/>
            <w:tcBorders>
              <w:top w:val="nil"/>
              <w:left w:val="nil"/>
              <w:bottom w:val="single" w:sz="4" w:space="0" w:color="auto"/>
              <w:right w:val="single" w:sz="4" w:space="0" w:color="auto"/>
            </w:tcBorders>
            <w:shd w:val="clear" w:color="auto" w:fill="auto"/>
            <w:vAlign w:val="bottom"/>
            <w:hideMark/>
          </w:tcPr>
          <w:p w14:paraId="070CA84A"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340</w:t>
            </w:r>
          </w:p>
        </w:tc>
        <w:tc>
          <w:tcPr>
            <w:tcW w:w="4395" w:type="dxa"/>
            <w:tcBorders>
              <w:top w:val="nil"/>
              <w:left w:val="nil"/>
              <w:bottom w:val="single" w:sz="4" w:space="0" w:color="auto"/>
              <w:right w:val="single" w:sz="4" w:space="0" w:color="auto"/>
            </w:tcBorders>
            <w:shd w:val="clear" w:color="auto" w:fill="auto"/>
            <w:vAlign w:val="bottom"/>
            <w:hideMark/>
          </w:tcPr>
          <w:p w14:paraId="0BA0E5FE"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Malawi Demographic and Health Survey 2015-2016</w:t>
            </w:r>
          </w:p>
        </w:tc>
      </w:tr>
      <w:tr w:rsidR="001C0B5B" w:rsidRPr="00050AD8" w14:paraId="06EB07C7" w14:textId="77777777" w:rsidTr="03C7B32C">
        <w:trPr>
          <w:trHeight w:val="300"/>
        </w:trPr>
        <w:tc>
          <w:tcPr>
            <w:tcW w:w="1320" w:type="dxa"/>
            <w:tcBorders>
              <w:top w:val="nil"/>
              <w:left w:val="single" w:sz="4" w:space="0" w:color="auto"/>
              <w:bottom w:val="single" w:sz="4" w:space="0" w:color="auto"/>
              <w:right w:val="single" w:sz="4" w:space="0" w:color="auto"/>
            </w:tcBorders>
            <w:shd w:val="clear" w:color="auto" w:fill="auto"/>
            <w:vAlign w:val="bottom"/>
            <w:hideMark/>
          </w:tcPr>
          <w:p w14:paraId="4D1C0276"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Mexico</w:t>
            </w:r>
          </w:p>
        </w:tc>
        <w:tc>
          <w:tcPr>
            <w:tcW w:w="1200" w:type="dxa"/>
            <w:tcBorders>
              <w:top w:val="nil"/>
              <w:left w:val="nil"/>
              <w:bottom w:val="single" w:sz="4" w:space="0" w:color="auto"/>
              <w:right w:val="single" w:sz="4" w:space="0" w:color="auto"/>
            </w:tcBorders>
            <w:shd w:val="clear" w:color="auto" w:fill="auto"/>
            <w:vAlign w:val="bottom"/>
            <w:hideMark/>
          </w:tcPr>
          <w:p w14:paraId="46974C86"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2012</w:t>
            </w:r>
          </w:p>
        </w:tc>
        <w:tc>
          <w:tcPr>
            <w:tcW w:w="957" w:type="dxa"/>
            <w:tcBorders>
              <w:top w:val="nil"/>
              <w:left w:val="nil"/>
              <w:bottom w:val="single" w:sz="4" w:space="0" w:color="auto"/>
              <w:right w:val="single" w:sz="4" w:space="0" w:color="auto"/>
            </w:tcBorders>
            <w:shd w:val="clear" w:color="auto" w:fill="auto"/>
            <w:vAlign w:val="bottom"/>
            <w:hideMark/>
          </w:tcPr>
          <w:p w14:paraId="355F7A7C"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15-49</w:t>
            </w:r>
          </w:p>
        </w:tc>
        <w:tc>
          <w:tcPr>
            <w:tcW w:w="978" w:type="dxa"/>
            <w:tcBorders>
              <w:top w:val="nil"/>
              <w:left w:val="nil"/>
              <w:bottom w:val="single" w:sz="4" w:space="0" w:color="auto"/>
              <w:right w:val="single" w:sz="4" w:space="0" w:color="auto"/>
            </w:tcBorders>
            <w:shd w:val="clear" w:color="auto" w:fill="auto"/>
            <w:vAlign w:val="bottom"/>
            <w:hideMark/>
          </w:tcPr>
          <w:p w14:paraId="2AEABDAA"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3603</w:t>
            </w:r>
          </w:p>
        </w:tc>
        <w:tc>
          <w:tcPr>
            <w:tcW w:w="1410" w:type="dxa"/>
            <w:tcBorders>
              <w:top w:val="nil"/>
              <w:left w:val="nil"/>
              <w:bottom w:val="single" w:sz="4" w:space="0" w:color="auto"/>
              <w:right w:val="single" w:sz="4" w:space="0" w:color="auto"/>
            </w:tcBorders>
            <w:shd w:val="clear" w:color="auto" w:fill="auto"/>
            <w:vAlign w:val="bottom"/>
            <w:hideMark/>
          </w:tcPr>
          <w:p w14:paraId="0A7AFBB4"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iron, folate</w:t>
            </w:r>
          </w:p>
        </w:tc>
        <w:tc>
          <w:tcPr>
            <w:tcW w:w="1058" w:type="dxa"/>
            <w:tcBorders>
              <w:top w:val="nil"/>
              <w:left w:val="nil"/>
              <w:bottom w:val="single" w:sz="4" w:space="0" w:color="auto"/>
              <w:right w:val="single" w:sz="4" w:space="0" w:color="auto"/>
            </w:tcBorders>
            <w:shd w:val="clear" w:color="auto" w:fill="auto"/>
            <w:vAlign w:val="bottom"/>
            <w:hideMark/>
          </w:tcPr>
          <w:p w14:paraId="2B16CCCF"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 </w:t>
            </w:r>
          </w:p>
        </w:tc>
        <w:tc>
          <w:tcPr>
            <w:tcW w:w="1004" w:type="dxa"/>
            <w:tcBorders>
              <w:top w:val="nil"/>
              <w:left w:val="nil"/>
              <w:bottom w:val="single" w:sz="4" w:space="0" w:color="auto"/>
              <w:right w:val="single" w:sz="4" w:space="0" w:color="auto"/>
            </w:tcBorders>
            <w:shd w:val="clear" w:color="auto" w:fill="auto"/>
            <w:vAlign w:val="bottom"/>
            <w:hideMark/>
          </w:tcPr>
          <w:p w14:paraId="24BBDF51"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11.4</w:t>
            </w:r>
          </w:p>
        </w:tc>
        <w:tc>
          <w:tcPr>
            <w:tcW w:w="1713" w:type="dxa"/>
            <w:tcBorders>
              <w:top w:val="nil"/>
              <w:left w:val="nil"/>
              <w:bottom w:val="single" w:sz="4" w:space="0" w:color="auto"/>
              <w:right w:val="single" w:sz="4" w:space="0" w:color="auto"/>
            </w:tcBorders>
            <w:shd w:val="clear" w:color="auto" w:fill="auto"/>
            <w:vAlign w:val="bottom"/>
            <w:hideMark/>
          </w:tcPr>
          <w:p w14:paraId="5672F027"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 </w:t>
            </w:r>
          </w:p>
        </w:tc>
        <w:tc>
          <w:tcPr>
            <w:tcW w:w="4395" w:type="dxa"/>
            <w:tcBorders>
              <w:top w:val="nil"/>
              <w:left w:val="nil"/>
              <w:bottom w:val="single" w:sz="4" w:space="0" w:color="auto"/>
              <w:right w:val="single" w:sz="4" w:space="0" w:color="auto"/>
            </w:tcBorders>
            <w:shd w:val="clear" w:color="auto" w:fill="auto"/>
            <w:vAlign w:val="bottom"/>
            <w:hideMark/>
          </w:tcPr>
          <w:p w14:paraId="1273FE2F" w14:textId="77777777" w:rsidR="001C0B5B" w:rsidRPr="001C0B5B" w:rsidRDefault="001C0B5B" w:rsidP="001C0B5B">
            <w:pPr>
              <w:spacing w:line="240" w:lineRule="auto"/>
              <w:rPr>
                <w:rFonts w:ascii="Calibri" w:hAnsi="Calibri" w:cs="Calibri"/>
                <w:color w:val="000000"/>
                <w:sz w:val="20"/>
                <w:lang w:val="es-MX" w:eastAsia="en-US"/>
              </w:rPr>
            </w:pPr>
            <w:r w:rsidRPr="001C0B5B">
              <w:rPr>
                <w:rFonts w:ascii="Calibri" w:hAnsi="Calibri" w:cs="Calibri"/>
                <w:color w:val="000000"/>
                <w:sz w:val="20"/>
                <w:lang w:val="es-MX" w:eastAsia="en-US"/>
              </w:rPr>
              <w:t>Encuesta Nacional de Salud y Nutrición (ENSANUT)</w:t>
            </w:r>
          </w:p>
        </w:tc>
      </w:tr>
      <w:tr w:rsidR="001C0B5B" w:rsidRPr="00050AD8" w14:paraId="10BF7620" w14:textId="77777777" w:rsidTr="03C7B32C">
        <w:trPr>
          <w:trHeight w:val="300"/>
        </w:trPr>
        <w:tc>
          <w:tcPr>
            <w:tcW w:w="1320" w:type="dxa"/>
            <w:tcBorders>
              <w:top w:val="nil"/>
              <w:left w:val="single" w:sz="4" w:space="0" w:color="auto"/>
              <w:bottom w:val="single" w:sz="4" w:space="0" w:color="auto"/>
              <w:right w:val="single" w:sz="4" w:space="0" w:color="auto"/>
            </w:tcBorders>
            <w:shd w:val="clear" w:color="auto" w:fill="auto"/>
            <w:vAlign w:val="bottom"/>
            <w:hideMark/>
          </w:tcPr>
          <w:p w14:paraId="01960156"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Mexico</w:t>
            </w:r>
          </w:p>
        </w:tc>
        <w:tc>
          <w:tcPr>
            <w:tcW w:w="1200" w:type="dxa"/>
            <w:tcBorders>
              <w:top w:val="nil"/>
              <w:left w:val="nil"/>
              <w:bottom w:val="single" w:sz="4" w:space="0" w:color="auto"/>
              <w:right w:val="single" w:sz="4" w:space="0" w:color="auto"/>
            </w:tcBorders>
            <w:shd w:val="clear" w:color="auto" w:fill="auto"/>
            <w:vAlign w:val="bottom"/>
            <w:hideMark/>
          </w:tcPr>
          <w:p w14:paraId="72BE01E0"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2006</w:t>
            </w:r>
          </w:p>
        </w:tc>
        <w:tc>
          <w:tcPr>
            <w:tcW w:w="957" w:type="dxa"/>
            <w:tcBorders>
              <w:top w:val="nil"/>
              <w:left w:val="nil"/>
              <w:bottom w:val="single" w:sz="4" w:space="0" w:color="auto"/>
              <w:right w:val="single" w:sz="4" w:space="0" w:color="auto"/>
            </w:tcBorders>
            <w:shd w:val="clear" w:color="auto" w:fill="auto"/>
            <w:vAlign w:val="bottom"/>
            <w:hideMark/>
          </w:tcPr>
          <w:p w14:paraId="7E5AF312"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15-49</w:t>
            </w:r>
          </w:p>
        </w:tc>
        <w:tc>
          <w:tcPr>
            <w:tcW w:w="978" w:type="dxa"/>
            <w:tcBorders>
              <w:top w:val="nil"/>
              <w:left w:val="nil"/>
              <w:bottom w:val="single" w:sz="4" w:space="0" w:color="auto"/>
              <w:right w:val="single" w:sz="4" w:space="0" w:color="auto"/>
            </w:tcBorders>
            <w:shd w:val="clear" w:color="auto" w:fill="auto"/>
            <w:vAlign w:val="bottom"/>
            <w:hideMark/>
          </w:tcPr>
          <w:p w14:paraId="022BF94C"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1813</w:t>
            </w:r>
          </w:p>
        </w:tc>
        <w:tc>
          <w:tcPr>
            <w:tcW w:w="1410" w:type="dxa"/>
            <w:tcBorders>
              <w:top w:val="nil"/>
              <w:left w:val="nil"/>
              <w:bottom w:val="single" w:sz="4" w:space="0" w:color="auto"/>
              <w:right w:val="single" w:sz="4" w:space="0" w:color="auto"/>
            </w:tcBorders>
            <w:shd w:val="clear" w:color="auto" w:fill="auto"/>
            <w:vAlign w:val="bottom"/>
            <w:hideMark/>
          </w:tcPr>
          <w:p w14:paraId="6C07808B" w14:textId="77777777" w:rsidR="001C0B5B" w:rsidRPr="001C0B5B" w:rsidRDefault="001C0B5B" w:rsidP="001C0B5B">
            <w:pPr>
              <w:spacing w:line="240" w:lineRule="auto"/>
              <w:rPr>
                <w:rFonts w:ascii="Calibri" w:hAnsi="Calibri" w:cs="Calibri"/>
                <w:color w:val="000000"/>
                <w:sz w:val="20"/>
                <w:lang w:eastAsia="en-US"/>
              </w:rPr>
            </w:pPr>
            <w:r w:rsidRPr="001C0B5B">
              <w:rPr>
                <w:rFonts w:ascii="Calibri" w:hAnsi="Calibri" w:cs="Calibri"/>
                <w:color w:val="000000"/>
                <w:sz w:val="20"/>
                <w:lang w:eastAsia="en-US"/>
              </w:rPr>
              <w:t>iron, zinc</w:t>
            </w:r>
          </w:p>
        </w:tc>
        <w:tc>
          <w:tcPr>
            <w:tcW w:w="1058" w:type="dxa"/>
            <w:tcBorders>
              <w:top w:val="nil"/>
              <w:left w:val="nil"/>
              <w:bottom w:val="single" w:sz="4" w:space="0" w:color="auto"/>
              <w:right w:val="single" w:sz="4" w:space="0" w:color="auto"/>
            </w:tcBorders>
            <w:shd w:val="clear" w:color="auto" w:fill="auto"/>
            <w:vAlign w:val="bottom"/>
            <w:hideMark/>
          </w:tcPr>
          <w:p w14:paraId="76DB4D94"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10.7</w:t>
            </w:r>
          </w:p>
        </w:tc>
        <w:tc>
          <w:tcPr>
            <w:tcW w:w="1004" w:type="dxa"/>
            <w:tcBorders>
              <w:top w:val="nil"/>
              <w:left w:val="nil"/>
              <w:bottom w:val="single" w:sz="4" w:space="0" w:color="auto"/>
              <w:right w:val="single" w:sz="4" w:space="0" w:color="auto"/>
            </w:tcBorders>
            <w:shd w:val="clear" w:color="auto" w:fill="auto"/>
            <w:vAlign w:val="bottom"/>
            <w:hideMark/>
          </w:tcPr>
          <w:p w14:paraId="563C2C10"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 </w:t>
            </w:r>
          </w:p>
        </w:tc>
        <w:tc>
          <w:tcPr>
            <w:tcW w:w="1713" w:type="dxa"/>
            <w:tcBorders>
              <w:top w:val="nil"/>
              <w:left w:val="nil"/>
              <w:bottom w:val="single" w:sz="4" w:space="0" w:color="auto"/>
              <w:right w:val="single" w:sz="4" w:space="0" w:color="auto"/>
            </w:tcBorders>
            <w:shd w:val="clear" w:color="auto" w:fill="auto"/>
            <w:vAlign w:val="bottom"/>
            <w:hideMark/>
          </w:tcPr>
          <w:p w14:paraId="5D73410B" w14:textId="77777777" w:rsidR="001C0B5B" w:rsidRPr="001C0B5B" w:rsidRDefault="001C0B5B" w:rsidP="001C0B5B">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 </w:t>
            </w:r>
          </w:p>
        </w:tc>
        <w:tc>
          <w:tcPr>
            <w:tcW w:w="4395" w:type="dxa"/>
            <w:tcBorders>
              <w:top w:val="nil"/>
              <w:left w:val="nil"/>
              <w:bottom w:val="single" w:sz="4" w:space="0" w:color="auto"/>
              <w:right w:val="single" w:sz="4" w:space="0" w:color="auto"/>
            </w:tcBorders>
            <w:shd w:val="clear" w:color="auto" w:fill="auto"/>
            <w:vAlign w:val="bottom"/>
            <w:hideMark/>
          </w:tcPr>
          <w:p w14:paraId="29933E08" w14:textId="77777777" w:rsidR="001C0B5B" w:rsidRPr="001C0B5B" w:rsidRDefault="001C0B5B" w:rsidP="001C0B5B">
            <w:pPr>
              <w:spacing w:line="240" w:lineRule="auto"/>
              <w:rPr>
                <w:rFonts w:ascii="Calibri" w:hAnsi="Calibri" w:cs="Calibri"/>
                <w:color w:val="000000"/>
                <w:sz w:val="20"/>
                <w:lang w:val="es-MX" w:eastAsia="en-US"/>
              </w:rPr>
            </w:pPr>
            <w:r w:rsidRPr="001C0B5B">
              <w:rPr>
                <w:rFonts w:ascii="Calibri" w:hAnsi="Calibri" w:cs="Calibri"/>
                <w:color w:val="000000"/>
                <w:sz w:val="20"/>
                <w:lang w:val="es-MX" w:eastAsia="en-US"/>
              </w:rPr>
              <w:t>Encuesta Nacional de Salud y Nutrición (ENSANUT)</w:t>
            </w:r>
          </w:p>
        </w:tc>
      </w:tr>
      <w:tr w:rsidR="00B45413" w:rsidRPr="001C0B5B" w14:paraId="3F4AF7D5" w14:textId="77777777" w:rsidTr="03C7B32C">
        <w:trPr>
          <w:trHeight w:val="300"/>
        </w:trPr>
        <w:tc>
          <w:tcPr>
            <w:tcW w:w="1320" w:type="dxa"/>
            <w:tcBorders>
              <w:top w:val="nil"/>
              <w:left w:val="single" w:sz="4" w:space="0" w:color="auto"/>
              <w:bottom w:val="single" w:sz="4" w:space="0" w:color="auto"/>
              <w:right w:val="single" w:sz="4" w:space="0" w:color="auto"/>
            </w:tcBorders>
            <w:shd w:val="clear" w:color="auto" w:fill="auto"/>
            <w:vAlign w:val="bottom"/>
            <w:hideMark/>
          </w:tcPr>
          <w:p w14:paraId="1C236C77" w14:textId="77777777" w:rsidR="00B45413" w:rsidRPr="001C0B5B" w:rsidRDefault="00B45413" w:rsidP="00B45413">
            <w:pPr>
              <w:spacing w:line="240" w:lineRule="auto"/>
              <w:rPr>
                <w:rFonts w:ascii="Calibri" w:hAnsi="Calibri" w:cs="Calibri"/>
                <w:color w:val="000000"/>
                <w:sz w:val="20"/>
                <w:lang w:eastAsia="en-US"/>
              </w:rPr>
            </w:pPr>
            <w:r w:rsidRPr="001C0B5B">
              <w:rPr>
                <w:rFonts w:ascii="Calibri" w:hAnsi="Calibri" w:cs="Calibri"/>
                <w:color w:val="000000"/>
                <w:sz w:val="20"/>
                <w:lang w:eastAsia="en-US"/>
              </w:rPr>
              <w:t>Nepal</w:t>
            </w:r>
          </w:p>
        </w:tc>
        <w:tc>
          <w:tcPr>
            <w:tcW w:w="1200" w:type="dxa"/>
            <w:tcBorders>
              <w:top w:val="nil"/>
              <w:left w:val="nil"/>
              <w:bottom w:val="single" w:sz="4" w:space="0" w:color="auto"/>
              <w:right w:val="single" w:sz="4" w:space="0" w:color="auto"/>
            </w:tcBorders>
            <w:shd w:val="clear" w:color="auto" w:fill="auto"/>
            <w:vAlign w:val="bottom"/>
            <w:hideMark/>
          </w:tcPr>
          <w:p w14:paraId="1604C59C" w14:textId="77777777" w:rsidR="00B45413" w:rsidRPr="001C0B5B" w:rsidRDefault="00B45413" w:rsidP="00B45413">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2016</w:t>
            </w:r>
          </w:p>
        </w:tc>
        <w:tc>
          <w:tcPr>
            <w:tcW w:w="957" w:type="dxa"/>
            <w:tcBorders>
              <w:top w:val="nil"/>
              <w:left w:val="nil"/>
              <w:bottom w:val="single" w:sz="4" w:space="0" w:color="auto"/>
              <w:right w:val="single" w:sz="4" w:space="0" w:color="auto"/>
            </w:tcBorders>
            <w:shd w:val="clear" w:color="auto" w:fill="auto"/>
            <w:vAlign w:val="bottom"/>
            <w:hideMark/>
          </w:tcPr>
          <w:p w14:paraId="501DA3E0" w14:textId="77777777" w:rsidR="00B45413" w:rsidRPr="001C0B5B" w:rsidRDefault="00B45413" w:rsidP="00B45413">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15-49</w:t>
            </w:r>
          </w:p>
        </w:tc>
        <w:tc>
          <w:tcPr>
            <w:tcW w:w="978" w:type="dxa"/>
            <w:tcBorders>
              <w:top w:val="nil"/>
              <w:left w:val="nil"/>
              <w:bottom w:val="single" w:sz="4" w:space="0" w:color="auto"/>
              <w:right w:val="single" w:sz="4" w:space="0" w:color="auto"/>
            </w:tcBorders>
            <w:shd w:val="clear" w:color="auto" w:fill="auto"/>
            <w:vAlign w:val="bottom"/>
            <w:hideMark/>
          </w:tcPr>
          <w:p w14:paraId="1C2496AD" w14:textId="77777777" w:rsidR="00B45413" w:rsidRPr="001C0B5B" w:rsidRDefault="00B45413" w:rsidP="00B45413">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2125</w:t>
            </w:r>
          </w:p>
        </w:tc>
        <w:tc>
          <w:tcPr>
            <w:tcW w:w="1410" w:type="dxa"/>
            <w:tcBorders>
              <w:top w:val="nil"/>
              <w:left w:val="nil"/>
              <w:bottom w:val="single" w:sz="4" w:space="0" w:color="auto"/>
              <w:right w:val="single" w:sz="4" w:space="0" w:color="auto"/>
            </w:tcBorders>
            <w:shd w:val="clear" w:color="auto" w:fill="auto"/>
            <w:vAlign w:val="bottom"/>
            <w:hideMark/>
          </w:tcPr>
          <w:p w14:paraId="42B53D92" w14:textId="77777777" w:rsidR="00B45413" w:rsidRPr="001C0B5B" w:rsidRDefault="00B45413" w:rsidP="00B45413">
            <w:pPr>
              <w:spacing w:line="240" w:lineRule="auto"/>
              <w:rPr>
                <w:rFonts w:ascii="Calibri" w:hAnsi="Calibri" w:cs="Calibri"/>
                <w:color w:val="000000"/>
                <w:sz w:val="20"/>
                <w:lang w:eastAsia="en-US"/>
              </w:rPr>
            </w:pPr>
            <w:r w:rsidRPr="001C0B5B">
              <w:rPr>
                <w:rFonts w:ascii="Calibri" w:hAnsi="Calibri" w:cs="Calibri"/>
                <w:color w:val="000000"/>
                <w:sz w:val="20"/>
                <w:lang w:eastAsia="en-US"/>
              </w:rPr>
              <w:t>iron, folate, zinc</w:t>
            </w:r>
          </w:p>
        </w:tc>
        <w:tc>
          <w:tcPr>
            <w:tcW w:w="1058" w:type="dxa"/>
            <w:tcBorders>
              <w:top w:val="nil"/>
              <w:left w:val="nil"/>
              <w:bottom w:val="single" w:sz="4" w:space="0" w:color="auto"/>
              <w:right w:val="single" w:sz="4" w:space="0" w:color="auto"/>
            </w:tcBorders>
            <w:shd w:val="clear" w:color="auto" w:fill="auto"/>
            <w:vAlign w:val="bottom"/>
            <w:hideMark/>
          </w:tcPr>
          <w:p w14:paraId="3E07D1E5" w14:textId="77777777" w:rsidR="00B45413" w:rsidRPr="001C0B5B" w:rsidRDefault="00B45413" w:rsidP="00B45413">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9.55</w:t>
            </w:r>
          </w:p>
        </w:tc>
        <w:tc>
          <w:tcPr>
            <w:tcW w:w="1004" w:type="dxa"/>
            <w:tcBorders>
              <w:top w:val="nil"/>
              <w:left w:val="nil"/>
              <w:bottom w:val="single" w:sz="4" w:space="0" w:color="auto"/>
              <w:right w:val="single" w:sz="4" w:space="0" w:color="auto"/>
            </w:tcBorders>
            <w:shd w:val="clear" w:color="auto" w:fill="auto"/>
            <w:vAlign w:val="bottom"/>
            <w:hideMark/>
          </w:tcPr>
          <w:p w14:paraId="4D0C1F73" w14:textId="77777777" w:rsidR="00B45413" w:rsidRPr="001C0B5B" w:rsidRDefault="00B45413" w:rsidP="00B45413">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 </w:t>
            </w:r>
          </w:p>
        </w:tc>
        <w:tc>
          <w:tcPr>
            <w:tcW w:w="1713" w:type="dxa"/>
            <w:tcBorders>
              <w:top w:val="nil"/>
              <w:left w:val="nil"/>
              <w:bottom w:val="single" w:sz="4" w:space="0" w:color="auto"/>
              <w:right w:val="single" w:sz="4" w:space="0" w:color="auto"/>
            </w:tcBorders>
            <w:shd w:val="clear" w:color="auto" w:fill="auto"/>
            <w:vAlign w:val="bottom"/>
            <w:hideMark/>
          </w:tcPr>
          <w:p w14:paraId="651F4FC6" w14:textId="77777777" w:rsidR="00B45413" w:rsidRPr="001C0B5B" w:rsidRDefault="00B45413" w:rsidP="00B45413">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340</w:t>
            </w:r>
          </w:p>
        </w:tc>
        <w:tc>
          <w:tcPr>
            <w:tcW w:w="4395" w:type="dxa"/>
            <w:tcBorders>
              <w:top w:val="nil"/>
              <w:left w:val="nil"/>
              <w:bottom w:val="single" w:sz="4" w:space="0" w:color="auto"/>
              <w:right w:val="single" w:sz="4" w:space="0" w:color="auto"/>
            </w:tcBorders>
            <w:shd w:val="clear" w:color="auto" w:fill="auto"/>
            <w:vAlign w:val="bottom"/>
            <w:hideMark/>
          </w:tcPr>
          <w:p w14:paraId="7D444654" w14:textId="7BCAD97F" w:rsidR="00B45413" w:rsidRPr="001C0B5B" w:rsidRDefault="00B45413" w:rsidP="00B45413">
            <w:pPr>
              <w:spacing w:line="240" w:lineRule="auto"/>
              <w:rPr>
                <w:rFonts w:ascii="Calibri" w:hAnsi="Calibri" w:cs="Calibri"/>
                <w:color w:val="000000"/>
                <w:sz w:val="20"/>
                <w:lang w:eastAsia="en-US"/>
              </w:rPr>
            </w:pPr>
            <w:r>
              <w:rPr>
                <w:rFonts w:ascii="Calibri" w:hAnsi="Calibri" w:cs="Calibri"/>
                <w:color w:val="000000"/>
                <w:sz w:val="20"/>
                <w:lang w:eastAsia="en-US"/>
              </w:rPr>
              <w:t xml:space="preserve">Nepal </w:t>
            </w:r>
            <w:r w:rsidRPr="00D663F8">
              <w:rPr>
                <w:rFonts w:ascii="Calibri" w:hAnsi="Calibri" w:cs="Calibri"/>
                <w:color w:val="000000"/>
                <w:sz w:val="20"/>
                <w:lang w:eastAsia="en-US"/>
              </w:rPr>
              <w:t>National Micronutrient Status Survey</w:t>
            </w:r>
            <w:r>
              <w:rPr>
                <w:rFonts w:ascii="Calibri" w:hAnsi="Calibri" w:cs="Calibri"/>
                <w:color w:val="000000"/>
                <w:sz w:val="20"/>
                <w:lang w:eastAsia="en-US"/>
              </w:rPr>
              <w:t xml:space="preserve"> (NNMSS)</w:t>
            </w:r>
          </w:p>
        </w:tc>
      </w:tr>
      <w:tr w:rsidR="00B45413" w:rsidRPr="001C0B5B" w14:paraId="2593A1E1" w14:textId="77777777" w:rsidTr="03C7B32C">
        <w:trPr>
          <w:trHeight w:val="300"/>
        </w:trPr>
        <w:tc>
          <w:tcPr>
            <w:tcW w:w="1320" w:type="dxa"/>
            <w:tcBorders>
              <w:top w:val="nil"/>
              <w:left w:val="single" w:sz="4" w:space="0" w:color="auto"/>
              <w:bottom w:val="single" w:sz="4" w:space="0" w:color="auto"/>
              <w:right w:val="single" w:sz="4" w:space="0" w:color="auto"/>
            </w:tcBorders>
            <w:shd w:val="clear" w:color="auto" w:fill="auto"/>
            <w:vAlign w:val="bottom"/>
            <w:hideMark/>
          </w:tcPr>
          <w:p w14:paraId="3A126ED6" w14:textId="77777777" w:rsidR="00B45413" w:rsidRPr="001C0B5B" w:rsidRDefault="00B45413" w:rsidP="00B45413">
            <w:pPr>
              <w:spacing w:line="240" w:lineRule="auto"/>
              <w:rPr>
                <w:rFonts w:ascii="Calibri" w:hAnsi="Calibri" w:cs="Calibri"/>
                <w:color w:val="000000"/>
                <w:sz w:val="20"/>
                <w:lang w:eastAsia="en-US"/>
              </w:rPr>
            </w:pPr>
            <w:r w:rsidRPr="001C0B5B">
              <w:rPr>
                <w:rFonts w:ascii="Calibri" w:hAnsi="Calibri" w:cs="Calibri"/>
                <w:color w:val="000000"/>
                <w:sz w:val="20"/>
                <w:lang w:eastAsia="en-US"/>
              </w:rPr>
              <w:t>Pakistan</w:t>
            </w:r>
          </w:p>
        </w:tc>
        <w:tc>
          <w:tcPr>
            <w:tcW w:w="1200" w:type="dxa"/>
            <w:tcBorders>
              <w:top w:val="nil"/>
              <w:left w:val="nil"/>
              <w:bottom w:val="single" w:sz="4" w:space="0" w:color="auto"/>
              <w:right w:val="single" w:sz="4" w:space="0" w:color="auto"/>
            </w:tcBorders>
            <w:shd w:val="clear" w:color="auto" w:fill="auto"/>
            <w:vAlign w:val="bottom"/>
            <w:hideMark/>
          </w:tcPr>
          <w:p w14:paraId="7032D404" w14:textId="77777777" w:rsidR="00B45413" w:rsidRPr="001C0B5B" w:rsidRDefault="00B45413" w:rsidP="00B45413">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2011</w:t>
            </w:r>
          </w:p>
        </w:tc>
        <w:tc>
          <w:tcPr>
            <w:tcW w:w="957" w:type="dxa"/>
            <w:tcBorders>
              <w:top w:val="nil"/>
              <w:left w:val="nil"/>
              <w:bottom w:val="single" w:sz="4" w:space="0" w:color="auto"/>
              <w:right w:val="single" w:sz="4" w:space="0" w:color="auto"/>
            </w:tcBorders>
            <w:shd w:val="clear" w:color="auto" w:fill="auto"/>
            <w:vAlign w:val="bottom"/>
            <w:hideMark/>
          </w:tcPr>
          <w:p w14:paraId="68FC9A35" w14:textId="77777777" w:rsidR="00B45413" w:rsidRPr="001C0B5B" w:rsidRDefault="00B45413" w:rsidP="00B45413">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15-49</w:t>
            </w:r>
          </w:p>
        </w:tc>
        <w:tc>
          <w:tcPr>
            <w:tcW w:w="978" w:type="dxa"/>
            <w:tcBorders>
              <w:top w:val="nil"/>
              <w:left w:val="nil"/>
              <w:bottom w:val="single" w:sz="4" w:space="0" w:color="auto"/>
              <w:right w:val="single" w:sz="4" w:space="0" w:color="auto"/>
            </w:tcBorders>
            <w:shd w:val="clear" w:color="auto" w:fill="auto"/>
            <w:vAlign w:val="bottom"/>
            <w:hideMark/>
          </w:tcPr>
          <w:p w14:paraId="3DB4CDBA" w14:textId="77777777" w:rsidR="00B45413" w:rsidRPr="001C0B5B" w:rsidRDefault="00B45413" w:rsidP="00B45413">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7390</w:t>
            </w:r>
          </w:p>
        </w:tc>
        <w:tc>
          <w:tcPr>
            <w:tcW w:w="1410" w:type="dxa"/>
            <w:tcBorders>
              <w:top w:val="nil"/>
              <w:left w:val="nil"/>
              <w:bottom w:val="single" w:sz="4" w:space="0" w:color="auto"/>
              <w:right w:val="single" w:sz="4" w:space="0" w:color="auto"/>
            </w:tcBorders>
            <w:shd w:val="clear" w:color="auto" w:fill="auto"/>
            <w:vAlign w:val="bottom"/>
            <w:hideMark/>
          </w:tcPr>
          <w:p w14:paraId="5C4536AE" w14:textId="77777777" w:rsidR="00B45413" w:rsidRPr="001C0B5B" w:rsidRDefault="00B45413" w:rsidP="00B45413">
            <w:pPr>
              <w:spacing w:line="240" w:lineRule="auto"/>
              <w:rPr>
                <w:rFonts w:ascii="Calibri" w:hAnsi="Calibri" w:cs="Calibri"/>
                <w:color w:val="000000"/>
                <w:sz w:val="20"/>
                <w:lang w:eastAsia="en-US"/>
              </w:rPr>
            </w:pPr>
            <w:r w:rsidRPr="001C0B5B">
              <w:rPr>
                <w:rFonts w:ascii="Calibri" w:hAnsi="Calibri" w:cs="Calibri"/>
                <w:color w:val="000000"/>
                <w:sz w:val="20"/>
                <w:lang w:eastAsia="en-US"/>
              </w:rPr>
              <w:t>iron, zinc</w:t>
            </w:r>
          </w:p>
        </w:tc>
        <w:tc>
          <w:tcPr>
            <w:tcW w:w="1058" w:type="dxa"/>
            <w:tcBorders>
              <w:top w:val="nil"/>
              <w:left w:val="nil"/>
              <w:bottom w:val="single" w:sz="4" w:space="0" w:color="auto"/>
              <w:right w:val="single" w:sz="4" w:space="0" w:color="auto"/>
            </w:tcBorders>
            <w:shd w:val="clear" w:color="auto" w:fill="auto"/>
            <w:vAlign w:val="bottom"/>
            <w:hideMark/>
          </w:tcPr>
          <w:p w14:paraId="664F9071" w14:textId="77777777" w:rsidR="00B45413" w:rsidRPr="001C0B5B" w:rsidRDefault="00B45413" w:rsidP="00B45413">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9.55</w:t>
            </w:r>
          </w:p>
        </w:tc>
        <w:tc>
          <w:tcPr>
            <w:tcW w:w="1004" w:type="dxa"/>
            <w:tcBorders>
              <w:top w:val="nil"/>
              <w:left w:val="nil"/>
              <w:bottom w:val="single" w:sz="4" w:space="0" w:color="auto"/>
              <w:right w:val="single" w:sz="4" w:space="0" w:color="auto"/>
            </w:tcBorders>
            <w:shd w:val="clear" w:color="auto" w:fill="auto"/>
            <w:vAlign w:val="bottom"/>
            <w:hideMark/>
          </w:tcPr>
          <w:p w14:paraId="15653A16" w14:textId="77777777" w:rsidR="00B45413" w:rsidRPr="001C0B5B" w:rsidRDefault="00B45413" w:rsidP="00B45413">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 </w:t>
            </w:r>
          </w:p>
        </w:tc>
        <w:tc>
          <w:tcPr>
            <w:tcW w:w="1713" w:type="dxa"/>
            <w:tcBorders>
              <w:top w:val="nil"/>
              <w:left w:val="nil"/>
              <w:bottom w:val="single" w:sz="4" w:space="0" w:color="auto"/>
              <w:right w:val="single" w:sz="4" w:space="0" w:color="auto"/>
            </w:tcBorders>
            <w:shd w:val="clear" w:color="auto" w:fill="auto"/>
            <w:vAlign w:val="bottom"/>
            <w:hideMark/>
          </w:tcPr>
          <w:p w14:paraId="67721B35" w14:textId="77777777" w:rsidR="00B45413" w:rsidRPr="001C0B5B" w:rsidRDefault="00B45413" w:rsidP="00B45413">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 </w:t>
            </w:r>
          </w:p>
        </w:tc>
        <w:tc>
          <w:tcPr>
            <w:tcW w:w="4395" w:type="dxa"/>
            <w:tcBorders>
              <w:top w:val="nil"/>
              <w:left w:val="nil"/>
              <w:bottom w:val="single" w:sz="4" w:space="0" w:color="auto"/>
              <w:right w:val="single" w:sz="4" w:space="0" w:color="auto"/>
            </w:tcBorders>
            <w:shd w:val="clear" w:color="auto" w:fill="auto"/>
            <w:vAlign w:val="bottom"/>
            <w:hideMark/>
          </w:tcPr>
          <w:p w14:paraId="1F8AA975" w14:textId="77777777" w:rsidR="00B45413" w:rsidRPr="001C0B5B" w:rsidRDefault="00B45413" w:rsidP="00B45413">
            <w:pPr>
              <w:spacing w:line="240" w:lineRule="auto"/>
              <w:rPr>
                <w:rFonts w:ascii="Calibri" w:hAnsi="Calibri" w:cs="Calibri"/>
                <w:color w:val="000000"/>
                <w:sz w:val="20"/>
                <w:lang w:eastAsia="en-US"/>
              </w:rPr>
            </w:pPr>
            <w:r w:rsidRPr="001C0B5B">
              <w:rPr>
                <w:rFonts w:ascii="Calibri" w:hAnsi="Calibri" w:cs="Calibri"/>
                <w:color w:val="000000"/>
                <w:sz w:val="20"/>
                <w:lang w:eastAsia="en-US"/>
              </w:rPr>
              <w:t>Pakistan National Nutrition Survey</w:t>
            </w:r>
          </w:p>
        </w:tc>
      </w:tr>
      <w:tr w:rsidR="00B45413" w:rsidRPr="001C0B5B" w14:paraId="2D4C6E93" w14:textId="77777777" w:rsidTr="03C7B32C">
        <w:trPr>
          <w:trHeight w:val="525"/>
        </w:trPr>
        <w:tc>
          <w:tcPr>
            <w:tcW w:w="1320" w:type="dxa"/>
            <w:tcBorders>
              <w:top w:val="nil"/>
              <w:left w:val="single" w:sz="4" w:space="0" w:color="auto"/>
              <w:bottom w:val="single" w:sz="4" w:space="0" w:color="auto"/>
              <w:right w:val="single" w:sz="4" w:space="0" w:color="auto"/>
            </w:tcBorders>
            <w:shd w:val="clear" w:color="auto" w:fill="auto"/>
            <w:vAlign w:val="bottom"/>
            <w:hideMark/>
          </w:tcPr>
          <w:p w14:paraId="2BB60D4E" w14:textId="77777777" w:rsidR="00B45413" w:rsidRPr="001C0B5B" w:rsidRDefault="00B45413" w:rsidP="00B45413">
            <w:pPr>
              <w:spacing w:line="240" w:lineRule="auto"/>
              <w:rPr>
                <w:rFonts w:ascii="Calibri" w:hAnsi="Calibri" w:cs="Calibri"/>
                <w:color w:val="000000"/>
                <w:sz w:val="20"/>
                <w:lang w:eastAsia="en-US"/>
              </w:rPr>
            </w:pPr>
            <w:r w:rsidRPr="001C0B5B">
              <w:rPr>
                <w:rFonts w:ascii="Calibri" w:hAnsi="Calibri" w:cs="Calibri"/>
                <w:color w:val="000000"/>
                <w:sz w:val="20"/>
                <w:lang w:eastAsia="en-US"/>
              </w:rPr>
              <w:t>United Kingdom</w:t>
            </w:r>
          </w:p>
        </w:tc>
        <w:tc>
          <w:tcPr>
            <w:tcW w:w="1200" w:type="dxa"/>
            <w:tcBorders>
              <w:top w:val="nil"/>
              <w:left w:val="nil"/>
              <w:bottom w:val="single" w:sz="4" w:space="0" w:color="auto"/>
              <w:right w:val="single" w:sz="4" w:space="0" w:color="auto"/>
            </w:tcBorders>
            <w:shd w:val="clear" w:color="auto" w:fill="auto"/>
            <w:vAlign w:val="bottom"/>
            <w:hideMark/>
          </w:tcPr>
          <w:p w14:paraId="022937A4" w14:textId="77777777" w:rsidR="00B45413" w:rsidRPr="001C0B5B" w:rsidRDefault="00B45413" w:rsidP="00B45413">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2008-2019</w:t>
            </w:r>
          </w:p>
        </w:tc>
        <w:tc>
          <w:tcPr>
            <w:tcW w:w="957" w:type="dxa"/>
            <w:tcBorders>
              <w:top w:val="nil"/>
              <w:left w:val="nil"/>
              <w:bottom w:val="single" w:sz="4" w:space="0" w:color="auto"/>
              <w:right w:val="single" w:sz="4" w:space="0" w:color="auto"/>
            </w:tcBorders>
            <w:shd w:val="clear" w:color="auto" w:fill="auto"/>
            <w:vAlign w:val="bottom"/>
            <w:hideMark/>
          </w:tcPr>
          <w:p w14:paraId="02483AF1" w14:textId="77777777" w:rsidR="00B45413" w:rsidRPr="001C0B5B" w:rsidRDefault="00B45413" w:rsidP="00B45413">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15-49</w:t>
            </w:r>
          </w:p>
        </w:tc>
        <w:tc>
          <w:tcPr>
            <w:tcW w:w="978" w:type="dxa"/>
            <w:tcBorders>
              <w:top w:val="nil"/>
              <w:left w:val="nil"/>
              <w:bottom w:val="single" w:sz="4" w:space="0" w:color="auto"/>
              <w:right w:val="single" w:sz="4" w:space="0" w:color="auto"/>
            </w:tcBorders>
            <w:shd w:val="clear" w:color="auto" w:fill="auto"/>
            <w:vAlign w:val="bottom"/>
            <w:hideMark/>
          </w:tcPr>
          <w:p w14:paraId="2809D10C" w14:textId="77777777" w:rsidR="00B45413" w:rsidRPr="001C0B5B" w:rsidRDefault="00B45413" w:rsidP="00B45413">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1310</w:t>
            </w:r>
          </w:p>
        </w:tc>
        <w:tc>
          <w:tcPr>
            <w:tcW w:w="1410" w:type="dxa"/>
            <w:tcBorders>
              <w:top w:val="nil"/>
              <w:left w:val="nil"/>
              <w:bottom w:val="single" w:sz="4" w:space="0" w:color="auto"/>
              <w:right w:val="single" w:sz="4" w:space="0" w:color="auto"/>
            </w:tcBorders>
            <w:shd w:val="clear" w:color="auto" w:fill="auto"/>
            <w:vAlign w:val="bottom"/>
            <w:hideMark/>
          </w:tcPr>
          <w:p w14:paraId="1BA58B41" w14:textId="77777777" w:rsidR="00B45413" w:rsidRPr="001C0B5B" w:rsidRDefault="00B45413" w:rsidP="00B45413">
            <w:pPr>
              <w:spacing w:line="240" w:lineRule="auto"/>
              <w:rPr>
                <w:rFonts w:ascii="Calibri" w:hAnsi="Calibri" w:cs="Calibri"/>
                <w:color w:val="000000"/>
                <w:sz w:val="20"/>
                <w:lang w:eastAsia="en-US"/>
              </w:rPr>
            </w:pPr>
            <w:r w:rsidRPr="001C0B5B">
              <w:rPr>
                <w:rFonts w:ascii="Calibri" w:hAnsi="Calibri" w:cs="Calibri"/>
                <w:color w:val="000000"/>
                <w:sz w:val="20"/>
                <w:lang w:eastAsia="en-US"/>
              </w:rPr>
              <w:t>iron, folate, zinc</w:t>
            </w:r>
          </w:p>
        </w:tc>
        <w:tc>
          <w:tcPr>
            <w:tcW w:w="1058" w:type="dxa"/>
            <w:tcBorders>
              <w:top w:val="nil"/>
              <w:left w:val="nil"/>
              <w:bottom w:val="single" w:sz="4" w:space="0" w:color="auto"/>
              <w:right w:val="single" w:sz="4" w:space="0" w:color="auto"/>
            </w:tcBorders>
            <w:shd w:val="clear" w:color="auto" w:fill="auto"/>
            <w:vAlign w:val="bottom"/>
            <w:hideMark/>
          </w:tcPr>
          <w:p w14:paraId="38DBFCE7" w14:textId="77777777" w:rsidR="00B45413" w:rsidRPr="001C0B5B" w:rsidRDefault="00B45413" w:rsidP="00B45413">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10.7</w:t>
            </w:r>
          </w:p>
        </w:tc>
        <w:tc>
          <w:tcPr>
            <w:tcW w:w="1004" w:type="dxa"/>
            <w:tcBorders>
              <w:top w:val="nil"/>
              <w:left w:val="nil"/>
              <w:bottom w:val="single" w:sz="4" w:space="0" w:color="auto"/>
              <w:right w:val="single" w:sz="4" w:space="0" w:color="auto"/>
            </w:tcBorders>
            <w:shd w:val="clear" w:color="auto" w:fill="auto"/>
            <w:vAlign w:val="bottom"/>
            <w:hideMark/>
          </w:tcPr>
          <w:p w14:paraId="6A81FDE9" w14:textId="77777777" w:rsidR="00B45413" w:rsidRPr="001C0B5B" w:rsidRDefault="00B45413" w:rsidP="00B45413">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10</w:t>
            </w:r>
          </w:p>
        </w:tc>
        <w:tc>
          <w:tcPr>
            <w:tcW w:w="1713" w:type="dxa"/>
            <w:tcBorders>
              <w:top w:val="nil"/>
              <w:left w:val="nil"/>
              <w:bottom w:val="single" w:sz="4" w:space="0" w:color="auto"/>
              <w:right w:val="single" w:sz="4" w:space="0" w:color="auto"/>
            </w:tcBorders>
            <w:shd w:val="clear" w:color="auto" w:fill="auto"/>
            <w:vAlign w:val="bottom"/>
            <w:hideMark/>
          </w:tcPr>
          <w:p w14:paraId="17F6C53D" w14:textId="77777777" w:rsidR="00B45413" w:rsidRPr="001C0B5B" w:rsidRDefault="00B45413" w:rsidP="00B45413">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340</w:t>
            </w:r>
          </w:p>
        </w:tc>
        <w:tc>
          <w:tcPr>
            <w:tcW w:w="4395" w:type="dxa"/>
            <w:tcBorders>
              <w:top w:val="nil"/>
              <w:left w:val="nil"/>
              <w:bottom w:val="single" w:sz="4" w:space="0" w:color="auto"/>
              <w:right w:val="single" w:sz="4" w:space="0" w:color="auto"/>
            </w:tcBorders>
            <w:shd w:val="clear" w:color="auto" w:fill="auto"/>
            <w:vAlign w:val="bottom"/>
            <w:hideMark/>
          </w:tcPr>
          <w:p w14:paraId="70F976B8" w14:textId="77777777" w:rsidR="00B45413" w:rsidRPr="001C0B5B" w:rsidRDefault="00B45413" w:rsidP="00B45413">
            <w:pPr>
              <w:spacing w:line="240" w:lineRule="auto"/>
              <w:rPr>
                <w:rFonts w:ascii="Calibri" w:hAnsi="Calibri" w:cs="Calibri"/>
                <w:color w:val="000000"/>
                <w:sz w:val="20"/>
                <w:lang w:eastAsia="en-US"/>
              </w:rPr>
            </w:pPr>
            <w:r w:rsidRPr="001C0B5B">
              <w:rPr>
                <w:rFonts w:ascii="Calibri" w:hAnsi="Calibri" w:cs="Calibri"/>
                <w:color w:val="000000"/>
                <w:sz w:val="20"/>
                <w:lang w:eastAsia="en-US"/>
              </w:rPr>
              <w:t>National Diet and Nutrition Survey (NDNS)</w:t>
            </w:r>
          </w:p>
        </w:tc>
      </w:tr>
      <w:tr w:rsidR="00B45413" w:rsidRPr="001C0B5B" w14:paraId="6D852C81" w14:textId="77777777" w:rsidTr="03C7B32C">
        <w:trPr>
          <w:trHeight w:val="525"/>
        </w:trPr>
        <w:tc>
          <w:tcPr>
            <w:tcW w:w="1320" w:type="dxa"/>
            <w:tcBorders>
              <w:top w:val="nil"/>
              <w:left w:val="single" w:sz="4" w:space="0" w:color="auto"/>
              <w:bottom w:val="single" w:sz="4" w:space="0" w:color="auto"/>
              <w:right w:val="single" w:sz="4" w:space="0" w:color="auto"/>
            </w:tcBorders>
            <w:shd w:val="clear" w:color="auto" w:fill="auto"/>
            <w:vAlign w:val="bottom"/>
            <w:hideMark/>
          </w:tcPr>
          <w:p w14:paraId="683ACF72" w14:textId="77777777" w:rsidR="00B45413" w:rsidRPr="001C0B5B" w:rsidRDefault="00B45413" w:rsidP="00B45413">
            <w:pPr>
              <w:spacing w:line="240" w:lineRule="auto"/>
              <w:rPr>
                <w:rFonts w:ascii="Calibri" w:hAnsi="Calibri" w:cs="Calibri"/>
                <w:color w:val="000000"/>
                <w:sz w:val="20"/>
                <w:lang w:eastAsia="en-US"/>
              </w:rPr>
            </w:pPr>
            <w:r w:rsidRPr="001C0B5B">
              <w:rPr>
                <w:rFonts w:ascii="Calibri" w:hAnsi="Calibri" w:cs="Calibri"/>
                <w:color w:val="000000"/>
                <w:sz w:val="20"/>
                <w:lang w:eastAsia="en-US"/>
              </w:rPr>
              <w:t>United States of America</w:t>
            </w:r>
          </w:p>
        </w:tc>
        <w:tc>
          <w:tcPr>
            <w:tcW w:w="1200" w:type="dxa"/>
            <w:tcBorders>
              <w:top w:val="nil"/>
              <w:left w:val="nil"/>
              <w:bottom w:val="single" w:sz="4" w:space="0" w:color="auto"/>
              <w:right w:val="single" w:sz="4" w:space="0" w:color="auto"/>
            </w:tcBorders>
            <w:shd w:val="clear" w:color="auto" w:fill="auto"/>
            <w:vAlign w:val="bottom"/>
            <w:hideMark/>
          </w:tcPr>
          <w:p w14:paraId="333544A5" w14:textId="77777777" w:rsidR="00B45413" w:rsidRPr="001C0B5B" w:rsidRDefault="00B45413" w:rsidP="00B45413">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2015-2016</w:t>
            </w:r>
          </w:p>
        </w:tc>
        <w:tc>
          <w:tcPr>
            <w:tcW w:w="957" w:type="dxa"/>
            <w:tcBorders>
              <w:top w:val="nil"/>
              <w:left w:val="nil"/>
              <w:bottom w:val="single" w:sz="4" w:space="0" w:color="auto"/>
              <w:right w:val="single" w:sz="4" w:space="0" w:color="auto"/>
            </w:tcBorders>
            <w:shd w:val="clear" w:color="auto" w:fill="auto"/>
            <w:vAlign w:val="bottom"/>
            <w:hideMark/>
          </w:tcPr>
          <w:p w14:paraId="1D974DED" w14:textId="77777777" w:rsidR="00B45413" w:rsidRPr="001C0B5B" w:rsidRDefault="00B45413" w:rsidP="00B45413">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15-49</w:t>
            </w:r>
          </w:p>
        </w:tc>
        <w:tc>
          <w:tcPr>
            <w:tcW w:w="978" w:type="dxa"/>
            <w:tcBorders>
              <w:top w:val="nil"/>
              <w:left w:val="nil"/>
              <w:bottom w:val="single" w:sz="4" w:space="0" w:color="auto"/>
              <w:right w:val="single" w:sz="4" w:space="0" w:color="auto"/>
            </w:tcBorders>
            <w:shd w:val="clear" w:color="auto" w:fill="auto"/>
            <w:vAlign w:val="bottom"/>
            <w:hideMark/>
          </w:tcPr>
          <w:p w14:paraId="50954AB9" w14:textId="77777777" w:rsidR="00B45413" w:rsidRPr="001C0B5B" w:rsidRDefault="00B45413" w:rsidP="00B45413">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551</w:t>
            </w:r>
          </w:p>
        </w:tc>
        <w:tc>
          <w:tcPr>
            <w:tcW w:w="1410" w:type="dxa"/>
            <w:tcBorders>
              <w:top w:val="nil"/>
              <w:left w:val="nil"/>
              <w:bottom w:val="single" w:sz="4" w:space="0" w:color="auto"/>
              <w:right w:val="single" w:sz="4" w:space="0" w:color="auto"/>
            </w:tcBorders>
            <w:shd w:val="clear" w:color="auto" w:fill="auto"/>
            <w:vAlign w:val="bottom"/>
            <w:hideMark/>
          </w:tcPr>
          <w:p w14:paraId="0A607BF1" w14:textId="77777777" w:rsidR="00B45413" w:rsidRPr="001C0B5B" w:rsidRDefault="00B45413" w:rsidP="00B45413">
            <w:pPr>
              <w:spacing w:line="240" w:lineRule="auto"/>
              <w:rPr>
                <w:rFonts w:ascii="Calibri" w:hAnsi="Calibri" w:cs="Calibri"/>
                <w:color w:val="000000"/>
                <w:sz w:val="20"/>
                <w:lang w:eastAsia="en-US"/>
              </w:rPr>
            </w:pPr>
            <w:r w:rsidRPr="001C0B5B">
              <w:rPr>
                <w:rFonts w:ascii="Calibri" w:hAnsi="Calibri" w:cs="Calibri"/>
                <w:color w:val="000000"/>
                <w:sz w:val="20"/>
                <w:lang w:eastAsia="en-US"/>
              </w:rPr>
              <w:t>iron, folate, zinc</w:t>
            </w:r>
          </w:p>
        </w:tc>
        <w:tc>
          <w:tcPr>
            <w:tcW w:w="1058" w:type="dxa"/>
            <w:tcBorders>
              <w:top w:val="nil"/>
              <w:left w:val="nil"/>
              <w:bottom w:val="single" w:sz="4" w:space="0" w:color="auto"/>
              <w:right w:val="single" w:sz="4" w:space="0" w:color="auto"/>
            </w:tcBorders>
            <w:shd w:val="clear" w:color="auto" w:fill="auto"/>
            <w:vAlign w:val="bottom"/>
            <w:hideMark/>
          </w:tcPr>
          <w:p w14:paraId="327F9322" w14:textId="77777777" w:rsidR="00B45413" w:rsidRPr="001C0B5B" w:rsidRDefault="00B45413" w:rsidP="00B45413">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9.55</w:t>
            </w:r>
          </w:p>
        </w:tc>
        <w:tc>
          <w:tcPr>
            <w:tcW w:w="1004" w:type="dxa"/>
            <w:tcBorders>
              <w:top w:val="nil"/>
              <w:left w:val="nil"/>
              <w:bottom w:val="single" w:sz="4" w:space="0" w:color="auto"/>
              <w:right w:val="single" w:sz="4" w:space="0" w:color="auto"/>
            </w:tcBorders>
            <w:shd w:val="clear" w:color="auto" w:fill="auto"/>
            <w:vAlign w:val="bottom"/>
            <w:hideMark/>
          </w:tcPr>
          <w:p w14:paraId="633C5D3C" w14:textId="77777777" w:rsidR="00B45413" w:rsidRPr="001C0B5B" w:rsidRDefault="00B45413" w:rsidP="00B45413">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10</w:t>
            </w:r>
          </w:p>
        </w:tc>
        <w:tc>
          <w:tcPr>
            <w:tcW w:w="1713" w:type="dxa"/>
            <w:tcBorders>
              <w:top w:val="nil"/>
              <w:left w:val="nil"/>
              <w:bottom w:val="single" w:sz="4" w:space="0" w:color="auto"/>
              <w:right w:val="single" w:sz="4" w:space="0" w:color="auto"/>
            </w:tcBorders>
            <w:shd w:val="clear" w:color="auto" w:fill="auto"/>
            <w:vAlign w:val="bottom"/>
            <w:hideMark/>
          </w:tcPr>
          <w:p w14:paraId="1DD1B77E" w14:textId="77777777" w:rsidR="00B45413" w:rsidRPr="001C0B5B" w:rsidRDefault="00B45413" w:rsidP="00B45413">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340</w:t>
            </w:r>
          </w:p>
        </w:tc>
        <w:tc>
          <w:tcPr>
            <w:tcW w:w="4395" w:type="dxa"/>
            <w:tcBorders>
              <w:top w:val="nil"/>
              <w:left w:val="nil"/>
              <w:bottom w:val="single" w:sz="4" w:space="0" w:color="auto"/>
              <w:right w:val="single" w:sz="4" w:space="0" w:color="auto"/>
            </w:tcBorders>
            <w:shd w:val="clear" w:color="auto" w:fill="auto"/>
            <w:vAlign w:val="bottom"/>
            <w:hideMark/>
          </w:tcPr>
          <w:p w14:paraId="11791772" w14:textId="77777777" w:rsidR="00B45413" w:rsidRPr="001C0B5B" w:rsidRDefault="00B45413" w:rsidP="00B45413">
            <w:pPr>
              <w:spacing w:line="240" w:lineRule="auto"/>
              <w:rPr>
                <w:rFonts w:ascii="Calibri" w:hAnsi="Calibri" w:cs="Calibri"/>
                <w:color w:val="000000"/>
                <w:sz w:val="20"/>
                <w:lang w:eastAsia="en-US"/>
              </w:rPr>
            </w:pPr>
            <w:r w:rsidRPr="001C0B5B">
              <w:rPr>
                <w:rFonts w:ascii="Calibri" w:hAnsi="Calibri" w:cs="Calibri"/>
                <w:color w:val="000000"/>
                <w:sz w:val="20"/>
                <w:lang w:eastAsia="en-US"/>
              </w:rPr>
              <w:t>National Health and Nutrition Examination Survey (NHANES)</w:t>
            </w:r>
          </w:p>
        </w:tc>
      </w:tr>
      <w:tr w:rsidR="00B45413" w:rsidRPr="001C0B5B" w14:paraId="291E50DC" w14:textId="77777777" w:rsidTr="03C7B32C">
        <w:trPr>
          <w:trHeight w:val="1035"/>
        </w:trPr>
        <w:tc>
          <w:tcPr>
            <w:tcW w:w="1320" w:type="dxa"/>
            <w:tcBorders>
              <w:top w:val="nil"/>
              <w:left w:val="single" w:sz="4" w:space="0" w:color="auto"/>
              <w:bottom w:val="single" w:sz="4" w:space="0" w:color="auto"/>
              <w:right w:val="single" w:sz="4" w:space="0" w:color="auto"/>
            </w:tcBorders>
            <w:shd w:val="clear" w:color="auto" w:fill="auto"/>
            <w:vAlign w:val="bottom"/>
            <w:hideMark/>
          </w:tcPr>
          <w:p w14:paraId="290944A1" w14:textId="77777777" w:rsidR="00B45413" w:rsidRPr="001C0B5B" w:rsidRDefault="00B45413" w:rsidP="00B45413">
            <w:pPr>
              <w:spacing w:line="240" w:lineRule="auto"/>
              <w:rPr>
                <w:rFonts w:ascii="Calibri" w:hAnsi="Calibri" w:cs="Calibri"/>
                <w:color w:val="000000"/>
                <w:sz w:val="20"/>
                <w:lang w:eastAsia="en-US"/>
              </w:rPr>
            </w:pPr>
            <w:r w:rsidRPr="001C0B5B">
              <w:rPr>
                <w:rFonts w:ascii="Calibri" w:hAnsi="Calibri" w:cs="Calibri"/>
                <w:color w:val="000000"/>
                <w:sz w:val="20"/>
                <w:lang w:eastAsia="en-US"/>
              </w:rPr>
              <w:t>Viet Nam</w:t>
            </w:r>
          </w:p>
        </w:tc>
        <w:tc>
          <w:tcPr>
            <w:tcW w:w="1200" w:type="dxa"/>
            <w:tcBorders>
              <w:top w:val="nil"/>
              <w:left w:val="nil"/>
              <w:bottom w:val="single" w:sz="4" w:space="0" w:color="auto"/>
              <w:right w:val="single" w:sz="4" w:space="0" w:color="auto"/>
            </w:tcBorders>
            <w:shd w:val="clear" w:color="auto" w:fill="auto"/>
            <w:vAlign w:val="bottom"/>
            <w:hideMark/>
          </w:tcPr>
          <w:p w14:paraId="639AA064" w14:textId="77777777" w:rsidR="00B45413" w:rsidRPr="001C0B5B" w:rsidRDefault="00B45413" w:rsidP="00B45413">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2010</w:t>
            </w:r>
          </w:p>
        </w:tc>
        <w:tc>
          <w:tcPr>
            <w:tcW w:w="957" w:type="dxa"/>
            <w:tcBorders>
              <w:top w:val="nil"/>
              <w:left w:val="nil"/>
              <w:bottom w:val="single" w:sz="4" w:space="0" w:color="auto"/>
              <w:right w:val="single" w:sz="4" w:space="0" w:color="auto"/>
            </w:tcBorders>
            <w:shd w:val="clear" w:color="auto" w:fill="auto"/>
            <w:vAlign w:val="bottom"/>
            <w:hideMark/>
          </w:tcPr>
          <w:p w14:paraId="3E07F63E" w14:textId="77777777" w:rsidR="00B45413" w:rsidRPr="001C0B5B" w:rsidRDefault="00B45413" w:rsidP="00B45413">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15-49</w:t>
            </w:r>
          </w:p>
        </w:tc>
        <w:tc>
          <w:tcPr>
            <w:tcW w:w="978" w:type="dxa"/>
            <w:tcBorders>
              <w:top w:val="nil"/>
              <w:left w:val="nil"/>
              <w:bottom w:val="single" w:sz="4" w:space="0" w:color="auto"/>
              <w:right w:val="single" w:sz="4" w:space="0" w:color="auto"/>
            </w:tcBorders>
            <w:shd w:val="clear" w:color="auto" w:fill="auto"/>
            <w:vAlign w:val="bottom"/>
            <w:hideMark/>
          </w:tcPr>
          <w:p w14:paraId="527E812A" w14:textId="77777777" w:rsidR="00B45413" w:rsidRPr="001C0B5B" w:rsidRDefault="00B45413" w:rsidP="00B45413">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1348</w:t>
            </w:r>
          </w:p>
        </w:tc>
        <w:tc>
          <w:tcPr>
            <w:tcW w:w="1410" w:type="dxa"/>
            <w:tcBorders>
              <w:top w:val="nil"/>
              <w:left w:val="nil"/>
              <w:bottom w:val="single" w:sz="4" w:space="0" w:color="auto"/>
              <w:right w:val="single" w:sz="4" w:space="0" w:color="auto"/>
            </w:tcBorders>
            <w:shd w:val="clear" w:color="auto" w:fill="auto"/>
            <w:vAlign w:val="bottom"/>
            <w:hideMark/>
          </w:tcPr>
          <w:p w14:paraId="5A2DFD86" w14:textId="77777777" w:rsidR="00B45413" w:rsidRPr="001C0B5B" w:rsidRDefault="00B45413" w:rsidP="00B45413">
            <w:pPr>
              <w:spacing w:line="240" w:lineRule="auto"/>
              <w:rPr>
                <w:rFonts w:ascii="Calibri" w:hAnsi="Calibri" w:cs="Calibri"/>
                <w:color w:val="000000"/>
                <w:sz w:val="20"/>
                <w:lang w:eastAsia="en-US"/>
              </w:rPr>
            </w:pPr>
            <w:r w:rsidRPr="001C0B5B">
              <w:rPr>
                <w:rFonts w:ascii="Calibri" w:hAnsi="Calibri" w:cs="Calibri"/>
                <w:color w:val="000000"/>
                <w:sz w:val="20"/>
                <w:lang w:eastAsia="en-US"/>
              </w:rPr>
              <w:t>iron, folate, zinc</w:t>
            </w:r>
          </w:p>
        </w:tc>
        <w:tc>
          <w:tcPr>
            <w:tcW w:w="1058" w:type="dxa"/>
            <w:tcBorders>
              <w:top w:val="nil"/>
              <w:left w:val="nil"/>
              <w:bottom w:val="single" w:sz="4" w:space="0" w:color="auto"/>
              <w:right w:val="single" w:sz="4" w:space="0" w:color="auto"/>
            </w:tcBorders>
            <w:shd w:val="clear" w:color="auto" w:fill="auto"/>
            <w:vAlign w:val="bottom"/>
            <w:hideMark/>
          </w:tcPr>
          <w:p w14:paraId="3163F2A5" w14:textId="77777777" w:rsidR="00B45413" w:rsidRPr="001C0B5B" w:rsidRDefault="00B45413" w:rsidP="00B45413">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10.1</w:t>
            </w:r>
          </w:p>
        </w:tc>
        <w:tc>
          <w:tcPr>
            <w:tcW w:w="1004" w:type="dxa"/>
            <w:tcBorders>
              <w:top w:val="nil"/>
              <w:left w:val="nil"/>
              <w:bottom w:val="single" w:sz="4" w:space="0" w:color="auto"/>
              <w:right w:val="single" w:sz="4" w:space="0" w:color="auto"/>
            </w:tcBorders>
            <w:shd w:val="clear" w:color="auto" w:fill="auto"/>
            <w:vAlign w:val="bottom"/>
            <w:hideMark/>
          </w:tcPr>
          <w:p w14:paraId="62606C2C" w14:textId="77777777" w:rsidR="00B45413" w:rsidRPr="001C0B5B" w:rsidRDefault="00B45413" w:rsidP="00B45413">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12</w:t>
            </w:r>
          </w:p>
        </w:tc>
        <w:tc>
          <w:tcPr>
            <w:tcW w:w="1713" w:type="dxa"/>
            <w:tcBorders>
              <w:top w:val="nil"/>
              <w:left w:val="nil"/>
              <w:bottom w:val="single" w:sz="4" w:space="0" w:color="auto"/>
              <w:right w:val="single" w:sz="4" w:space="0" w:color="auto"/>
            </w:tcBorders>
            <w:shd w:val="clear" w:color="auto" w:fill="auto"/>
            <w:vAlign w:val="bottom"/>
            <w:hideMark/>
          </w:tcPr>
          <w:p w14:paraId="2822B1B9" w14:textId="77777777" w:rsidR="00B45413" w:rsidRPr="001C0B5B" w:rsidRDefault="00B45413" w:rsidP="00B45413">
            <w:pPr>
              <w:spacing w:line="240" w:lineRule="auto"/>
              <w:jc w:val="center"/>
              <w:rPr>
                <w:rFonts w:ascii="Calibri" w:hAnsi="Calibri" w:cs="Calibri"/>
                <w:color w:val="000000"/>
                <w:sz w:val="20"/>
                <w:lang w:eastAsia="en-US"/>
              </w:rPr>
            </w:pPr>
            <w:r w:rsidRPr="001C0B5B">
              <w:rPr>
                <w:rFonts w:ascii="Calibri" w:hAnsi="Calibri" w:cs="Calibri"/>
                <w:color w:val="000000"/>
                <w:sz w:val="20"/>
                <w:lang w:eastAsia="en-US"/>
              </w:rPr>
              <w:t> </w:t>
            </w:r>
          </w:p>
        </w:tc>
        <w:tc>
          <w:tcPr>
            <w:tcW w:w="4395" w:type="dxa"/>
            <w:tcBorders>
              <w:top w:val="nil"/>
              <w:left w:val="nil"/>
              <w:bottom w:val="single" w:sz="4" w:space="0" w:color="auto"/>
              <w:right w:val="single" w:sz="4" w:space="0" w:color="auto"/>
            </w:tcBorders>
            <w:shd w:val="clear" w:color="auto" w:fill="auto"/>
            <w:vAlign w:val="bottom"/>
            <w:hideMark/>
          </w:tcPr>
          <w:p w14:paraId="5608C299" w14:textId="77777777" w:rsidR="00B45413" w:rsidRPr="001C0B5B" w:rsidRDefault="00B45413" w:rsidP="00B45413">
            <w:pPr>
              <w:spacing w:line="240" w:lineRule="auto"/>
              <w:rPr>
                <w:rFonts w:ascii="Calibri" w:hAnsi="Calibri" w:cs="Calibri"/>
                <w:color w:val="000000"/>
                <w:sz w:val="20"/>
                <w:lang w:eastAsia="en-US"/>
              </w:rPr>
            </w:pPr>
            <w:r w:rsidRPr="001C0B5B">
              <w:rPr>
                <w:rFonts w:ascii="Calibri" w:hAnsi="Calibri" w:cs="Calibri"/>
                <w:color w:val="000000"/>
                <w:sz w:val="20"/>
                <w:lang w:val="es-MX" w:eastAsia="en-US"/>
              </w:rPr>
              <w:t xml:space="preserve">Laillou, A., Van Pham, T., Tran, N. T., Le, H. T., Wieringa, F., Rohner, F., et al. </w:t>
            </w:r>
            <w:r w:rsidRPr="001C0B5B">
              <w:rPr>
                <w:rFonts w:ascii="Calibri" w:hAnsi="Calibri" w:cs="Calibri"/>
                <w:color w:val="000000"/>
                <w:sz w:val="20"/>
                <w:lang w:eastAsia="en-US"/>
              </w:rPr>
              <w:t xml:space="preserve">(2012). Micronutrient deficits are still public health issues among women and young children in Vietnam. </w:t>
            </w:r>
            <w:proofErr w:type="spellStart"/>
            <w:r w:rsidRPr="001C0B5B">
              <w:rPr>
                <w:rFonts w:ascii="Calibri" w:hAnsi="Calibri" w:cs="Calibri"/>
                <w:color w:val="000000"/>
                <w:sz w:val="20"/>
                <w:lang w:eastAsia="en-US"/>
              </w:rPr>
              <w:t>PloS</w:t>
            </w:r>
            <w:proofErr w:type="spellEnd"/>
            <w:r w:rsidRPr="001C0B5B">
              <w:rPr>
                <w:rFonts w:ascii="Calibri" w:hAnsi="Calibri" w:cs="Calibri"/>
                <w:color w:val="000000"/>
                <w:sz w:val="20"/>
                <w:lang w:eastAsia="en-US"/>
              </w:rPr>
              <w:t xml:space="preserve"> one, 7(4).</w:t>
            </w:r>
          </w:p>
        </w:tc>
      </w:tr>
    </w:tbl>
    <w:p w14:paraId="17ACFF21" w14:textId="77777777" w:rsidR="006D06E1" w:rsidRPr="00A34060" w:rsidRDefault="006D06E1" w:rsidP="006D06E1">
      <w:pPr>
        <w:autoSpaceDE w:val="0"/>
        <w:autoSpaceDN w:val="0"/>
        <w:adjustRightInd w:val="0"/>
        <w:rPr>
          <w:rFonts w:cstheme="minorHAnsi"/>
          <w:szCs w:val="22"/>
          <w:lang w:val="en-GB"/>
        </w:rPr>
      </w:pPr>
    </w:p>
    <w:p w14:paraId="0A764642" w14:textId="4EF00286" w:rsidR="00761E8A" w:rsidRDefault="03C7B32C" w:rsidP="002B333B">
      <w:pPr>
        <w:rPr>
          <w:lang w:val="en-GB"/>
        </w:rPr>
      </w:pPr>
      <w:r w:rsidRPr="03C7B32C">
        <w:rPr>
          <w:lang w:val="en-GB"/>
        </w:rPr>
        <w:t>Note</w:t>
      </w:r>
      <w:r w:rsidR="00761E8A">
        <w:rPr>
          <w:lang w:val="en-GB"/>
        </w:rPr>
        <w:t>s:</w:t>
      </w:r>
    </w:p>
    <w:p w14:paraId="04E09646" w14:textId="040462C0" w:rsidR="00761E8A" w:rsidRDefault="00857D45" w:rsidP="00761E8A">
      <w:pPr>
        <w:pStyle w:val="ListParagraph"/>
        <w:numPr>
          <w:ilvl w:val="0"/>
          <w:numId w:val="16"/>
        </w:numPr>
        <w:rPr>
          <w:lang w:val="en-GB"/>
        </w:rPr>
      </w:pPr>
      <w:r>
        <w:rPr>
          <w:lang w:val="en-GB"/>
        </w:rPr>
        <w:t>A</w:t>
      </w:r>
      <w:r w:rsidR="00997750">
        <w:rPr>
          <w:lang w:val="en-GB"/>
        </w:rPr>
        <w:t xml:space="preserve">ssay correction factors were obtained from reference </w:t>
      </w:r>
      <w:r w:rsidR="00433FDE">
        <w:rPr>
          <w:rFonts w:cstheme="minorHAnsi"/>
          <w:szCs w:val="22"/>
          <w:lang w:val="en-GB"/>
        </w:rPr>
        <w:fldChar w:fldCharType="begin" w:fldLock="1"/>
      </w:r>
      <w:r w:rsidR="00433FDE">
        <w:rPr>
          <w:rFonts w:cstheme="minorHAnsi"/>
          <w:szCs w:val="22"/>
          <w:lang w:val="en-GB"/>
        </w:rPr>
        <w:instrText>ADDIN CSL_CITATION {"citationItems":[{"id":"ITEM-1","itemData":{"DOI":"10.1111/NYAS.13963","ISSN":"1749-6632","PMID":"30239016","abstract":"Inadequate folate status in women of reproductive age (WRA) can lead to adverse health consequences of public health significance, such as megaloblastic anemia (folate deficiency) and an increased risk of neural tube defect (NTD)-affected pregnancies (folate insufficiency). Our review aims to evaluate current data on folate status of WRA. We queried eight databases and the World Health Organization Micronutrients Database, identifying 45 relevant surveys conducted between 2000 and 2014 in 39 countries. Several types of folate assays were used in the analysis of blood folate, and many surveys used folate cutoffs not matched to the assay. To allow better comparisons across surveys, we attempted to account for these differences. The prevalence of folate deficiency was &gt;20% in many countries with lower income economies but was typically &lt;5% in countries with higher income economies. Only 11 surveys reported the prevalence of folate insufficiency, which was &gt;40% in most countries. Overall, folate status data for WRA globally are limited and must be carefully interpreted due to methodological issues. Future surveys would benefit from using the microbiologic assay to assess folate status, along with assay-matched cutoffs to improve monitoring and evaluation of folic acid interventions, thus informing global efforts to prevent NTDs.","author":[{"dropping-particle":"","family":"Rogers","given":"Lisa M.","non-dropping-particle":"","parse-names":false,"suffix":""},{"dropping-particle":"","family":"Cordero","given":"Amy M.","non-dropping-particle":"","parse-names":false,"suffix":""},{"dropping-particle":"","family":"Pfeiffer","given":"Christine M.","non-dropping-particle":"","parse-names":false,"suffix":""},{"dropping-particle":"","family":"Hausman","given":"Dorothy B.","non-dropping-particle":"","parse-names":false,"suffix":""},{"dropping-particle":"","family":"Tsang","given":"Becky L.","non-dropping-particle":"","parse-names":false,"suffix":""},{"dropping-particle":"","family":"De-Regil","given":"Luz María","non-dropping-particle":"","parse-names":false,"suffix":""},{"dropping-particle":"","family":"Rosenthal","given":"Jorge","non-dropping-particle":"","parse-names":false,"suffix":""},{"dropping-particle":"","family":"Razzaghi","given":"Hilda","non-dropping-particle":"","parse-names":false,"suffix":""},{"dropping-particle":"","family":"Wong","given":"Eugene C.","non-dropping-particle":"","parse-names":false,"suffix":""},{"dropping-particle":"","family":"Weakland","given":"Aliki P.","non-dropping-particle":"","parse-names":false,"suffix":""},{"dropping-particle":"","family":"Bailey","given":"Lynn B.","non-dropping-particle":"","parse-names":false,"suffix":""}],"container-title":"Annals of the New York Academy of Sciences","id":"ITEM-1","issue":"1","issued":{"date-parts":[["2018"]]},"publisher":"Ann N Y Acad Sci","title":"Global folate status in women of reproductive age: a systematic review with emphasis on methodological issues","type":"article-journal","volume":"1431"},"uris":["http://www.mendeley.com/documents/?uuid=a584ba0e-1383-3dcb-a468-667e4dba6c2d"]}],"mendeley":{"formattedCitation":"(6)","plainTextFormattedCitation":"(6)","previouslyFormattedCitation":"(6)"},"properties":{"noteIndex":0},"schema":"https://github.com/citation-style-language/schema/raw/master/csl-citation.json"}</w:instrText>
      </w:r>
      <w:r w:rsidR="00433FDE">
        <w:rPr>
          <w:rFonts w:cstheme="minorHAnsi"/>
          <w:szCs w:val="22"/>
          <w:lang w:val="en-GB"/>
        </w:rPr>
        <w:fldChar w:fldCharType="separate"/>
      </w:r>
      <w:r w:rsidR="00433FDE" w:rsidRPr="00DD18E5">
        <w:rPr>
          <w:rFonts w:cstheme="minorHAnsi"/>
          <w:noProof/>
          <w:szCs w:val="22"/>
          <w:lang w:val="en-GB"/>
        </w:rPr>
        <w:t>(6)</w:t>
      </w:r>
      <w:r w:rsidR="00433FDE">
        <w:rPr>
          <w:rFonts w:cstheme="minorHAnsi"/>
          <w:szCs w:val="22"/>
          <w:lang w:val="en-GB"/>
        </w:rPr>
        <w:fldChar w:fldCharType="end"/>
      </w:r>
      <w:r w:rsidR="00997750">
        <w:rPr>
          <w:lang w:val="en-GB"/>
        </w:rPr>
        <w:t>, Tables 2-5</w:t>
      </w:r>
      <w:r>
        <w:rPr>
          <w:lang w:val="en-GB"/>
        </w:rPr>
        <w:t>, if the survey was included</w:t>
      </w:r>
      <w:r w:rsidR="00997750">
        <w:rPr>
          <w:lang w:val="en-GB"/>
        </w:rPr>
        <w:t xml:space="preserve">.  For remaining </w:t>
      </w:r>
      <w:r w:rsidR="00AE3FC3">
        <w:rPr>
          <w:lang w:val="en-GB"/>
        </w:rPr>
        <w:t xml:space="preserve">surveys, </w:t>
      </w:r>
      <w:r w:rsidR="00433FDE">
        <w:rPr>
          <w:rFonts w:cstheme="minorHAnsi"/>
          <w:szCs w:val="22"/>
          <w:lang w:val="en-GB"/>
        </w:rPr>
        <w:t>correction factors were provided by the US CDC.</w:t>
      </w:r>
    </w:p>
    <w:p w14:paraId="4171674A" w14:textId="689DB2C8" w:rsidR="006D06E1" w:rsidRPr="00761E8A" w:rsidRDefault="00761E8A" w:rsidP="00761E8A">
      <w:pPr>
        <w:pStyle w:val="ListParagraph"/>
        <w:numPr>
          <w:ilvl w:val="0"/>
          <w:numId w:val="16"/>
        </w:numPr>
        <w:rPr>
          <w:lang w:val="en-GB"/>
        </w:rPr>
      </w:pPr>
      <w:r>
        <w:rPr>
          <w:lang w:val="en-GB"/>
        </w:rPr>
        <w:t>F</w:t>
      </w:r>
      <w:r w:rsidR="03C7B32C" w:rsidRPr="00761E8A">
        <w:rPr>
          <w:lang w:val="en-GB"/>
        </w:rPr>
        <w:t xml:space="preserve">olate deficiency was </w:t>
      </w:r>
      <w:proofErr w:type="gramStart"/>
      <w:r w:rsidR="03C7B32C" w:rsidRPr="00761E8A">
        <w:rPr>
          <w:lang w:val="en-GB"/>
        </w:rPr>
        <w:t>measured,</w:t>
      </w:r>
      <w:proofErr w:type="gramEnd"/>
      <w:r w:rsidR="03C7B32C" w:rsidRPr="00761E8A">
        <w:rPr>
          <w:lang w:val="en-GB"/>
        </w:rPr>
        <w:t xml:space="preserve"> however, folate was measured in a subsample that did not overlap with zinc and ferritin measurements.</w:t>
      </w:r>
    </w:p>
    <w:p w14:paraId="343B176F" w14:textId="77777777" w:rsidR="00275671" w:rsidRDefault="00275671">
      <w:pPr>
        <w:spacing w:after="200" w:line="276" w:lineRule="auto"/>
        <w:rPr>
          <w:rStyle w:val="Heading3Char"/>
          <w:rFonts w:cstheme="minorHAnsi"/>
        </w:rPr>
      </w:pPr>
      <w:r>
        <w:rPr>
          <w:rStyle w:val="Heading3Char"/>
          <w:rFonts w:cstheme="minorHAnsi"/>
        </w:rPr>
        <w:br w:type="page"/>
      </w:r>
    </w:p>
    <w:p w14:paraId="0CC88C01" w14:textId="77777777" w:rsidR="00EB0A29" w:rsidRPr="00A34060" w:rsidRDefault="00EB0A29" w:rsidP="006D06E1">
      <w:pPr>
        <w:rPr>
          <w:rFonts w:cstheme="minorHAnsi"/>
          <w:lang w:val="en-GB"/>
        </w:rPr>
      </w:pPr>
    </w:p>
    <w:p w14:paraId="6D5B7CB2" w14:textId="2FF11643" w:rsidR="006D06E1" w:rsidRPr="00A34060" w:rsidRDefault="03C7B32C" w:rsidP="03C7B32C">
      <w:pPr>
        <w:rPr>
          <w:rFonts w:cstheme="minorBidi"/>
          <w:lang w:val="en-GB"/>
        </w:rPr>
      </w:pPr>
      <w:bookmarkStart w:id="14" w:name="_Toc94512114"/>
      <w:r w:rsidRPr="03C7B32C">
        <w:rPr>
          <w:rStyle w:val="Heading3Char"/>
          <w:rFonts w:cstheme="minorBidi"/>
        </w:rPr>
        <w:t>Appendix Figure 3. Geographic distribution of included data sources</w:t>
      </w:r>
      <w:bookmarkEnd w:id="14"/>
      <w:r w:rsidRPr="03C7B32C">
        <w:rPr>
          <w:rFonts w:eastAsiaTheme="majorEastAsia"/>
        </w:rPr>
        <w:t>. Two data sources on non-pregnant women and three data sources on pre-school aged children were obtained from Mexico; all other countries contributed no more than one data source per demographic group.</w:t>
      </w:r>
    </w:p>
    <w:p w14:paraId="459184A4" w14:textId="7A9A53DA" w:rsidR="006D06E1" w:rsidRPr="00A34060" w:rsidRDefault="006D06E1" w:rsidP="006D06E1">
      <w:pPr>
        <w:rPr>
          <w:rFonts w:cstheme="minorHAnsi"/>
          <w:lang w:val="en-GB"/>
        </w:rPr>
      </w:pPr>
    </w:p>
    <w:p w14:paraId="728BBB33" w14:textId="6FF5861D" w:rsidR="006D06E1" w:rsidRPr="00A34060" w:rsidRDefault="00150CDB" w:rsidP="006D06E1">
      <w:pPr>
        <w:rPr>
          <w:rFonts w:cstheme="minorHAnsi"/>
          <w:lang w:val="en-GB"/>
        </w:rPr>
        <w:sectPr w:rsidR="006D06E1" w:rsidRPr="00A34060" w:rsidSect="006D06E1">
          <w:pgSz w:w="16838" w:h="11906" w:orient="landscape"/>
          <w:pgMar w:top="1080" w:right="1440" w:bottom="1080" w:left="1440" w:header="708" w:footer="708" w:gutter="0"/>
          <w:cols w:space="708"/>
          <w:titlePg/>
          <w:docGrid w:linePitch="360"/>
        </w:sectPr>
      </w:pPr>
      <w:r w:rsidRPr="00150CDB">
        <w:rPr>
          <w:rFonts w:cstheme="minorHAnsi"/>
          <w:noProof/>
          <w:lang w:eastAsia="en-US"/>
        </w:rPr>
        <w:drawing>
          <wp:anchor distT="0" distB="0" distL="114300" distR="114300" simplePos="0" relativeHeight="251658241" behindDoc="0" locked="0" layoutInCell="1" allowOverlap="1" wp14:anchorId="3926ED7D" wp14:editId="09D83179">
            <wp:simplePos x="0" y="0"/>
            <wp:positionH relativeFrom="column">
              <wp:posOffset>0</wp:posOffset>
            </wp:positionH>
            <wp:positionV relativeFrom="paragraph">
              <wp:posOffset>-255905</wp:posOffset>
            </wp:positionV>
            <wp:extent cx="8863330" cy="4490720"/>
            <wp:effectExtent l="0" t="0" r="0" b="5080"/>
            <wp:wrapNone/>
            <wp:docPr id="5" name="Content Placeholder 4" descr="Map&#10;&#10;Description automatically generated">
              <a:extLst xmlns:a="http://schemas.openxmlformats.org/drawingml/2006/main">
                <a:ext uri="{FF2B5EF4-FFF2-40B4-BE49-F238E27FC236}">
                  <a16:creationId xmlns:a16="http://schemas.microsoft.com/office/drawing/2014/main" id="{E3218E19-8830-431C-B172-B1936AB4329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Map&#10;&#10;Description automatically generated">
                      <a:extLst>
                        <a:ext uri="{FF2B5EF4-FFF2-40B4-BE49-F238E27FC236}">
                          <a16:creationId xmlns:a16="http://schemas.microsoft.com/office/drawing/2014/main" id="{E3218E19-8830-431C-B172-B1936AB4329F}"/>
                        </a:ext>
                      </a:extLst>
                    </pic:cNvPr>
                    <pic:cNvPicPr>
                      <a:picLocks noGrp="1" noChangeAspect="1"/>
                    </pic:cNvPicPr>
                  </pic:nvPicPr>
                  <pic:blipFill>
                    <a:blip r:embed="rId20"/>
                    <a:stretch>
                      <a:fillRect/>
                    </a:stretch>
                  </pic:blipFill>
                  <pic:spPr>
                    <a:xfrm>
                      <a:off x="0" y="0"/>
                      <a:ext cx="8863330" cy="4490720"/>
                    </a:xfrm>
                    <a:prstGeom prst="rect">
                      <a:avLst/>
                    </a:prstGeom>
                  </pic:spPr>
                </pic:pic>
              </a:graphicData>
            </a:graphic>
          </wp:anchor>
        </w:drawing>
      </w:r>
      <w:r w:rsidRPr="00150CDB">
        <w:rPr>
          <w:rFonts w:cstheme="minorHAnsi"/>
          <w:noProof/>
          <w:lang w:eastAsia="en-US"/>
        </w:rPr>
        <w:drawing>
          <wp:anchor distT="0" distB="0" distL="114300" distR="114300" simplePos="0" relativeHeight="251658242" behindDoc="0" locked="0" layoutInCell="1" allowOverlap="1" wp14:anchorId="12C9BADC" wp14:editId="45EE9EE9">
            <wp:simplePos x="0" y="0"/>
            <wp:positionH relativeFrom="column">
              <wp:posOffset>5598160</wp:posOffset>
            </wp:positionH>
            <wp:positionV relativeFrom="paragraph">
              <wp:posOffset>3689985</wp:posOffset>
            </wp:positionV>
            <wp:extent cx="2619972" cy="930591"/>
            <wp:effectExtent l="0" t="0" r="0" b="3175"/>
            <wp:wrapNone/>
            <wp:docPr id="7" name="Picture 6" descr="Text&#10;&#10;Description automatically generated with medium confidence">
              <a:extLst xmlns:a="http://schemas.openxmlformats.org/drawingml/2006/main">
                <a:ext uri="{FF2B5EF4-FFF2-40B4-BE49-F238E27FC236}">
                  <a16:creationId xmlns:a16="http://schemas.microsoft.com/office/drawing/2014/main" id="{80DE1B66-BAFF-4B13-8013-9544530E82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Text&#10;&#10;Description automatically generated with medium confidence">
                      <a:extLst>
                        <a:ext uri="{FF2B5EF4-FFF2-40B4-BE49-F238E27FC236}">
                          <a16:creationId xmlns:a16="http://schemas.microsoft.com/office/drawing/2014/main" id="{80DE1B66-BAFF-4B13-8013-9544530E8281}"/>
                        </a:ext>
                      </a:extLst>
                    </pic:cNvPr>
                    <pic:cNvPicPr>
                      <a:picLocks noChangeAspect="1"/>
                    </pic:cNvPicPr>
                  </pic:nvPicPr>
                  <pic:blipFill>
                    <a:blip r:embed="rId21"/>
                    <a:stretch>
                      <a:fillRect/>
                    </a:stretch>
                  </pic:blipFill>
                  <pic:spPr>
                    <a:xfrm>
                      <a:off x="0" y="0"/>
                      <a:ext cx="2619972" cy="930591"/>
                    </a:xfrm>
                    <a:prstGeom prst="rect">
                      <a:avLst/>
                    </a:prstGeom>
                  </pic:spPr>
                </pic:pic>
              </a:graphicData>
            </a:graphic>
          </wp:anchor>
        </w:drawing>
      </w:r>
    </w:p>
    <w:p w14:paraId="0D8FCEF4" w14:textId="7EFE0827" w:rsidR="006D06E1" w:rsidRPr="00A34060" w:rsidRDefault="006D06E1" w:rsidP="006D06E1">
      <w:pPr>
        <w:rPr>
          <w:rFonts w:cstheme="minorHAnsi"/>
          <w:lang w:val="en-GB"/>
        </w:rPr>
      </w:pPr>
    </w:p>
    <w:p w14:paraId="694E0501" w14:textId="3FE6C3FB" w:rsidR="009C5E0D" w:rsidRPr="00A34060" w:rsidRDefault="03C7B32C" w:rsidP="009C5E0D">
      <w:pPr>
        <w:pStyle w:val="Heading1"/>
        <w:rPr>
          <w:lang w:val="en-GB"/>
        </w:rPr>
      </w:pPr>
      <w:bookmarkStart w:id="15" w:name="_Toc94512115"/>
      <w:r w:rsidRPr="03C7B32C">
        <w:rPr>
          <w:lang w:val="en-GB"/>
        </w:rPr>
        <w:t>6. Methods for estimating prevalence of unmeasured deficiencies</w:t>
      </w:r>
      <w:bookmarkEnd w:id="15"/>
    </w:p>
    <w:p w14:paraId="3AD257DE" w14:textId="0614D612" w:rsidR="003821C2" w:rsidRPr="00A34060" w:rsidRDefault="14402C93" w:rsidP="14402C93">
      <w:pPr>
        <w:autoSpaceDE w:val="0"/>
        <w:autoSpaceDN w:val="0"/>
        <w:adjustRightInd w:val="0"/>
        <w:rPr>
          <w:rFonts w:cstheme="minorBidi"/>
          <w:lang w:val="en-GB"/>
        </w:rPr>
      </w:pPr>
      <w:r w:rsidRPr="14402C93">
        <w:rPr>
          <w:rFonts w:cstheme="minorBidi"/>
          <w:lang w:val="en-GB"/>
        </w:rPr>
        <w:t xml:space="preserve">As discussed in Section 5, all data sources that measured at least two of three core micronutrients were included. Serum ferritin and at least one marker of inflammation were measured in all included datasets for both population groups (non-pregnant women and preschool aged children). Other core micronutrients were not measured in some datasets. In order to make use of these datasets, we estimated the prevalence of all three deficiencies in these datasets. We initially aimed to do so by computing a correction factor for each of four country income groups, however, there were less than two data sources measuring all three core micronutrients in some country income-population groups. Therefore, we fit regressions with socio-demographic index (SDI) as a country-and-year-level covariate. SDI is a composite index of educational attainment, fertility levels, and gross national income per capita, which reflects a country’s development level </w:t>
      </w:r>
      <w:r w:rsidR="00E67B51" w:rsidRPr="14402C93">
        <w:rPr>
          <w:rFonts w:cstheme="minorBidi"/>
          <w:lang w:val="en-GB"/>
        </w:rPr>
        <w:fldChar w:fldCharType="begin" w:fldLock="1"/>
      </w:r>
      <w:r w:rsidR="00BB7850">
        <w:rPr>
          <w:rFonts w:cstheme="minorBidi"/>
          <w:lang w:val="en-GB"/>
        </w:rPr>
        <w:instrText>ADDIN CSL_CITATION {"citationItems":[{"id":"ITEM-1","itemData":{"author":[{"dropping-particle":"","family":"Global Burden of Disease Collaborative Network","given":"","non-dropping-particle":"","parse-names":false,"suffix":""}],"id":"ITEM-1","issued":{"date-parts":[["2020"]]},"publisher":"Institute for Health Metrics and Evaluation","publisher-place":"Seattle","title":"Global Burden of Disease 2019 (GBD 2019) Covariates 1980-2019","type":"article"},"uris":["http://www.mendeley.com/documents/?uuid=33c3363a-73d8-4e40-9d11-46f690df1dd0"]}],"mendeley":{"formattedCitation":"(16)","plainTextFormattedCitation":"(16)","previouslyFormattedCitation":"(16)"},"properties":{"noteIndex":0},"schema":"https://github.com/citation-style-language/schema/raw/master/csl-citation.json"}</w:instrText>
      </w:r>
      <w:r w:rsidR="00E67B51" w:rsidRPr="14402C93">
        <w:rPr>
          <w:rFonts w:cstheme="minorBidi"/>
          <w:lang w:val="en-GB"/>
        </w:rPr>
        <w:fldChar w:fldCharType="separate"/>
      </w:r>
      <w:r w:rsidR="00AD4523" w:rsidRPr="00AD4523">
        <w:rPr>
          <w:rFonts w:cstheme="minorBidi"/>
          <w:noProof/>
          <w:lang w:val="en-GB"/>
        </w:rPr>
        <w:t>(16)</w:t>
      </w:r>
      <w:r w:rsidR="00E67B51" w:rsidRPr="14402C93">
        <w:rPr>
          <w:rFonts w:cstheme="minorBidi"/>
          <w:lang w:val="en-GB"/>
        </w:rPr>
        <w:fldChar w:fldCharType="end"/>
      </w:r>
      <w:r w:rsidRPr="14402C93">
        <w:rPr>
          <w:rFonts w:cstheme="minorBidi"/>
          <w:lang w:val="en-GB"/>
        </w:rPr>
        <w:t>. We also tested the inclusion of the prevalence of the two measured core deficiencies as a study-level covariate, but it did not improve</w:t>
      </w:r>
      <w:r w:rsidR="00713BAF">
        <w:rPr>
          <w:rFonts w:cstheme="minorBidi"/>
          <w:lang w:val="en-GB"/>
        </w:rPr>
        <w:t xml:space="preserve"> Akaike information criterion</w:t>
      </w:r>
      <w:r w:rsidRPr="14402C93">
        <w:rPr>
          <w:rFonts w:cstheme="minorBidi"/>
          <w:lang w:val="en-GB"/>
        </w:rPr>
        <w:t xml:space="preserve"> </w:t>
      </w:r>
      <w:r w:rsidR="00713BAF">
        <w:rPr>
          <w:rFonts w:cstheme="minorBidi"/>
          <w:lang w:val="en-GB"/>
        </w:rPr>
        <w:t>(</w:t>
      </w:r>
      <w:r w:rsidRPr="14402C93">
        <w:rPr>
          <w:rFonts w:cstheme="minorBidi"/>
          <w:lang w:val="en-GB"/>
        </w:rPr>
        <w:t>AIC</w:t>
      </w:r>
      <w:r w:rsidR="00713BAF">
        <w:rPr>
          <w:rFonts w:cstheme="minorBidi"/>
          <w:lang w:val="en-GB"/>
        </w:rPr>
        <w:t>)</w:t>
      </w:r>
      <w:r w:rsidRPr="14402C93">
        <w:rPr>
          <w:rFonts w:cstheme="minorBidi"/>
          <w:lang w:val="en-GB"/>
        </w:rPr>
        <w:t xml:space="preserve"> for any regression.  Finally, we tested several measures of micronutrient availability in diet as country-level covariates </w:t>
      </w:r>
      <w:r w:rsidR="00E67B51" w:rsidRPr="14402C93">
        <w:rPr>
          <w:rFonts w:cstheme="minorBidi"/>
          <w:lang w:val="en-GB"/>
        </w:rPr>
        <w:fldChar w:fldCharType="begin" w:fldLock="1"/>
      </w:r>
      <w:r w:rsidR="00BB7850">
        <w:rPr>
          <w:rFonts w:cstheme="minorBidi"/>
          <w:lang w:val="en-GB"/>
        </w:rPr>
        <w:instrText>ADDIN CSL_CITATION {"citationItems":[{"id":"ITEM-1","itemData":{"DOI":"10.1371/JOURNAL.PONE.0175554","ISSN":"1932-6203","abstract":"Understanding dietary patterns is vital to reducing the number of people experiencing hunger (about 795 million), micronutrient deficiencies (2 billion), and overweight or obesity (2.1 billion). We characterize global trends in dietary quality by estimating micronutrient density of the food supply, prevalence of inadequate intake of 14 micronutrients, and average prevalence of inadequate intake of these micronutrients for all countries between 1961 and 2011. Over this 50-year period, the estimated prevalence of inadequate intakes of micronutrients has declined in all regions due to increased total production of food and/or micronutrient density. This decline has been particularly strong in East and Southeast Asia and weaker in South Asia and sub-Saharan Africa. Sub-Saharan Africa is the only region where dietary micronutrient density has declined over this 50-year period. At the global level, micronutrients with the lowest levels of adequate estimated intake are calcium, iron, vitamin A, and zinc, but there are strong differences between countries and regions. Fortification has reduced the estimated prevalence of inadequate micronutrient intakes in all low-income regions, except South Asia. The food supply in many countries is still far below energy requirements, which suggests a need to increase the availability and accessibility of nutritious foods. Countries where the food energy supply is adequate show a very large variation in dietary quality, and in many of these countries people would benefit from more diverse diets with a greater proportion of micronutrient-dense foods. Dietary quality can be improved through fortification, biofortification, and agricultural diversification, as well as efforts to improve access to and use of micronutrient-dense foods and nutritional knowledge. Reducing poverty and increasing education, especially of women, are integral to sustainably addressing malnutrition.","author":[{"dropping-particle":"","family":"Beal","given":"Ty","non-dropping-particle":"","parse-names":false,"suffix":""},{"dropping-particle":"","family":"Massiot","given":"Eric","non-dropping-particle":"","parse-names":false,"suffix":""},{"dropping-particle":"","family":"Arsenault","given":"Joanne E.","non-dropping-particle":"","parse-names":false,"suffix":""},{"dropping-particle":"","family":"Smith","given":"Matthew R.","non-dropping-particle":"","parse-names":false,"suffix":""},{"dropping-particle":"","family":"Hijmans","given":"Robert J.","non-dropping-particle":"","parse-names":false,"suffix":""}],"container-title":"PLOS ONE","id":"ITEM-1","issue":"4","issued":{"date-parts":[["2017","4","1"]]},"page":"e0175554","publisher":"Public Library of Science","title":"Global trends in dietary micronutrient supplies and estimated prevalence of inadequate intakes","type":"article-journal","volume":"12"},"uris":["http://www.mendeley.com/documents/?uuid=cc73bdb1-2301-3ba7-9a37-546c183a7f16"]}],"mendeley":{"formattedCitation":"(17)","plainTextFormattedCitation":"(17)","previouslyFormattedCitation":"(17)"},"properties":{"noteIndex":0},"schema":"https://github.com/citation-style-language/schema/raw/master/csl-citation.json"}</w:instrText>
      </w:r>
      <w:r w:rsidR="00E67B51" w:rsidRPr="14402C93">
        <w:rPr>
          <w:rFonts w:cstheme="minorBidi"/>
          <w:lang w:val="en-GB"/>
        </w:rPr>
        <w:fldChar w:fldCharType="separate"/>
      </w:r>
      <w:r w:rsidR="00AD4523" w:rsidRPr="00AD4523">
        <w:rPr>
          <w:rFonts w:cstheme="minorBidi"/>
          <w:noProof/>
          <w:lang w:val="en-GB"/>
        </w:rPr>
        <w:t>(17)</w:t>
      </w:r>
      <w:r w:rsidR="00E67B51" w:rsidRPr="14402C93">
        <w:rPr>
          <w:rFonts w:cstheme="minorBidi"/>
          <w:lang w:val="en-GB"/>
        </w:rPr>
        <w:fldChar w:fldCharType="end"/>
      </w:r>
      <w:r w:rsidRPr="14402C93">
        <w:rPr>
          <w:rFonts w:cstheme="minorBidi"/>
          <w:lang w:val="en-GB"/>
        </w:rPr>
        <w:t>, but found that either they did not improve model fit or fitted coefficients were implausible</w:t>
      </w:r>
      <w:r w:rsidR="00713BAF">
        <w:rPr>
          <w:rFonts w:cstheme="minorBidi"/>
          <w:lang w:val="en-GB"/>
        </w:rPr>
        <w:t xml:space="preserve">, </w:t>
      </w:r>
      <w:r w:rsidR="00F050F1">
        <w:rPr>
          <w:rFonts w:cstheme="minorBidi"/>
          <w:i/>
          <w:iCs/>
          <w:lang w:val="en-GB"/>
        </w:rPr>
        <w:t>i.e</w:t>
      </w:r>
      <w:r w:rsidR="00713BAF">
        <w:rPr>
          <w:rFonts w:cstheme="minorBidi"/>
          <w:i/>
          <w:iCs/>
          <w:lang w:val="en-GB"/>
        </w:rPr>
        <w:t>.</w:t>
      </w:r>
      <w:r w:rsidR="00713BAF">
        <w:rPr>
          <w:rFonts w:cstheme="minorBidi"/>
          <w:lang w:val="en-GB"/>
        </w:rPr>
        <w:t xml:space="preserve">, higher </w:t>
      </w:r>
      <w:r w:rsidR="00F050F1">
        <w:rPr>
          <w:rFonts w:cstheme="minorBidi"/>
          <w:lang w:val="en-GB"/>
        </w:rPr>
        <w:t>dietary availability was associated with higher prevalence of deficiency</w:t>
      </w:r>
      <w:r w:rsidRPr="14402C93">
        <w:rPr>
          <w:rFonts w:cstheme="minorBidi"/>
          <w:lang w:val="en-GB"/>
        </w:rPr>
        <w:t xml:space="preserve">. The regression took the following form: </w:t>
      </w:r>
    </w:p>
    <w:p w14:paraId="210A29FD" w14:textId="77777777" w:rsidR="00762B69" w:rsidRPr="00A34060" w:rsidRDefault="00803D0F" w:rsidP="00C02108">
      <w:pPr>
        <w:autoSpaceDE w:val="0"/>
        <w:autoSpaceDN w:val="0"/>
        <w:adjustRightInd w:val="0"/>
        <w:ind w:firstLine="720"/>
        <w:rPr>
          <w:rFonts w:cstheme="minorHAnsi"/>
          <w:szCs w:val="24"/>
          <w:lang w:val="en-GB"/>
        </w:rPr>
      </w:pPr>
      <m:oMath>
        <m:sSub>
          <m:sSubPr>
            <m:ctrlPr>
              <w:rPr>
                <w:rFonts w:ascii="Cambria Math" w:eastAsiaTheme="minorEastAsia" w:hAnsi="Cambria Math" w:cstheme="minorHAnsi"/>
                <w:i/>
                <w:iCs/>
                <w:color w:val="000000" w:themeColor="text1"/>
                <w:kern w:val="24"/>
                <w:szCs w:val="24"/>
              </w:rPr>
            </m:ctrlPr>
          </m:sSubPr>
          <m:e>
            <m:r>
              <w:rPr>
                <w:rFonts w:ascii="Cambria Math" w:eastAsia="Cambria Math" w:hAnsi="Cambria Math" w:cstheme="minorHAnsi"/>
                <w:color w:val="000000" w:themeColor="text1"/>
                <w:kern w:val="24"/>
                <w:szCs w:val="24"/>
              </w:rPr>
              <m:t>y</m:t>
            </m:r>
          </m:e>
          <m:sub>
            <m:r>
              <w:rPr>
                <w:rFonts w:ascii="Cambria Math" w:eastAsia="Cambria Math" w:hAnsi="Cambria Math" w:cstheme="minorHAnsi"/>
                <w:color w:val="000000" w:themeColor="text1"/>
                <w:kern w:val="24"/>
                <w:szCs w:val="24"/>
              </w:rPr>
              <m:t>i</m:t>
            </m:r>
          </m:sub>
        </m:sSub>
        <m:r>
          <w:rPr>
            <w:rFonts w:ascii="Cambria Math" w:eastAsia="Cambria Math" w:hAnsi="Cambria Math" w:cstheme="minorHAnsi"/>
            <w:color w:val="000000" w:themeColor="text1"/>
            <w:kern w:val="24"/>
            <w:szCs w:val="24"/>
          </w:rPr>
          <m:t> ~Binomial</m:t>
        </m:r>
        <m:d>
          <m:dPr>
            <m:ctrlPr>
              <w:rPr>
                <w:rFonts w:ascii="Cambria Math" w:eastAsia="Cambria Math" w:hAnsi="Cambria Math" w:cstheme="minorHAnsi"/>
                <w:i/>
                <w:iCs/>
                <w:color w:val="000000" w:themeColor="text1"/>
                <w:kern w:val="24"/>
                <w:szCs w:val="24"/>
              </w:rPr>
            </m:ctrlPr>
          </m:dPr>
          <m:e>
            <m:sSub>
              <m:sSubPr>
                <m:ctrlPr>
                  <w:rPr>
                    <w:rFonts w:ascii="Cambria Math" w:eastAsia="Cambria Math" w:hAnsi="Cambria Math" w:cstheme="minorHAnsi"/>
                    <w:i/>
                    <w:iCs/>
                    <w:color w:val="000000" w:themeColor="text1"/>
                    <w:kern w:val="24"/>
                    <w:szCs w:val="24"/>
                  </w:rPr>
                </m:ctrlPr>
              </m:sSubPr>
              <m:e>
                <m:r>
                  <w:rPr>
                    <w:rFonts w:ascii="Cambria Math" w:eastAsia="Cambria Math" w:hAnsi="Cambria Math" w:cstheme="minorHAnsi"/>
                    <w:color w:val="000000" w:themeColor="text1"/>
                    <w:kern w:val="24"/>
                    <w:szCs w:val="24"/>
                  </w:rPr>
                  <m:t>n</m:t>
                </m:r>
              </m:e>
              <m:sub>
                <m:r>
                  <w:rPr>
                    <w:rFonts w:ascii="Cambria Math" w:eastAsia="Cambria Math" w:hAnsi="Cambria Math" w:cstheme="minorHAnsi"/>
                    <w:color w:val="000000" w:themeColor="text1"/>
                    <w:kern w:val="24"/>
                    <w:szCs w:val="24"/>
                  </w:rPr>
                  <m:t>i</m:t>
                </m:r>
              </m:sub>
            </m:sSub>
            <m:r>
              <w:rPr>
                <w:rFonts w:ascii="Cambria Math" w:eastAsia="Cambria Math" w:hAnsi="Cambria Math" w:cstheme="minorHAnsi"/>
                <w:color w:val="000000" w:themeColor="text1"/>
                <w:kern w:val="24"/>
                <w:szCs w:val="24"/>
              </w:rPr>
              <m:t>,</m:t>
            </m:r>
            <m:sSub>
              <m:sSubPr>
                <m:ctrlPr>
                  <w:rPr>
                    <w:rFonts w:ascii="Cambria Math" w:eastAsia="Cambria Math" w:hAnsi="Cambria Math" w:cstheme="minorHAnsi"/>
                    <w:i/>
                    <w:iCs/>
                    <w:color w:val="000000" w:themeColor="text1"/>
                    <w:kern w:val="24"/>
                    <w:szCs w:val="24"/>
                  </w:rPr>
                </m:ctrlPr>
              </m:sSubPr>
              <m:e>
                <m:r>
                  <w:rPr>
                    <w:rFonts w:ascii="Cambria Math" w:eastAsia="Cambria Math" w:hAnsi="Cambria Math" w:cstheme="minorHAnsi"/>
                    <w:color w:val="000000" w:themeColor="text1"/>
                    <w:kern w:val="24"/>
                    <w:szCs w:val="24"/>
                  </w:rPr>
                  <m:t>π</m:t>
                </m:r>
              </m:e>
              <m:sub>
                <m:r>
                  <w:rPr>
                    <w:rFonts w:ascii="Cambria Math" w:eastAsia="Cambria Math" w:hAnsi="Cambria Math" w:cstheme="minorHAnsi"/>
                    <w:color w:val="000000" w:themeColor="text1"/>
                    <w:kern w:val="24"/>
                    <w:szCs w:val="24"/>
                  </w:rPr>
                  <m:t>i</m:t>
                </m:r>
              </m:sub>
            </m:sSub>
          </m:e>
        </m:d>
      </m:oMath>
      <w:r w:rsidR="00762B69" w:rsidRPr="00A34060">
        <w:rPr>
          <w:rFonts w:cstheme="minorHAnsi"/>
          <w:szCs w:val="24"/>
          <w:lang w:val="en-GB"/>
        </w:rPr>
        <w:t xml:space="preserve"> </w:t>
      </w:r>
      <w:r w:rsidR="00762B69" w:rsidRPr="00A34060">
        <w:rPr>
          <w:rFonts w:cstheme="minorHAnsi"/>
          <w:szCs w:val="24"/>
          <w:lang w:val="en-GB"/>
        </w:rPr>
        <w:tab/>
      </w:r>
    </w:p>
    <w:p w14:paraId="1C7B6BC6" w14:textId="1DF99366" w:rsidR="007F6D46" w:rsidRPr="00A34060" w:rsidRDefault="00803D0F" w:rsidP="00C02108">
      <w:pPr>
        <w:autoSpaceDE w:val="0"/>
        <w:autoSpaceDN w:val="0"/>
        <w:adjustRightInd w:val="0"/>
        <w:ind w:firstLine="720"/>
        <w:rPr>
          <w:rFonts w:cstheme="minorHAnsi"/>
          <w:szCs w:val="24"/>
          <w:lang w:val="en-GB"/>
        </w:rPr>
      </w:pPr>
      <m:oMath>
        <m:sSub>
          <m:sSubPr>
            <m:ctrlPr>
              <w:rPr>
                <w:rFonts w:ascii="Cambria Math" w:eastAsia="Cambria Math" w:hAnsi="Cambria Math" w:cstheme="minorHAnsi"/>
                <w:i/>
                <w:iCs/>
                <w:color w:val="000000" w:themeColor="text1"/>
                <w:kern w:val="24"/>
                <w:szCs w:val="24"/>
              </w:rPr>
            </m:ctrlPr>
          </m:sSubPr>
          <m:e>
            <m:r>
              <w:rPr>
                <w:rFonts w:ascii="Cambria Math" w:eastAsia="Cambria Math" w:hAnsi="Cambria Math" w:cstheme="minorHAnsi"/>
                <w:color w:val="000000" w:themeColor="text1"/>
                <w:kern w:val="24"/>
                <w:szCs w:val="24"/>
              </w:rPr>
              <m:t>π</m:t>
            </m:r>
            <m:ctrlPr>
              <w:rPr>
                <w:rFonts w:ascii="Cambria Math" w:eastAsia="Cambria Math" w:hAnsi="Cambria Math" w:cstheme="minorHAnsi"/>
                <w:iCs/>
                <w:color w:val="000000" w:themeColor="text1"/>
                <w:kern w:val="24"/>
                <w:szCs w:val="24"/>
              </w:rPr>
            </m:ctrlPr>
          </m:e>
          <m:sub>
            <m:r>
              <w:rPr>
                <w:rFonts w:ascii="Cambria Math" w:eastAsia="Cambria Math" w:hAnsi="Cambria Math" w:cstheme="minorHAnsi"/>
                <w:color w:val="000000" w:themeColor="text1"/>
                <w:kern w:val="24"/>
                <w:szCs w:val="24"/>
              </w:rPr>
              <m:t>i</m:t>
            </m:r>
          </m:sub>
        </m:sSub>
        <m:r>
          <w:rPr>
            <w:rFonts w:ascii="Cambria Math" w:eastAsia="Cambria Math" w:hAnsi="Cambria Math" w:cstheme="minorHAnsi"/>
            <w:color w:val="000000" w:themeColor="text1"/>
            <w:kern w:val="24"/>
            <w:szCs w:val="24"/>
          </w:rPr>
          <m:t>=logi</m:t>
        </m:r>
        <m:sSup>
          <m:sSupPr>
            <m:ctrlPr>
              <w:rPr>
                <w:rFonts w:ascii="Cambria Math" w:eastAsia="Cambria Math" w:hAnsi="Cambria Math" w:cstheme="minorHAnsi"/>
                <w:i/>
                <w:iCs/>
                <w:color w:val="000000" w:themeColor="text1"/>
                <w:kern w:val="24"/>
                <w:szCs w:val="24"/>
              </w:rPr>
            </m:ctrlPr>
          </m:sSupPr>
          <m:e>
            <m:r>
              <w:rPr>
                <w:rFonts w:ascii="Cambria Math" w:eastAsia="Cambria Math" w:hAnsi="Cambria Math" w:cstheme="minorHAnsi"/>
                <w:color w:val="000000" w:themeColor="text1"/>
                <w:kern w:val="24"/>
                <w:szCs w:val="24"/>
              </w:rPr>
              <m:t>t</m:t>
            </m:r>
          </m:e>
          <m:sup>
            <m:r>
              <w:rPr>
                <w:rFonts w:ascii="Cambria Math" w:eastAsia="Cambria Math" w:hAnsi="Cambria Math" w:cstheme="minorHAnsi"/>
                <w:color w:val="000000" w:themeColor="text1"/>
                <w:kern w:val="24"/>
                <w:szCs w:val="24"/>
              </w:rPr>
              <m:t>-1</m:t>
            </m:r>
          </m:sup>
        </m:sSup>
        <m:d>
          <m:dPr>
            <m:ctrlPr>
              <w:rPr>
                <w:rFonts w:ascii="Cambria Math" w:eastAsia="Cambria Math" w:hAnsi="Cambria Math" w:cstheme="minorHAnsi"/>
                <w:i/>
                <w:iCs/>
                <w:color w:val="000000" w:themeColor="text1"/>
                <w:kern w:val="24"/>
                <w:szCs w:val="24"/>
              </w:rPr>
            </m:ctrlPr>
          </m:dPr>
          <m:e>
            <m:r>
              <w:rPr>
                <w:rFonts w:ascii="Cambria Math" w:eastAsia="Cambria Math" w:hAnsi="Cambria Math" w:cstheme="minorHAnsi"/>
                <w:color w:val="000000" w:themeColor="text1"/>
                <w:kern w:val="24"/>
                <w:szCs w:val="24"/>
              </w:rPr>
              <m:t>μ+</m:t>
            </m:r>
            <m:sSub>
              <m:sSubPr>
                <m:ctrlPr>
                  <w:rPr>
                    <w:rFonts w:ascii="Cambria Math" w:eastAsia="Cambria Math" w:hAnsi="Cambria Math" w:cstheme="minorHAnsi"/>
                    <w:i/>
                    <w:iCs/>
                    <w:color w:val="000000" w:themeColor="text1"/>
                    <w:kern w:val="24"/>
                    <w:szCs w:val="24"/>
                  </w:rPr>
                </m:ctrlPr>
              </m:sSubPr>
              <m:e>
                <m:r>
                  <w:rPr>
                    <w:rFonts w:ascii="Cambria Math" w:eastAsia="Cambria Math" w:hAnsi="Cambria Math" w:cstheme="minorHAnsi"/>
                    <w:color w:val="000000" w:themeColor="text1"/>
                    <w:kern w:val="24"/>
                    <w:szCs w:val="24"/>
                  </w:rPr>
                  <m:t>X</m:t>
                </m:r>
              </m:e>
              <m:sub>
                <m:r>
                  <w:rPr>
                    <w:rFonts w:ascii="Cambria Math" w:eastAsia="Cambria Math" w:hAnsi="Cambria Math" w:cstheme="minorHAnsi"/>
                    <w:color w:val="000000" w:themeColor="text1"/>
                    <w:kern w:val="24"/>
                    <w:szCs w:val="24"/>
                  </w:rPr>
                  <m:t>i</m:t>
                </m:r>
              </m:sub>
            </m:sSub>
            <m:r>
              <w:rPr>
                <w:rFonts w:ascii="Cambria Math" w:eastAsia="Cambria Math" w:hAnsi="Cambria Math" w:cstheme="minorHAnsi"/>
                <w:color w:val="000000" w:themeColor="text1"/>
                <w:kern w:val="24"/>
                <w:szCs w:val="24"/>
              </w:rPr>
              <m:t>β</m:t>
            </m:r>
          </m:e>
        </m:d>
      </m:oMath>
      <w:r w:rsidR="00762B69" w:rsidRPr="00A34060">
        <w:rPr>
          <w:rFonts w:cstheme="minorHAnsi"/>
          <w:szCs w:val="24"/>
          <w:lang w:val="en-GB"/>
        </w:rPr>
        <w:tab/>
      </w:r>
      <w:r w:rsidR="00762B69" w:rsidRPr="00A34060">
        <w:rPr>
          <w:rFonts w:cstheme="minorHAnsi"/>
          <w:szCs w:val="24"/>
          <w:lang w:val="en-GB"/>
        </w:rPr>
        <w:tab/>
      </w:r>
      <w:r w:rsidR="00762B69" w:rsidRPr="00A34060">
        <w:rPr>
          <w:rFonts w:cstheme="minorHAnsi"/>
          <w:szCs w:val="24"/>
          <w:lang w:val="en-GB"/>
        </w:rPr>
        <w:tab/>
      </w:r>
      <w:r w:rsidR="00762B69" w:rsidRPr="00A34060">
        <w:rPr>
          <w:rFonts w:cstheme="minorHAnsi"/>
          <w:szCs w:val="24"/>
          <w:lang w:val="en-GB"/>
        </w:rPr>
        <w:tab/>
      </w:r>
    </w:p>
    <w:p w14:paraId="1DF9F7CC" w14:textId="5765DE37" w:rsidR="00775C16" w:rsidRPr="00A34060" w:rsidRDefault="00775C16" w:rsidP="00775C16">
      <w:pPr>
        <w:autoSpaceDE w:val="0"/>
        <w:autoSpaceDN w:val="0"/>
        <w:adjustRightInd w:val="0"/>
        <w:rPr>
          <w:rFonts w:cstheme="minorHAnsi"/>
          <w:szCs w:val="22"/>
        </w:rPr>
      </w:pPr>
      <w:r w:rsidRPr="00A34060">
        <w:rPr>
          <w:rFonts w:cstheme="minorHAnsi"/>
          <w:szCs w:val="22"/>
        </w:rPr>
        <w:t>Where:</w:t>
      </w:r>
    </w:p>
    <w:p w14:paraId="19A413D8" w14:textId="4F61B385" w:rsidR="00775C16" w:rsidRPr="00A34060" w:rsidRDefault="00803D0F" w:rsidP="00906A16">
      <w:pPr>
        <w:autoSpaceDE w:val="0"/>
        <w:autoSpaceDN w:val="0"/>
        <w:adjustRightInd w:val="0"/>
        <w:ind w:left="720" w:hanging="720"/>
        <w:rPr>
          <w:rFonts w:cstheme="minorHAnsi"/>
          <w:szCs w:val="22"/>
        </w:rPr>
      </w:pPr>
      <m:oMath>
        <m:sSub>
          <m:sSubPr>
            <m:ctrlPr>
              <w:rPr>
                <w:rFonts w:ascii="Cambria Math" w:hAnsi="Cambria Math" w:cstheme="minorHAnsi"/>
                <w:i/>
                <w:iCs/>
                <w:szCs w:val="22"/>
              </w:rPr>
            </m:ctrlPr>
          </m:sSubPr>
          <m:e>
            <m:r>
              <w:rPr>
                <w:rFonts w:ascii="Cambria Math" w:hAnsi="Cambria Math" w:cstheme="minorHAnsi"/>
                <w:szCs w:val="22"/>
              </w:rPr>
              <m:t>π</m:t>
            </m:r>
          </m:e>
          <m:sub>
            <m:r>
              <w:rPr>
                <w:rFonts w:ascii="Cambria Math" w:hAnsi="Cambria Math" w:cstheme="minorHAnsi"/>
                <w:szCs w:val="22"/>
              </w:rPr>
              <m:t>i</m:t>
            </m:r>
          </m:sub>
        </m:sSub>
      </m:oMath>
      <w:r w:rsidR="00775C16" w:rsidRPr="00A34060">
        <w:rPr>
          <w:rFonts w:cstheme="minorHAnsi"/>
          <w:szCs w:val="22"/>
        </w:rPr>
        <w:t xml:space="preserve"> </w:t>
      </w:r>
      <w:r w:rsidR="00775C16" w:rsidRPr="00A34060">
        <w:rPr>
          <w:rFonts w:cstheme="minorHAnsi"/>
          <w:szCs w:val="22"/>
        </w:rPr>
        <w:tab/>
      </w:r>
      <w:proofErr w:type="gramStart"/>
      <w:r w:rsidR="00775C16" w:rsidRPr="00A34060">
        <w:rPr>
          <w:rFonts w:cstheme="minorHAnsi"/>
          <w:szCs w:val="22"/>
        </w:rPr>
        <w:t>p(</w:t>
      </w:r>
      <w:proofErr w:type="gramEnd"/>
      <w:r w:rsidR="00057A8D" w:rsidRPr="00A34060">
        <w:rPr>
          <w:rFonts w:cstheme="minorHAnsi"/>
          <w:szCs w:val="22"/>
        </w:rPr>
        <w:t>d</w:t>
      </w:r>
      <w:r w:rsidR="00057A8D" w:rsidRPr="00A34060">
        <w:rPr>
          <w:rFonts w:cstheme="minorHAnsi"/>
          <w:szCs w:val="22"/>
          <w:vertAlign w:val="subscript"/>
        </w:rPr>
        <w:t>3</w:t>
      </w:r>
      <w:r w:rsidR="00775C16" w:rsidRPr="00A34060">
        <w:rPr>
          <w:rFonts w:cstheme="minorHAnsi"/>
          <w:szCs w:val="22"/>
        </w:rPr>
        <w:t>|</w:t>
      </w:r>
      <w:r w:rsidR="00057A8D" w:rsidRPr="00A34060">
        <w:rPr>
          <w:rFonts w:cstheme="minorHAnsi"/>
          <w:szCs w:val="22"/>
        </w:rPr>
        <w:t>no d</w:t>
      </w:r>
      <w:r w:rsidR="00057A8D" w:rsidRPr="00A34060">
        <w:rPr>
          <w:rFonts w:cstheme="minorHAnsi"/>
          <w:szCs w:val="22"/>
          <w:vertAlign w:val="subscript"/>
        </w:rPr>
        <w:t>1</w:t>
      </w:r>
      <w:r w:rsidR="00DD67B4" w:rsidRPr="00A34060">
        <w:rPr>
          <w:rFonts w:cstheme="minorHAnsi"/>
          <w:szCs w:val="22"/>
        </w:rPr>
        <w:t>,no d</w:t>
      </w:r>
      <w:r w:rsidR="00DD67B4" w:rsidRPr="00A34060">
        <w:rPr>
          <w:rFonts w:cstheme="minorHAnsi"/>
          <w:szCs w:val="22"/>
          <w:vertAlign w:val="subscript"/>
        </w:rPr>
        <w:t>2</w:t>
      </w:r>
      <w:r w:rsidR="00775C16" w:rsidRPr="00A34060">
        <w:rPr>
          <w:rFonts w:cstheme="minorHAnsi"/>
          <w:szCs w:val="22"/>
        </w:rPr>
        <w:t xml:space="preserve">) in survey </w:t>
      </w:r>
      <w:r w:rsidR="00DD67B4" w:rsidRPr="00A34060">
        <w:rPr>
          <w:rFonts w:cstheme="minorHAnsi"/>
          <w:szCs w:val="22"/>
        </w:rPr>
        <w:t>i, where</w:t>
      </w:r>
      <w:r w:rsidR="00906A16" w:rsidRPr="00A34060">
        <w:rPr>
          <w:rFonts w:cstheme="minorHAnsi"/>
          <w:szCs w:val="22"/>
        </w:rPr>
        <w:t xml:space="preserve"> d</w:t>
      </w:r>
      <w:r w:rsidR="00906A16" w:rsidRPr="00A34060">
        <w:rPr>
          <w:rFonts w:cstheme="minorHAnsi"/>
          <w:szCs w:val="22"/>
          <w:vertAlign w:val="subscript"/>
        </w:rPr>
        <w:t>1</w:t>
      </w:r>
      <w:r w:rsidR="00906A16" w:rsidRPr="00A34060">
        <w:rPr>
          <w:rFonts w:cstheme="minorHAnsi"/>
          <w:szCs w:val="22"/>
        </w:rPr>
        <w:t>, d</w:t>
      </w:r>
      <w:r w:rsidR="00906A16" w:rsidRPr="00A34060">
        <w:rPr>
          <w:rFonts w:cstheme="minorHAnsi"/>
          <w:szCs w:val="22"/>
          <w:vertAlign w:val="subscript"/>
        </w:rPr>
        <w:t>2</w:t>
      </w:r>
      <w:r w:rsidR="00906A16" w:rsidRPr="00A34060">
        <w:rPr>
          <w:rFonts w:cstheme="minorHAnsi"/>
          <w:szCs w:val="22"/>
        </w:rPr>
        <w:t xml:space="preserve"> are the measured deficienc</w:t>
      </w:r>
      <w:r w:rsidR="002E1D20" w:rsidRPr="00A34060">
        <w:rPr>
          <w:rFonts w:cstheme="minorHAnsi"/>
          <w:szCs w:val="22"/>
        </w:rPr>
        <w:t>ies</w:t>
      </w:r>
      <w:r w:rsidR="00906A16" w:rsidRPr="00A34060">
        <w:rPr>
          <w:rFonts w:cstheme="minorHAnsi"/>
          <w:szCs w:val="22"/>
        </w:rPr>
        <w:t xml:space="preserve"> and</w:t>
      </w:r>
      <w:r w:rsidR="00DD67B4" w:rsidRPr="00A34060">
        <w:rPr>
          <w:rFonts w:cstheme="minorHAnsi"/>
          <w:szCs w:val="22"/>
        </w:rPr>
        <w:t xml:space="preserve"> d</w:t>
      </w:r>
      <w:r w:rsidR="00DD67B4" w:rsidRPr="00A34060">
        <w:rPr>
          <w:rFonts w:cstheme="minorHAnsi"/>
          <w:szCs w:val="22"/>
          <w:vertAlign w:val="subscript"/>
        </w:rPr>
        <w:t>3</w:t>
      </w:r>
      <w:r w:rsidR="00DD67B4" w:rsidRPr="00A34060">
        <w:rPr>
          <w:rFonts w:cstheme="minorHAnsi"/>
          <w:szCs w:val="22"/>
        </w:rPr>
        <w:t xml:space="preserve"> is the unmeasured deficiency</w:t>
      </w:r>
    </w:p>
    <w:p w14:paraId="3297DE75" w14:textId="4135BCE4" w:rsidR="00325E3D" w:rsidRPr="00A34060" w:rsidRDefault="00803D0F" w:rsidP="00325E3D">
      <w:pPr>
        <w:autoSpaceDE w:val="0"/>
        <w:autoSpaceDN w:val="0"/>
        <w:adjustRightInd w:val="0"/>
        <w:rPr>
          <w:rFonts w:cstheme="minorHAnsi"/>
          <w:szCs w:val="22"/>
        </w:rPr>
      </w:pPr>
      <m:oMath>
        <m:sSub>
          <m:sSubPr>
            <m:ctrlPr>
              <w:rPr>
                <w:rFonts w:ascii="Cambria Math" w:hAnsi="Cambria Math" w:cstheme="minorHAnsi"/>
                <w:i/>
                <w:szCs w:val="22"/>
              </w:rPr>
            </m:ctrlPr>
          </m:sSubPr>
          <m:e>
            <m:r>
              <w:rPr>
                <w:rFonts w:ascii="Cambria Math" w:hAnsi="Cambria Math" w:cstheme="minorHAnsi"/>
                <w:szCs w:val="22"/>
              </w:rPr>
              <m:t>n</m:t>
            </m:r>
          </m:e>
          <m:sub>
            <m:r>
              <w:rPr>
                <w:rFonts w:ascii="Cambria Math" w:hAnsi="Cambria Math" w:cstheme="minorHAnsi"/>
                <w:szCs w:val="22"/>
              </w:rPr>
              <m:t>i</m:t>
            </m:r>
          </m:sub>
        </m:sSub>
      </m:oMath>
      <w:r w:rsidR="00325E3D" w:rsidRPr="00A34060">
        <w:rPr>
          <w:rFonts w:cstheme="minorHAnsi"/>
          <w:szCs w:val="22"/>
        </w:rPr>
        <w:tab/>
        <w:t>the effective sample size of π</w:t>
      </w:r>
      <w:r w:rsidR="00325E3D" w:rsidRPr="00A34060">
        <w:rPr>
          <w:rFonts w:cstheme="minorHAnsi"/>
          <w:szCs w:val="22"/>
          <w:vertAlign w:val="subscript"/>
        </w:rPr>
        <w:t>i</w:t>
      </w:r>
      <w:r w:rsidR="00325E3D" w:rsidRPr="00A34060">
        <w:rPr>
          <w:rFonts w:cstheme="minorHAnsi"/>
          <w:szCs w:val="22"/>
        </w:rPr>
        <w:t xml:space="preserve">, taking into account each survey’s design </w:t>
      </w:r>
    </w:p>
    <w:p w14:paraId="469A0AED" w14:textId="0AF6DA46" w:rsidR="00775C16" w:rsidRPr="00A34060" w:rsidRDefault="00775C16" w:rsidP="00775C16">
      <w:pPr>
        <w:autoSpaceDE w:val="0"/>
        <w:autoSpaceDN w:val="0"/>
        <w:adjustRightInd w:val="0"/>
        <w:rPr>
          <w:rFonts w:cstheme="minorHAnsi"/>
          <w:szCs w:val="22"/>
        </w:rPr>
      </w:pPr>
      <m:oMath>
        <m:r>
          <w:rPr>
            <w:rFonts w:ascii="Cambria Math" w:hAnsi="Cambria Math" w:cstheme="minorHAnsi"/>
            <w:szCs w:val="22"/>
          </w:rPr>
          <m:t>μ</m:t>
        </m:r>
      </m:oMath>
      <w:r w:rsidRPr="00A34060">
        <w:rPr>
          <w:rFonts w:cstheme="minorHAnsi"/>
          <w:szCs w:val="22"/>
        </w:rPr>
        <w:tab/>
        <w:t>fixed intercept</w:t>
      </w:r>
    </w:p>
    <w:p w14:paraId="1EA20E8D" w14:textId="45EFBC4E" w:rsidR="00775C16" w:rsidRDefault="00803D0F" w:rsidP="00775C16">
      <w:pPr>
        <w:autoSpaceDE w:val="0"/>
        <w:autoSpaceDN w:val="0"/>
        <w:adjustRightInd w:val="0"/>
        <w:rPr>
          <w:rFonts w:cstheme="minorHAnsi"/>
          <w:szCs w:val="22"/>
        </w:rPr>
      </w:pPr>
      <m:oMath>
        <m:sSub>
          <m:sSubPr>
            <m:ctrlPr>
              <w:rPr>
                <w:rFonts w:ascii="Cambria Math" w:hAnsi="Cambria Math" w:cstheme="minorHAnsi"/>
                <w:i/>
                <w:iCs/>
                <w:szCs w:val="22"/>
              </w:rPr>
            </m:ctrlPr>
          </m:sSubPr>
          <m:e>
            <m:r>
              <w:rPr>
                <w:rFonts w:ascii="Cambria Math" w:hAnsi="Cambria Math" w:cstheme="minorHAnsi"/>
                <w:szCs w:val="22"/>
              </w:rPr>
              <m:t>X</m:t>
            </m:r>
          </m:e>
          <m:sub>
            <m:r>
              <w:rPr>
                <w:rFonts w:ascii="Cambria Math" w:hAnsi="Cambria Math" w:cstheme="minorHAnsi"/>
                <w:szCs w:val="22"/>
              </w:rPr>
              <m:t>i</m:t>
            </m:r>
          </m:sub>
        </m:sSub>
      </m:oMath>
      <w:r w:rsidR="00775C16" w:rsidRPr="00A34060">
        <w:rPr>
          <w:rFonts w:cstheme="minorHAnsi"/>
          <w:szCs w:val="22"/>
        </w:rPr>
        <w:tab/>
        <w:t xml:space="preserve">country-level covariate (listed </w:t>
      </w:r>
      <w:r w:rsidR="00A43666" w:rsidRPr="00A34060">
        <w:rPr>
          <w:rFonts w:cstheme="minorHAnsi"/>
          <w:szCs w:val="22"/>
        </w:rPr>
        <w:t xml:space="preserve">in </w:t>
      </w:r>
      <w:r w:rsidR="00DA2DD7">
        <w:rPr>
          <w:rFonts w:cstheme="minorHAnsi"/>
          <w:szCs w:val="22"/>
        </w:rPr>
        <w:t>Appendix Table</w:t>
      </w:r>
      <w:r w:rsidR="00A43666" w:rsidRPr="00A34060">
        <w:rPr>
          <w:rFonts w:cstheme="minorHAnsi"/>
          <w:szCs w:val="22"/>
        </w:rPr>
        <w:t xml:space="preserve"> </w:t>
      </w:r>
      <w:r w:rsidR="006031C4">
        <w:rPr>
          <w:rFonts w:cstheme="minorHAnsi"/>
          <w:szCs w:val="22"/>
        </w:rPr>
        <w:t>8</w:t>
      </w:r>
      <w:r w:rsidR="00775C16" w:rsidRPr="00A34060">
        <w:rPr>
          <w:rFonts w:cstheme="minorHAnsi"/>
          <w:szCs w:val="22"/>
        </w:rPr>
        <w:t xml:space="preserve"> for each model)</w:t>
      </w:r>
    </w:p>
    <w:p w14:paraId="3D35B8DE" w14:textId="1917CD90" w:rsidR="00EB26AE" w:rsidRDefault="00EB26AE" w:rsidP="00EB26AE">
      <w:pPr>
        <w:autoSpaceDE w:val="0"/>
        <w:autoSpaceDN w:val="0"/>
        <w:adjustRightInd w:val="0"/>
        <w:rPr>
          <w:rFonts w:cstheme="minorHAnsi"/>
          <w:szCs w:val="22"/>
        </w:rPr>
      </w:pPr>
      <m:oMath>
        <m:r>
          <w:rPr>
            <w:rFonts w:ascii="Cambria Math" w:hAnsi="Cambria Math" w:cstheme="minorHAnsi"/>
            <w:szCs w:val="22"/>
          </w:rPr>
          <m:t>β</m:t>
        </m:r>
      </m:oMath>
      <w:r w:rsidRPr="00A34060">
        <w:rPr>
          <w:rFonts w:cstheme="minorHAnsi"/>
          <w:szCs w:val="22"/>
        </w:rPr>
        <w:tab/>
      </w:r>
      <w:r w:rsidR="00A370B1">
        <w:rPr>
          <w:rFonts w:cstheme="minorHAnsi"/>
          <w:szCs w:val="22"/>
        </w:rPr>
        <w:t>coefficient of the country-level covariate</w:t>
      </w:r>
    </w:p>
    <w:p w14:paraId="658C2200" w14:textId="6961CE02" w:rsidR="006624F1" w:rsidRPr="00A34060" w:rsidRDefault="00803D0F" w:rsidP="006624F1">
      <w:pPr>
        <w:autoSpaceDE w:val="0"/>
        <w:autoSpaceDN w:val="0"/>
        <w:adjustRightInd w:val="0"/>
        <w:ind w:left="720" w:hanging="720"/>
        <w:rPr>
          <w:rFonts w:cstheme="minorHAnsi"/>
          <w:szCs w:val="22"/>
        </w:rPr>
      </w:pPr>
      <m:oMath>
        <m:sSub>
          <m:sSubPr>
            <m:ctrlPr>
              <w:rPr>
                <w:rFonts w:ascii="Cambria Math" w:hAnsi="Cambria Math" w:cstheme="minorHAnsi"/>
                <w:i/>
                <w:iCs/>
                <w:szCs w:val="22"/>
              </w:rPr>
            </m:ctrlPr>
          </m:sSubPr>
          <m:e>
            <m:r>
              <w:rPr>
                <w:rFonts w:ascii="Cambria Math" w:hAnsi="Cambria Math" w:cstheme="minorHAnsi"/>
                <w:szCs w:val="22"/>
              </w:rPr>
              <m:t>y</m:t>
            </m:r>
          </m:e>
          <m:sub>
            <m:r>
              <w:rPr>
                <w:rFonts w:ascii="Cambria Math" w:hAnsi="Cambria Math" w:cstheme="minorHAnsi"/>
                <w:szCs w:val="22"/>
              </w:rPr>
              <m:t>i</m:t>
            </m:r>
          </m:sub>
        </m:sSub>
      </m:oMath>
      <w:r w:rsidR="006624F1" w:rsidRPr="00A34060">
        <w:rPr>
          <w:rFonts w:cstheme="minorHAnsi"/>
          <w:szCs w:val="22"/>
        </w:rPr>
        <w:t xml:space="preserve"> </w:t>
      </w:r>
      <w:r w:rsidR="006624F1" w:rsidRPr="00A34060">
        <w:rPr>
          <w:rFonts w:cstheme="minorHAnsi"/>
          <w:szCs w:val="22"/>
        </w:rPr>
        <w:tab/>
      </w:r>
      <w:r w:rsidR="006624F1">
        <w:rPr>
          <w:rFonts w:cstheme="minorHAnsi"/>
          <w:szCs w:val="22"/>
        </w:rPr>
        <w:t xml:space="preserve">computed as </w:t>
      </w:r>
      <m:oMath>
        <m:sSub>
          <m:sSubPr>
            <m:ctrlPr>
              <w:rPr>
                <w:rFonts w:ascii="Cambria Math" w:hAnsi="Cambria Math" w:cstheme="minorHAnsi"/>
                <w:i/>
                <w:iCs/>
                <w:szCs w:val="22"/>
              </w:rPr>
            </m:ctrlPr>
          </m:sSubPr>
          <m:e>
            <m:sSub>
              <m:sSubPr>
                <m:ctrlPr>
                  <w:rPr>
                    <w:rFonts w:ascii="Cambria Math" w:hAnsi="Cambria Math" w:cstheme="minorHAnsi"/>
                    <w:i/>
                    <w:szCs w:val="22"/>
                  </w:rPr>
                </m:ctrlPr>
              </m:sSubPr>
              <m:e>
                <m:r>
                  <w:rPr>
                    <w:rFonts w:ascii="Cambria Math" w:hAnsi="Cambria Math" w:cstheme="minorHAnsi"/>
                    <w:szCs w:val="22"/>
                  </w:rPr>
                  <m:t>n</m:t>
                </m:r>
              </m:e>
              <m:sub>
                <m:r>
                  <w:rPr>
                    <w:rFonts w:ascii="Cambria Math" w:hAnsi="Cambria Math" w:cstheme="minorHAnsi"/>
                    <w:szCs w:val="22"/>
                  </w:rPr>
                  <m:t>i</m:t>
                </m:r>
              </m:sub>
            </m:sSub>
            <m:r>
              <w:rPr>
                <w:rFonts w:ascii="Cambria Math" w:hAnsi="Cambria Math" w:cstheme="minorHAnsi"/>
                <w:szCs w:val="22"/>
              </w:rPr>
              <m:t>π</m:t>
            </m:r>
          </m:e>
          <m:sub>
            <m:r>
              <w:rPr>
                <w:rFonts w:ascii="Cambria Math" w:hAnsi="Cambria Math" w:cstheme="minorHAnsi"/>
                <w:szCs w:val="22"/>
              </w:rPr>
              <m:t>i</m:t>
            </m:r>
          </m:sub>
        </m:sSub>
      </m:oMath>
      <w:r w:rsidR="004668B2">
        <w:rPr>
          <w:rFonts w:cstheme="minorHAnsi"/>
          <w:iCs/>
          <w:szCs w:val="22"/>
        </w:rPr>
        <w:t>, to account for the surveys’ design effect</w:t>
      </w:r>
    </w:p>
    <w:p w14:paraId="2B49F9F1" w14:textId="1D573998" w:rsidR="006624F1" w:rsidRPr="006624F1" w:rsidRDefault="006624F1" w:rsidP="00EB26AE">
      <w:pPr>
        <w:autoSpaceDE w:val="0"/>
        <w:autoSpaceDN w:val="0"/>
        <w:adjustRightInd w:val="0"/>
        <w:rPr>
          <w:rFonts w:cstheme="minorHAnsi"/>
          <w:i/>
          <w:iCs/>
          <w:szCs w:val="22"/>
        </w:rPr>
      </w:pPr>
    </w:p>
    <w:p w14:paraId="20AD58FE" w14:textId="268C9B81" w:rsidR="00775C16" w:rsidRDefault="00C5016A" w:rsidP="00775C16">
      <w:pPr>
        <w:autoSpaceDE w:val="0"/>
        <w:autoSpaceDN w:val="0"/>
        <w:adjustRightInd w:val="0"/>
        <w:rPr>
          <w:rFonts w:cstheme="minorHAnsi"/>
          <w:szCs w:val="22"/>
        </w:rPr>
      </w:pPr>
      <w:r w:rsidRPr="00A34060">
        <w:rPr>
          <w:rFonts w:cstheme="minorHAnsi"/>
          <w:szCs w:val="22"/>
        </w:rPr>
        <w:t>Four</w:t>
      </w:r>
      <w:r w:rsidR="00FB2C9D" w:rsidRPr="00A34060">
        <w:rPr>
          <w:rFonts w:cstheme="minorHAnsi"/>
          <w:szCs w:val="22"/>
        </w:rPr>
        <w:t xml:space="preserve"> separate adjustment</w:t>
      </w:r>
      <w:r w:rsidRPr="00A34060">
        <w:rPr>
          <w:rFonts w:cstheme="minorHAnsi"/>
          <w:szCs w:val="22"/>
        </w:rPr>
        <w:t xml:space="preserve"> regression equations were fit using data from</w:t>
      </w:r>
      <w:r w:rsidR="00FB2C9D" w:rsidRPr="00A34060">
        <w:rPr>
          <w:rFonts w:cstheme="minorHAnsi"/>
          <w:szCs w:val="22"/>
        </w:rPr>
        <w:t xml:space="preserve"> surveys that measured </w:t>
      </w:r>
      <w:r w:rsidR="00ED6C10" w:rsidRPr="00A34060">
        <w:rPr>
          <w:rFonts w:cstheme="minorHAnsi"/>
          <w:szCs w:val="22"/>
        </w:rPr>
        <w:t xml:space="preserve">all three core micronutrients.  </w:t>
      </w:r>
      <w:r w:rsidR="009C387B" w:rsidRPr="00A34060">
        <w:rPr>
          <w:rFonts w:cstheme="minorHAnsi"/>
          <w:szCs w:val="22"/>
        </w:rPr>
        <w:t>Regression</w:t>
      </w:r>
      <w:r w:rsidR="00ED6C10" w:rsidRPr="00A34060">
        <w:rPr>
          <w:rFonts w:cstheme="minorHAnsi"/>
          <w:szCs w:val="22"/>
        </w:rPr>
        <w:t xml:space="preserve">s were fit </w:t>
      </w:r>
      <w:r w:rsidR="00A16F4D" w:rsidRPr="00A34060">
        <w:rPr>
          <w:rFonts w:cstheme="minorHAnsi"/>
          <w:szCs w:val="22"/>
        </w:rPr>
        <w:t xml:space="preserve">using </w:t>
      </w:r>
      <w:r w:rsidR="009C387B" w:rsidRPr="00A34060">
        <w:rPr>
          <w:rFonts w:cstheme="minorHAnsi"/>
          <w:szCs w:val="22"/>
        </w:rPr>
        <w:t xml:space="preserve">the </w:t>
      </w:r>
      <w:proofErr w:type="spellStart"/>
      <w:r w:rsidR="00323639" w:rsidRPr="00A34060">
        <w:rPr>
          <w:rFonts w:cstheme="minorHAnsi"/>
          <w:szCs w:val="22"/>
        </w:rPr>
        <w:t>glm</w:t>
      </w:r>
      <w:proofErr w:type="spellEnd"/>
      <w:r w:rsidR="00323639" w:rsidRPr="00A34060">
        <w:rPr>
          <w:rFonts w:cstheme="minorHAnsi"/>
          <w:szCs w:val="22"/>
        </w:rPr>
        <w:t xml:space="preserve"> command, Stata </w:t>
      </w:r>
      <w:r w:rsidR="00292BA4" w:rsidRPr="00A34060">
        <w:rPr>
          <w:rFonts w:cstheme="minorHAnsi"/>
          <w:szCs w:val="22"/>
        </w:rPr>
        <w:t>version 16.1</w:t>
      </w:r>
      <w:r w:rsidR="00F709D9" w:rsidRPr="00A34060">
        <w:rPr>
          <w:rFonts w:cstheme="minorHAnsi"/>
          <w:szCs w:val="22"/>
        </w:rPr>
        <w:t>.</w:t>
      </w:r>
      <w:r w:rsidR="00C15804" w:rsidRPr="00A34060">
        <w:rPr>
          <w:rFonts w:cstheme="minorHAnsi"/>
          <w:szCs w:val="22"/>
        </w:rPr>
        <w:t xml:space="preserve"> </w:t>
      </w:r>
      <w:r w:rsidR="00137187" w:rsidRPr="00A34060">
        <w:rPr>
          <w:rFonts w:cstheme="minorHAnsi"/>
          <w:szCs w:val="22"/>
        </w:rPr>
        <w:t xml:space="preserve">Standard errors were estimated </w:t>
      </w:r>
      <w:r w:rsidR="00F21143" w:rsidRPr="00A34060">
        <w:rPr>
          <w:rFonts w:cstheme="minorHAnsi"/>
          <w:szCs w:val="22"/>
        </w:rPr>
        <w:t>by drawing 50</w:t>
      </w:r>
      <w:r w:rsidR="009C541D">
        <w:rPr>
          <w:rFonts w:cstheme="minorHAnsi"/>
          <w:szCs w:val="22"/>
        </w:rPr>
        <w:t>0</w:t>
      </w:r>
      <w:r w:rsidR="00137187" w:rsidRPr="00A34060">
        <w:rPr>
          <w:rFonts w:cstheme="minorHAnsi"/>
          <w:szCs w:val="22"/>
        </w:rPr>
        <w:t xml:space="preserve"> bootstrap </w:t>
      </w:r>
      <w:r w:rsidR="00F21143" w:rsidRPr="00A34060">
        <w:rPr>
          <w:rFonts w:cstheme="minorHAnsi"/>
          <w:szCs w:val="22"/>
        </w:rPr>
        <w:t>samples with replacement</w:t>
      </w:r>
      <w:r w:rsidR="00137187" w:rsidRPr="00A34060">
        <w:rPr>
          <w:rFonts w:cstheme="minorHAnsi"/>
          <w:szCs w:val="22"/>
        </w:rPr>
        <w:t>.</w:t>
      </w:r>
      <w:r w:rsidR="00F709D9" w:rsidRPr="00A34060">
        <w:rPr>
          <w:rFonts w:cstheme="minorHAnsi"/>
          <w:szCs w:val="22"/>
        </w:rPr>
        <w:t xml:space="preserve"> </w:t>
      </w:r>
    </w:p>
    <w:p w14:paraId="783996A2" w14:textId="77777777" w:rsidR="008153B9" w:rsidRPr="00A34060" w:rsidRDefault="008153B9" w:rsidP="00775C16">
      <w:pPr>
        <w:autoSpaceDE w:val="0"/>
        <w:autoSpaceDN w:val="0"/>
        <w:adjustRightInd w:val="0"/>
        <w:rPr>
          <w:rFonts w:cstheme="minorHAnsi"/>
          <w:szCs w:val="22"/>
        </w:rPr>
      </w:pPr>
    </w:p>
    <w:p w14:paraId="3975950B" w14:textId="32DEC095" w:rsidR="008865E4" w:rsidRPr="00A34060" w:rsidRDefault="03C7B32C" w:rsidP="03C7B32C">
      <w:pPr>
        <w:pStyle w:val="Heading3"/>
        <w:rPr>
          <w:rFonts w:cstheme="minorBidi"/>
          <w:lang w:val="en-GB"/>
        </w:rPr>
      </w:pPr>
      <w:bookmarkStart w:id="16" w:name="_Toc94512116"/>
      <w:r w:rsidRPr="03C7B32C">
        <w:rPr>
          <w:rFonts w:cstheme="minorBidi"/>
          <w:lang w:val="en-GB"/>
        </w:rPr>
        <w:lastRenderedPageBreak/>
        <w:t>Appendix Table 8. Regression variables for each model used to predict unmeasured micronutrient deficiency.</w:t>
      </w:r>
      <w:bookmarkEnd w:id="16"/>
      <w:r w:rsidRPr="03C7B32C">
        <w:rPr>
          <w:rFonts w:cstheme="minorBidi"/>
          <w:lang w:val="en-GB"/>
        </w:rPr>
        <w:t xml:space="preserve"> </w:t>
      </w:r>
    </w:p>
    <w:tbl>
      <w:tblPr>
        <w:tblStyle w:val="PlainTable2"/>
        <w:tblW w:w="10674" w:type="dxa"/>
        <w:tblBorders>
          <w:top w:val="single" w:sz="4" w:space="0" w:color="auto"/>
          <w:left w:val="single" w:sz="4" w:space="0" w:color="auto"/>
          <w:bottom w:val="single" w:sz="4" w:space="0" w:color="auto"/>
          <w:right w:val="single" w:sz="4" w:space="0" w:color="auto"/>
          <w:insideH w:val="single" w:sz="4" w:space="0" w:color="7F7F7F" w:themeColor="text1" w:themeTint="80"/>
        </w:tblBorders>
        <w:tblLook w:val="0420" w:firstRow="1" w:lastRow="0" w:firstColumn="0" w:lastColumn="0" w:noHBand="0" w:noVBand="1"/>
      </w:tblPr>
      <w:tblGrid>
        <w:gridCol w:w="1931"/>
        <w:gridCol w:w="5305"/>
        <w:gridCol w:w="3438"/>
      </w:tblGrid>
      <w:tr w:rsidR="005E417E" w:rsidRPr="00A34060" w14:paraId="0946BE90" w14:textId="47B4E0E0" w:rsidTr="03C7B32C">
        <w:trPr>
          <w:cnfStyle w:val="100000000000" w:firstRow="1" w:lastRow="0" w:firstColumn="0" w:lastColumn="0" w:oddVBand="0" w:evenVBand="0" w:oddHBand="0" w:evenHBand="0" w:firstRowFirstColumn="0" w:firstRowLastColumn="0" w:lastRowFirstColumn="0" w:lastRowLastColumn="0"/>
          <w:trHeight w:val="584"/>
          <w:tblHeader/>
        </w:trPr>
        <w:tc>
          <w:tcPr>
            <w:tcW w:w="1931" w:type="dxa"/>
            <w:hideMark/>
          </w:tcPr>
          <w:p w14:paraId="2FBE9687" w14:textId="77777777" w:rsidR="005E417E" w:rsidRPr="00A34060" w:rsidRDefault="005E417E" w:rsidP="003821C2">
            <w:pPr>
              <w:autoSpaceDE w:val="0"/>
              <w:autoSpaceDN w:val="0"/>
              <w:adjustRightInd w:val="0"/>
              <w:rPr>
                <w:rFonts w:cstheme="minorHAnsi"/>
                <w:szCs w:val="22"/>
              </w:rPr>
            </w:pPr>
            <w:r w:rsidRPr="00A34060">
              <w:rPr>
                <w:rFonts w:cstheme="minorHAnsi"/>
                <w:szCs w:val="22"/>
              </w:rPr>
              <w:t>Population</w:t>
            </w:r>
          </w:p>
        </w:tc>
        <w:tc>
          <w:tcPr>
            <w:tcW w:w="5305" w:type="dxa"/>
            <w:hideMark/>
          </w:tcPr>
          <w:p w14:paraId="3DA19847" w14:textId="3772FA5C" w:rsidR="005E417E" w:rsidRPr="00A34060" w:rsidRDefault="00E87936" w:rsidP="003821C2">
            <w:pPr>
              <w:autoSpaceDE w:val="0"/>
              <w:autoSpaceDN w:val="0"/>
              <w:adjustRightInd w:val="0"/>
              <w:rPr>
                <w:rFonts w:cstheme="minorHAnsi"/>
                <w:szCs w:val="22"/>
              </w:rPr>
            </w:pPr>
            <w:r w:rsidRPr="00A34060">
              <w:rPr>
                <w:rFonts w:cstheme="minorHAnsi"/>
                <w:szCs w:val="22"/>
              </w:rPr>
              <w:t>Dependent variable (π)</w:t>
            </w:r>
          </w:p>
        </w:tc>
        <w:tc>
          <w:tcPr>
            <w:tcW w:w="3438" w:type="dxa"/>
            <w:hideMark/>
          </w:tcPr>
          <w:p w14:paraId="7B5BBBF6" w14:textId="36BA4CA2" w:rsidR="005E417E" w:rsidRPr="00A34060" w:rsidRDefault="03C7B32C" w:rsidP="03C7B32C">
            <w:pPr>
              <w:autoSpaceDE w:val="0"/>
              <w:autoSpaceDN w:val="0"/>
              <w:adjustRightInd w:val="0"/>
              <w:rPr>
                <w:rFonts w:cstheme="minorBidi"/>
              </w:rPr>
            </w:pPr>
            <w:r w:rsidRPr="03C7B32C">
              <w:rPr>
                <w:rFonts w:cstheme="minorBidi"/>
              </w:rPr>
              <w:t>Covariates (X)</w:t>
            </w:r>
          </w:p>
        </w:tc>
      </w:tr>
      <w:tr w:rsidR="00541AF2" w:rsidRPr="00A34060" w14:paraId="6CB215ED" w14:textId="77777777" w:rsidTr="03C7B32C">
        <w:trPr>
          <w:cnfStyle w:val="000000100000" w:firstRow="0" w:lastRow="0" w:firstColumn="0" w:lastColumn="0" w:oddVBand="0" w:evenVBand="0" w:oddHBand="1" w:evenHBand="0" w:firstRowFirstColumn="0" w:firstRowLastColumn="0" w:lastRowFirstColumn="0" w:lastRowLastColumn="0"/>
          <w:trHeight w:val="584"/>
        </w:trPr>
        <w:tc>
          <w:tcPr>
            <w:tcW w:w="1931" w:type="dxa"/>
            <w:hideMark/>
          </w:tcPr>
          <w:p w14:paraId="3AED99DC" w14:textId="7FDF71D6" w:rsidR="00541AF2" w:rsidRPr="00A34060" w:rsidRDefault="008A0DE6" w:rsidP="00B272AD">
            <w:pPr>
              <w:autoSpaceDE w:val="0"/>
              <w:autoSpaceDN w:val="0"/>
              <w:adjustRightInd w:val="0"/>
              <w:rPr>
                <w:rFonts w:cstheme="minorHAnsi"/>
                <w:szCs w:val="22"/>
              </w:rPr>
            </w:pPr>
            <w:r>
              <w:rPr>
                <w:rFonts w:cstheme="minorHAnsi"/>
                <w:szCs w:val="22"/>
              </w:rPr>
              <w:t>Preschool-aged children (6-59 months)</w:t>
            </w:r>
          </w:p>
        </w:tc>
        <w:tc>
          <w:tcPr>
            <w:tcW w:w="5305" w:type="dxa"/>
            <w:hideMark/>
          </w:tcPr>
          <w:p w14:paraId="48345B26" w14:textId="77777777" w:rsidR="00541AF2" w:rsidRPr="00ED1C96" w:rsidRDefault="00541AF2" w:rsidP="00B272AD">
            <w:pPr>
              <w:autoSpaceDE w:val="0"/>
              <w:autoSpaceDN w:val="0"/>
              <w:adjustRightInd w:val="0"/>
              <w:rPr>
                <w:rFonts w:cstheme="minorHAnsi"/>
                <w:szCs w:val="22"/>
                <w:lang w:val="es-MX"/>
              </w:rPr>
            </w:pPr>
            <w:r w:rsidRPr="00ED1C96">
              <w:rPr>
                <w:rFonts w:cstheme="minorHAnsi"/>
                <w:szCs w:val="22"/>
                <w:lang w:val="es-MX"/>
              </w:rPr>
              <w:t>p(zinc deficiency|no vitamin A deficiency, no iron deficiency)</w:t>
            </w:r>
          </w:p>
        </w:tc>
        <w:tc>
          <w:tcPr>
            <w:tcW w:w="3438" w:type="dxa"/>
            <w:hideMark/>
          </w:tcPr>
          <w:p w14:paraId="1B998C8F" w14:textId="29020F9C" w:rsidR="00541AF2" w:rsidRPr="00A34060" w:rsidRDefault="00541AF2" w:rsidP="00B272AD">
            <w:pPr>
              <w:autoSpaceDE w:val="0"/>
              <w:autoSpaceDN w:val="0"/>
              <w:adjustRightInd w:val="0"/>
              <w:rPr>
                <w:rFonts w:cstheme="minorHAnsi"/>
                <w:szCs w:val="22"/>
              </w:rPr>
            </w:pPr>
            <w:r>
              <w:rPr>
                <w:rFonts w:cstheme="minorHAnsi"/>
                <w:szCs w:val="22"/>
              </w:rPr>
              <w:t>Socio-demographic index (</w:t>
            </w:r>
            <w:r w:rsidRPr="00A34060">
              <w:rPr>
                <w:rFonts w:cstheme="minorHAnsi"/>
                <w:szCs w:val="22"/>
              </w:rPr>
              <w:t>SDI</w:t>
            </w:r>
            <w:r>
              <w:rPr>
                <w:rFonts w:cstheme="minorHAnsi"/>
                <w:szCs w:val="22"/>
              </w:rPr>
              <w:t>)</w:t>
            </w:r>
          </w:p>
        </w:tc>
      </w:tr>
      <w:tr w:rsidR="00541AF2" w:rsidRPr="00A34060" w14:paraId="7C74933C" w14:textId="77777777" w:rsidTr="03C7B32C">
        <w:trPr>
          <w:trHeight w:val="584"/>
        </w:trPr>
        <w:tc>
          <w:tcPr>
            <w:tcW w:w="1931" w:type="dxa"/>
            <w:hideMark/>
          </w:tcPr>
          <w:p w14:paraId="070005FC" w14:textId="19281913" w:rsidR="00541AF2" w:rsidRPr="00A34060" w:rsidRDefault="00541AF2" w:rsidP="00B272AD">
            <w:pPr>
              <w:autoSpaceDE w:val="0"/>
              <w:autoSpaceDN w:val="0"/>
              <w:adjustRightInd w:val="0"/>
              <w:rPr>
                <w:rFonts w:cstheme="minorHAnsi"/>
                <w:szCs w:val="22"/>
              </w:rPr>
            </w:pPr>
            <w:r w:rsidRPr="00A34060">
              <w:rPr>
                <w:rFonts w:cstheme="minorHAnsi"/>
                <w:szCs w:val="22"/>
              </w:rPr>
              <w:t>Preschool-aged children</w:t>
            </w:r>
            <w:r w:rsidR="008A0DE6">
              <w:rPr>
                <w:rFonts w:cstheme="minorHAnsi"/>
                <w:szCs w:val="22"/>
              </w:rPr>
              <w:t xml:space="preserve"> (6-59 months)</w:t>
            </w:r>
          </w:p>
        </w:tc>
        <w:tc>
          <w:tcPr>
            <w:tcW w:w="5305" w:type="dxa"/>
            <w:hideMark/>
          </w:tcPr>
          <w:p w14:paraId="26F242C8" w14:textId="77777777" w:rsidR="00541AF2" w:rsidRPr="00713BAF" w:rsidRDefault="00541AF2" w:rsidP="00B272AD">
            <w:pPr>
              <w:autoSpaceDE w:val="0"/>
              <w:autoSpaceDN w:val="0"/>
              <w:adjustRightInd w:val="0"/>
              <w:rPr>
                <w:rFonts w:cstheme="minorHAnsi"/>
                <w:szCs w:val="22"/>
              </w:rPr>
            </w:pPr>
            <w:proofErr w:type="gramStart"/>
            <w:r w:rsidRPr="00713BAF">
              <w:rPr>
                <w:rFonts w:cstheme="minorHAnsi"/>
                <w:szCs w:val="22"/>
              </w:rPr>
              <w:t>p(</w:t>
            </w:r>
            <w:proofErr w:type="gramEnd"/>
            <w:r w:rsidRPr="00713BAF">
              <w:rPr>
                <w:rFonts w:cstheme="minorHAnsi"/>
                <w:szCs w:val="22"/>
              </w:rPr>
              <w:t xml:space="preserve">vitamin A </w:t>
            </w:r>
            <w:proofErr w:type="spellStart"/>
            <w:r w:rsidRPr="00713BAF">
              <w:rPr>
                <w:rFonts w:cstheme="minorHAnsi"/>
                <w:szCs w:val="22"/>
              </w:rPr>
              <w:t>deficiency|no</w:t>
            </w:r>
            <w:proofErr w:type="spellEnd"/>
            <w:r w:rsidRPr="00713BAF">
              <w:rPr>
                <w:rFonts w:cstheme="minorHAnsi"/>
                <w:szCs w:val="22"/>
              </w:rPr>
              <w:t xml:space="preserve"> zinc deficiency, no iron deficiency)</w:t>
            </w:r>
          </w:p>
        </w:tc>
        <w:tc>
          <w:tcPr>
            <w:tcW w:w="3438" w:type="dxa"/>
            <w:hideMark/>
          </w:tcPr>
          <w:p w14:paraId="36F8A8E8" w14:textId="77777777" w:rsidR="00541AF2" w:rsidRPr="00A34060" w:rsidRDefault="00541AF2" w:rsidP="00B272AD">
            <w:pPr>
              <w:autoSpaceDE w:val="0"/>
              <w:autoSpaceDN w:val="0"/>
              <w:adjustRightInd w:val="0"/>
              <w:rPr>
                <w:rFonts w:cstheme="minorHAnsi"/>
                <w:szCs w:val="22"/>
              </w:rPr>
            </w:pPr>
            <w:r w:rsidRPr="00A34060">
              <w:rPr>
                <w:rFonts w:cstheme="minorHAnsi"/>
                <w:szCs w:val="22"/>
              </w:rPr>
              <w:t>SDI</w:t>
            </w:r>
          </w:p>
        </w:tc>
      </w:tr>
      <w:tr w:rsidR="005E417E" w:rsidRPr="00A34060" w14:paraId="63387DA1" w14:textId="21964A9B" w:rsidTr="03C7B32C">
        <w:trPr>
          <w:cnfStyle w:val="000000100000" w:firstRow="0" w:lastRow="0" w:firstColumn="0" w:lastColumn="0" w:oddVBand="0" w:evenVBand="0" w:oddHBand="1" w:evenHBand="0" w:firstRowFirstColumn="0" w:firstRowLastColumn="0" w:lastRowFirstColumn="0" w:lastRowLastColumn="0"/>
          <w:trHeight w:val="584"/>
        </w:trPr>
        <w:tc>
          <w:tcPr>
            <w:tcW w:w="1931" w:type="dxa"/>
            <w:hideMark/>
          </w:tcPr>
          <w:p w14:paraId="7A0946E4" w14:textId="7852E994" w:rsidR="005E417E" w:rsidRPr="00A34060" w:rsidRDefault="005E417E" w:rsidP="003821C2">
            <w:pPr>
              <w:autoSpaceDE w:val="0"/>
              <w:autoSpaceDN w:val="0"/>
              <w:adjustRightInd w:val="0"/>
              <w:rPr>
                <w:rFonts w:cstheme="minorHAnsi"/>
                <w:szCs w:val="22"/>
              </w:rPr>
            </w:pPr>
            <w:r w:rsidRPr="00A34060">
              <w:rPr>
                <w:rFonts w:cstheme="minorHAnsi"/>
                <w:szCs w:val="22"/>
              </w:rPr>
              <w:t>Non-pregnant women</w:t>
            </w:r>
            <w:r w:rsidR="008A0DE6">
              <w:rPr>
                <w:rFonts w:cstheme="minorHAnsi"/>
                <w:szCs w:val="22"/>
              </w:rPr>
              <w:t xml:space="preserve"> 15-49 years</w:t>
            </w:r>
          </w:p>
        </w:tc>
        <w:tc>
          <w:tcPr>
            <w:tcW w:w="5305" w:type="dxa"/>
            <w:hideMark/>
          </w:tcPr>
          <w:p w14:paraId="50F19BF4" w14:textId="20740D23" w:rsidR="005E417E" w:rsidRPr="00713BAF" w:rsidRDefault="005E417E" w:rsidP="003821C2">
            <w:pPr>
              <w:autoSpaceDE w:val="0"/>
              <w:autoSpaceDN w:val="0"/>
              <w:adjustRightInd w:val="0"/>
              <w:rPr>
                <w:rFonts w:cstheme="minorHAnsi"/>
                <w:szCs w:val="22"/>
              </w:rPr>
            </w:pPr>
            <w:proofErr w:type="gramStart"/>
            <w:r w:rsidRPr="00713BAF">
              <w:rPr>
                <w:rFonts w:cstheme="minorHAnsi"/>
                <w:szCs w:val="22"/>
              </w:rPr>
              <w:t>p(</w:t>
            </w:r>
            <w:proofErr w:type="gramEnd"/>
            <w:r w:rsidRPr="00713BAF">
              <w:rPr>
                <w:rFonts w:cstheme="minorHAnsi"/>
                <w:szCs w:val="22"/>
              </w:rPr>
              <w:t xml:space="preserve">zinc </w:t>
            </w:r>
            <w:proofErr w:type="spellStart"/>
            <w:r w:rsidRPr="00713BAF">
              <w:rPr>
                <w:rFonts w:cstheme="minorHAnsi"/>
                <w:szCs w:val="22"/>
              </w:rPr>
              <w:t>deficiency|no</w:t>
            </w:r>
            <w:proofErr w:type="spellEnd"/>
            <w:r w:rsidRPr="00713BAF">
              <w:rPr>
                <w:rFonts w:cstheme="minorHAnsi"/>
                <w:szCs w:val="22"/>
              </w:rPr>
              <w:t xml:space="preserve"> folate deficiency, no iron deficiency)</w:t>
            </w:r>
          </w:p>
        </w:tc>
        <w:tc>
          <w:tcPr>
            <w:tcW w:w="3438" w:type="dxa"/>
            <w:hideMark/>
          </w:tcPr>
          <w:p w14:paraId="5FF8B4AF" w14:textId="505B6DA4" w:rsidR="005E417E" w:rsidRPr="00A34060" w:rsidRDefault="00541AF2" w:rsidP="003821C2">
            <w:pPr>
              <w:autoSpaceDE w:val="0"/>
              <w:autoSpaceDN w:val="0"/>
              <w:adjustRightInd w:val="0"/>
              <w:rPr>
                <w:rFonts w:cstheme="minorHAnsi"/>
                <w:szCs w:val="22"/>
              </w:rPr>
            </w:pPr>
            <w:r>
              <w:rPr>
                <w:rFonts w:cstheme="minorHAnsi"/>
                <w:szCs w:val="22"/>
              </w:rPr>
              <w:t>S</w:t>
            </w:r>
            <w:r>
              <w:rPr>
                <w:szCs w:val="22"/>
              </w:rPr>
              <w:t>DI</w:t>
            </w:r>
          </w:p>
        </w:tc>
      </w:tr>
      <w:tr w:rsidR="005E417E" w:rsidRPr="00A34060" w14:paraId="11DF45DE" w14:textId="041761FF" w:rsidTr="03C7B32C">
        <w:trPr>
          <w:trHeight w:val="584"/>
        </w:trPr>
        <w:tc>
          <w:tcPr>
            <w:tcW w:w="1931" w:type="dxa"/>
            <w:hideMark/>
          </w:tcPr>
          <w:p w14:paraId="09388473" w14:textId="5060A3C6" w:rsidR="005E417E" w:rsidRPr="00A34060" w:rsidRDefault="005E417E" w:rsidP="003821C2">
            <w:pPr>
              <w:autoSpaceDE w:val="0"/>
              <w:autoSpaceDN w:val="0"/>
              <w:adjustRightInd w:val="0"/>
              <w:rPr>
                <w:rFonts w:cstheme="minorHAnsi"/>
                <w:szCs w:val="22"/>
              </w:rPr>
            </w:pPr>
            <w:r w:rsidRPr="00A34060">
              <w:rPr>
                <w:rFonts w:cstheme="minorHAnsi"/>
                <w:szCs w:val="22"/>
              </w:rPr>
              <w:t>Non-pregnant women</w:t>
            </w:r>
            <w:r w:rsidR="008A0DE6">
              <w:rPr>
                <w:rFonts w:cstheme="minorHAnsi"/>
                <w:szCs w:val="22"/>
              </w:rPr>
              <w:t xml:space="preserve"> 15-49 months</w:t>
            </w:r>
          </w:p>
        </w:tc>
        <w:tc>
          <w:tcPr>
            <w:tcW w:w="5305" w:type="dxa"/>
            <w:hideMark/>
          </w:tcPr>
          <w:p w14:paraId="583DE606" w14:textId="6FF0B7C7" w:rsidR="005E417E" w:rsidRPr="00A34060" w:rsidRDefault="005E417E" w:rsidP="003821C2">
            <w:pPr>
              <w:autoSpaceDE w:val="0"/>
              <w:autoSpaceDN w:val="0"/>
              <w:adjustRightInd w:val="0"/>
              <w:rPr>
                <w:rFonts w:cstheme="minorHAnsi"/>
                <w:szCs w:val="22"/>
              </w:rPr>
            </w:pPr>
            <w:proofErr w:type="gramStart"/>
            <w:r w:rsidRPr="00713BAF">
              <w:rPr>
                <w:rFonts w:cstheme="minorHAnsi"/>
                <w:szCs w:val="22"/>
              </w:rPr>
              <w:t>p(</w:t>
            </w:r>
            <w:proofErr w:type="gramEnd"/>
            <w:r w:rsidRPr="00713BAF">
              <w:rPr>
                <w:rFonts w:cstheme="minorHAnsi"/>
                <w:szCs w:val="22"/>
              </w:rPr>
              <w:t xml:space="preserve">folate </w:t>
            </w:r>
            <w:proofErr w:type="spellStart"/>
            <w:r w:rsidRPr="00713BAF">
              <w:rPr>
                <w:rFonts w:cstheme="minorHAnsi"/>
                <w:szCs w:val="22"/>
              </w:rPr>
              <w:t>deficiency|no</w:t>
            </w:r>
            <w:proofErr w:type="spellEnd"/>
            <w:r w:rsidRPr="00713BAF">
              <w:rPr>
                <w:rFonts w:cstheme="minorHAnsi"/>
                <w:szCs w:val="22"/>
              </w:rPr>
              <w:t xml:space="preserve"> zinc deficiency, no iron deficiency)</w:t>
            </w:r>
          </w:p>
        </w:tc>
        <w:tc>
          <w:tcPr>
            <w:tcW w:w="3438" w:type="dxa"/>
            <w:hideMark/>
          </w:tcPr>
          <w:p w14:paraId="59AE6180" w14:textId="3FA5E548" w:rsidR="005E417E" w:rsidRPr="00A34060" w:rsidRDefault="005E417E" w:rsidP="003821C2">
            <w:pPr>
              <w:autoSpaceDE w:val="0"/>
              <w:autoSpaceDN w:val="0"/>
              <w:adjustRightInd w:val="0"/>
              <w:rPr>
                <w:rFonts w:cstheme="minorHAnsi"/>
                <w:szCs w:val="22"/>
              </w:rPr>
            </w:pPr>
            <w:r w:rsidRPr="00A34060">
              <w:rPr>
                <w:rFonts w:cstheme="minorHAnsi"/>
                <w:szCs w:val="22"/>
              </w:rPr>
              <w:t>SDI</w:t>
            </w:r>
          </w:p>
        </w:tc>
      </w:tr>
    </w:tbl>
    <w:p w14:paraId="5D9EEDBE" w14:textId="77777777" w:rsidR="00EB0B65" w:rsidRDefault="00EB0B65" w:rsidP="00DE17F4">
      <w:pPr>
        <w:autoSpaceDE w:val="0"/>
        <w:autoSpaceDN w:val="0"/>
        <w:adjustRightInd w:val="0"/>
        <w:rPr>
          <w:rFonts w:cstheme="minorHAnsi"/>
          <w:szCs w:val="22"/>
          <w:lang w:val="en-GB"/>
        </w:rPr>
      </w:pPr>
    </w:p>
    <w:p w14:paraId="28DA62FF" w14:textId="766AAF6A" w:rsidR="003D634C" w:rsidRPr="00A34060" w:rsidRDefault="003D634C" w:rsidP="00DE17F4">
      <w:pPr>
        <w:autoSpaceDE w:val="0"/>
        <w:autoSpaceDN w:val="0"/>
        <w:adjustRightInd w:val="0"/>
        <w:rPr>
          <w:rFonts w:cstheme="minorHAnsi"/>
          <w:szCs w:val="22"/>
          <w:lang w:val="en-GB"/>
        </w:rPr>
      </w:pPr>
      <w:r w:rsidRPr="00A34060">
        <w:rPr>
          <w:rFonts w:cstheme="minorHAnsi"/>
          <w:szCs w:val="22"/>
          <w:lang w:val="en-GB"/>
        </w:rPr>
        <w:t xml:space="preserve">The </w:t>
      </w:r>
      <w:r w:rsidR="00057A8D" w:rsidRPr="00A34060">
        <w:rPr>
          <w:rFonts w:cstheme="minorHAnsi"/>
          <w:szCs w:val="22"/>
          <w:lang w:val="en-GB"/>
        </w:rPr>
        <w:t>prevalence of any deficiency</w:t>
      </w:r>
      <w:r w:rsidR="00917E38">
        <w:rPr>
          <w:rFonts w:cstheme="minorHAnsi"/>
          <w:szCs w:val="22"/>
          <w:lang w:val="en-GB"/>
        </w:rPr>
        <w:t xml:space="preserve"> (d</w:t>
      </w:r>
      <w:r w:rsidR="00917E38">
        <w:rPr>
          <w:rFonts w:cstheme="minorHAnsi"/>
          <w:szCs w:val="22"/>
          <w:vertAlign w:val="subscript"/>
          <w:lang w:val="en-GB"/>
        </w:rPr>
        <w:t>1,2,3</w:t>
      </w:r>
      <w:r w:rsidR="00917E38">
        <w:rPr>
          <w:rFonts w:cstheme="minorHAnsi"/>
          <w:szCs w:val="22"/>
          <w:lang w:val="en-GB"/>
        </w:rPr>
        <w:t>)</w:t>
      </w:r>
      <w:r w:rsidR="00057A8D" w:rsidRPr="00A34060">
        <w:rPr>
          <w:rFonts w:cstheme="minorHAnsi"/>
          <w:szCs w:val="22"/>
          <w:lang w:val="en-GB"/>
        </w:rPr>
        <w:t xml:space="preserve"> </w:t>
      </w:r>
      <w:r w:rsidR="002E1D20" w:rsidRPr="00A34060">
        <w:rPr>
          <w:rFonts w:cstheme="minorHAnsi"/>
          <w:szCs w:val="22"/>
          <w:lang w:val="en-GB"/>
        </w:rPr>
        <w:t xml:space="preserve">for each survey </w:t>
      </w:r>
      <w:r w:rsidR="002E1D20" w:rsidRPr="00A34060">
        <w:rPr>
          <w:rFonts w:cstheme="minorHAnsi"/>
          <w:i/>
          <w:iCs/>
          <w:szCs w:val="22"/>
          <w:lang w:val="en-GB"/>
        </w:rPr>
        <w:t>i</w:t>
      </w:r>
      <w:r w:rsidR="002E1D20" w:rsidRPr="00A34060">
        <w:rPr>
          <w:rFonts w:cstheme="minorHAnsi"/>
          <w:szCs w:val="22"/>
          <w:lang w:val="en-GB"/>
        </w:rPr>
        <w:t xml:space="preserve"> that measure</w:t>
      </w:r>
      <w:r w:rsidR="0003671B">
        <w:rPr>
          <w:rFonts w:cstheme="minorHAnsi"/>
          <w:szCs w:val="22"/>
          <w:lang w:val="en-GB"/>
        </w:rPr>
        <w:t>s</w:t>
      </w:r>
      <w:r w:rsidR="00744D6D" w:rsidRPr="00A34060">
        <w:rPr>
          <w:rFonts w:cstheme="minorHAnsi"/>
          <w:szCs w:val="22"/>
          <w:lang w:val="en-GB"/>
        </w:rPr>
        <w:t xml:space="preserve"> deficiencies 1 and 2 but not the third </w:t>
      </w:r>
      <w:r w:rsidR="002E1D20" w:rsidRPr="00A34060">
        <w:rPr>
          <w:rFonts w:cstheme="minorHAnsi"/>
          <w:szCs w:val="22"/>
          <w:lang w:val="en-GB"/>
        </w:rPr>
        <w:t>is computed as:</w:t>
      </w:r>
    </w:p>
    <w:p w14:paraId="30EFE352" w14:textId="16A25168" w:rsidR="00762B69" w:rsidRPr="00A34060" w:rsidRDefault="00803D0F" w:rsidP="00C02108">
      <w:pPr>
        <w:autoSpaceDE w:val="0"/>
        <w:autoSpaceDN w:val="0"/>
        <w:adjustRightInd w:val="0"/>
        <w:rPr>
          <w:rFonts w:cstheme="minorHAnsi"/>
          <w:i/>
          <w:iCs/>
          <w:szCs w:val="24"/>
          <w:lang w:val="en-GB"/>
        </w:rPr>
      </w:pPr>
      <m:oMath>
        <m:acc>
          <m:accPr>
            <m:ctrlPr>
              <w:rPr>
                <w:rFonts w:ascii="Cambria Math" w:hAnsi="Cambria Math" w:cstheme="minorHAnsi"/>
                <w:i/>
                <w:szCs w:val="24"/>
                <w:lang w:val="en-GB"/>
              </w:rPr>
            </m:ctrlPr>
          </m:accPr>
          <m:e>
            <m:r>
              <w:rPr>
                <w:rFonts w:ascii="Cambria Math" w:hAnsi="Cambria Math" w:cstheme="minorHAnsi"/>
                <w:szCs w:val="24"/>
                <w:lang w:val="en-GB"/>
              </w:rPr>
              <m:t>p</m:t>
            </m:r>
          </m:e>
        </m:acc>
        <m:d>
          <m:dPr>
            <m:ctrlPr>
              <w:rPr>
                <w:rFonts w:ascii="Cambria Math" w:hAnsi="Cambria Math" w:cstheme="minorHAnsi"/>
                <w:i/>
                <w:szCs w:val="24"/>
                <w:lang w:val="en-GB"/>
              </w:rPr>
            </m:ctrlPr>
          </m:dPr>
          <m:e>
            <m:sSub>
              <m:sSubPr>
                <m:ctrlPr>
                  <w:rPr>
                    <w:rFonts w:ascii="Cambria Math" w:hAnsi="Cambria Math" w:cstheme="minorHAnsi"/>
                    <w:i/>
                    <w:szCs w:val="24"/>
                    <w:lang w:val="en-GB"/>
                  </w:rPr>
                </m:ctrlPr>
              </m:sSubPr>
              <m:e>
                <m:r>
                  <w:rPr>
                    <w:rFonts w:ascii="Cambria Math" w:hAnsi="Cambria Math" w:cstheme="minorHAnsi"/>
                    <w:szCs w:val="24"/>
                    <w:lang w:val="en-GB"/>
                  </w:rPr>
                  <m:t>d</m:t>
                </m:r>
              </m:e>
              <m:sub>
                <m:r>
                  <w:rPr>
                    <w:rFonts w:ascii="Cambria Math" w:hAnsi="Cambria Math" w:cstheme="minorHAnsi"/>
                    <w:szCs w:val="24"/>
                    <w:lang w:val="en-GB"/>
                  </w:rPr>
                  <m:t>1,2,3</m:t>
                </m:r>
              </m:sub>
            </m:sSub>
          </m:e>
        </m:d>
        <m:r>
          <w:rPr>
            <w:rFonts w:ascii="Cambria Math" w:hAnsi="Cambria Math" w:cstheme="minorHAnsi"/>
            <w:szCs w:val="24"/>
            <w:lang w:val="en-GB"/>
          </w:rPr>
          <m:t>= p</m:t>
        </m:r>
        <m:d>
          <m:dPr>
            <m:ctrlPr>
              <w:rPr>
                <w:rFonts w:ascii="Cambria Math" w:hAnsi="Cambria Math" w:cstheme="minorHAnsi"/>
                <w:i/>
                <w:szCs w:val="24"/>
                <w:lang w:val="en-GB"/>
              </w:rPr>
            </m:ctrlPr>
          </m:dPr>
          <m:e>
            <m:sSub>
              <m:sSubPr>
                <m:ctrlPr>
                  <w:rPr>
                    <w:rFonts w:ascii="Cambria Math" w:hAnsi="Cambria Math" w:cstheme="minorHAnsi"/>
                    <w:i/>
                    <w:szCs w:val="24"/>
                    <w:lang w:val="en-GB"/>
                  </w:rPr>
                </m:ctrlPr>
              </m:sSubPr>
              <m:e>
                <m:r>
                  <w:rPr>
                    <w:rFonts w:ascii="Cambria Math" w:hAnsi="Cambria Math" w:cstheme="minorHAnsi"/>
                    <w:szCs w:val="24"/>
                    <w:lang w:val="en-GB"/>
                  </w:rPr>
                  <m:t>d</m:t>
                </m:r>
              </m:e>
              <m:sub>
                <m:r>
                  <w:rPr>
                    <w:rFonts w:ascii="Cambria Math" w:hAnsi="Cambria Math" w:cstheme="minorHAnsi"/>
                    <w:szCs w:val="24"/>
                    <w:lang w:val="en-GB"/>
                  </w:rPr>
                  <m:t>1,2</m:t>
                </m:r>
              </m:sub>
            </m:sSub>
          </m:e>
        </m:d>
        <m:r>
          <w:rPr>
            <w:rFonts w:ascii="Cambria Math" w:hAnsi="Cambria Math" w:cstheme="minorHAnsi"/>
            <w:szCs w:val="24"/>
            <w:lang w:val="en-GB"/>
          </w:rPr>
          <m:t>+</m:t>
        </m:r>
        <m:acc>
          <m:accPr>
            <m:ctrlPr>
              <w:rPr>
                <w:rFonts w:ascii="Cambria Math" w:hAnsi="Cambria Math" w:cstheme="minorHAnsi"/>
                <w:i/>
                <w:szCs w:val="24"/>
                <w:lang w:val="en-GB"/>
              </w:rPr>
            </m:ctrlPr>
          </m:accPr>
          <m:e>
            <m:r>
              <w:rPr>
                <w:rFonts w:ascii="Cambria Math" w:hAnsi="Cambria Math" w:cstheme="minorHAnsi"/>
                <w:szCs w:val="24"/>
                <w:lang w:val="en-GB"/>
              </w:rPr>
              <m:t>π</m:t>
            </m:r>
          </m:e>
        </m:acc>
        <m:d>
          <m:dPr>
            <m:ctrlPr>
              <w:rPr>
                <w:rFonts w:ascii="Cambria Math" w:hAnsi="Cambria Math" w:cstheme="minorHAnsi"/>
                <w:i/>
                <w:szCs w:val="24"/>
                <w:lang w:val="en-GB"/>
              </w:rPr>
            </m:ctrlPr>
          </m:dPr>
          <m:e>
            <m:r>
              <w:rPr>
                <w:rFonts w:ascii="Cambria Math" w:hAnsi="Cambria Math" w:cstheme="minorHAnsi"/>
                <w:szCs w:val="24"/>
                <w:lang w:val="en-GB"/>
              </w:rPr>
              <m:t>1-p</m:t>
            </m:r>
            <m:d>
              <m:dPr>
                <m:ctrlPr>
                  <w:rPr>
                    <w:rFonts w:ascii="Cambria Math" w:hAnsi="Cambria Math" w:cstheme="minorHAnsi"/>
                    <w:i/>
                    <w:szCs w:val="24"/>
                    <w:lang w:val="en-GB"/>
                  </w:rPr>
                </m:ctrlPr>
              </m:dPr>
              <m:e>
                <m:sSub>
                  <m:sSubPr>
                    <m:ctrlPr>
                      <w:rPr>
                        <w:rFonts w:ascii="Cambria Math" w:hAnsi="Cambria Math" w:cstheme="minorHAnsi"/>
                        <w:i/>
                        <w:szCs w:val="24"/>
                        <w:lang w:val="en-GB"/>
                      </w:rPr>
                    </m:ctrlPr>
                  </m:sSubPr>
                  <m:e>
                    <m:r>
                      <w:rPr>
                        <w:rFonts w:ascii="Cambria Math" w:hAnsi="Cambria Math" w:cstheme="minorHAnsi"/>
                        <w:szCs w:val="24"/>
                        <w:lang w:val="en-GB"/>
                      </w:rPr>
                      <m:t>d</m:t>
                    </m:r>
                  </m:e>
                  <m:sub>
                    <m:r>
                      <w:rPr>
                        <w:rFonts w:ascii="Cambria Math" w:hAnsi="Cambria Math" w:cstheme="minorHAnsi"/>
                        <w:szCs w:val="24"/>
                        <w:lang w:val="en-GB"/>
                      </w:rPr>
                      <m:t>1,2</m:t>
                    </m:r>
                  </m:sub>
                </m:sSub>
              </m:e>
            </m:d>
          </m:e>
        </m:d>
      </m:oMath>
      <w:r w:rsidR="00762B69" w:rsidRPr="00A34060">
        <w:rPr>
          <w:rFonts w:cstheme="minorHAnsi"/>
          <w:i/>
          <w:iCs/>
          <w:szCs w:val="24"/>
          <w:lang w:val="en-GB"/>
        </w:rPr>
        <w:t xml:space="preserve"> </w:t>
      </w:r>
    </w:p>
    <w:p w14:paraId="4A840AEB" w14:textId="6E4873F0" w:rsidR="005E417E" w:rsidRPr="00A34060" w:rsidRDefault="00AD1140" w:rsidP="00DE17F4">
      <w:pPr>
        <w:autoSpaceDE w:val="0"/>
        <w:autoSpaceDN w:val="0"/>
        <w:adjustRightInd w:val="0"/>
        <w:rPr>
          <w:rFonts w:cstheme="minorHAnsi"/>
          <w:szCs w:val="22"/>
          <w:lang w:val="en-GB"/>
        </w:rPr>
      </w:pPr>
      <w:r>
        <w:rPr>
          <w:rFonts w:cstheme="minorHAnsi"/>
          <w:szCs w:val="22"/>
          <w:lang w:val="en-GB"/>
        </w:rPr>
        <w:t>w</w:t>
      </w:r>
      <w:r w:rsidR="003D192E">
        <w:rPr>
          <w:rFonts w:cstheme="minorHAnsi"/>
          <w:szCs w:val="22"/>
          <w:lang w:val="en-GB"/>
        </w:rPr>
        <w:t>here d</w:t>
      </w:r>
      <w:r w:rsidR="003D192E" w:rsidRPr="003D192E">
        <w:rPr>
          <w:rFonts w:cstheme="minorHAnsi"/>
          <w:szCs w:val="22"/>
          <w:vertAlign w:val="subscript"/>
          <w:lang w:val="en-GB"/>
        </w:rPr>
        <w:t>1,2</w:t>
      </w:r>
      <w:r w:rsidR="003D192E">
        <w:rPr>
          <w:rFonts w:cstheme="minorHAnsi"/>
          <w:szCs w:val="22"/>
          <w:lang w:val="en-GB"/>
        </w:rPr>
        <w:t xml:space="preserve"> refers to </w:t>
      </w:r>
      <w:r>
        <w:rPr>
          <w:rFonts w:cstheme="minorHAnsi"/>
          <w:szCs w:val="22"/>
          <w:lang w:val="en-GB"/>
        </w:rPr>
        <w:t>the prevalence of deficiency 1 or deficiency 2.</w:t>
      </w:r>
      <w:r w:rsidR="003D192E">
        <w:rPr>
          <w:rFonts w:cstheme="minorHAnsi"/>
          <w:szCs w:val="22"/>
          <w:lang w:val="en-GB"/>
        </w:rPr>
        <w:t xml:space="preserve">  </w:t>
      </w:r>
      <w:r w:rsidR="00380225" w:rsidRPr="00A34060">
        <w:rPr>
          <w:rFonts w:cstheme="minorHAnsi"/>
          <w:szCs w:val="22"/>
          <w:lang w:val="en-GB"/>
        </w:rPr>
        <w:t xml:space="preserve">Estimating the prevalence of an unmeasured micronutrient deficiency results in a </w:t>
      </w:r>
      <w:r w:rsidR="001B2B55" w:rsidRPr="00A34060">
        <w:rPr>
          <w:rFonts w:cstheme="minorHAnsi"/>
          <w:szCs w:val="22"/>
          <w:lang w:val="en-GB"/>
        </w:rPr>
        <w:t xml:space="preserve">less </w:t>
      </w:r>
      <w:r w:rsidR="00380225" w:rsidRPr="00A34060">
        <w:rPr>
          <w:rFonts w:cstheme="minorHAnsi"/>
          <w:szCs w:val="22"/>
          <w:lang w:val="en-GB"/>
        </w:rPr>
        <w:t xml:space="preserve">certain estimate than implied by the </w:t>
      </w:r>
      <w:r w:rsidR="001B2B55" w:rsidRPr="00A34060">
        <w:rPr>
          <w:rFonts w:cstheme="minorHAnsi"/>
          <w:szCs w:val="22"/>
          <w:lang w:val="en-GB"/>
        </w:rPr>
        <w:t xml:space="preserve">survey sample size and </w:t>
      </w:r>
      <w:r w:rsidR="008F5996" w:rsidRPr="00A34060">
        <w:rPr>
          <w:rFonts w:cstheme="minorHAnsi"/>
          <w:szCs w:val="22"/>
          <w:lang w:val="en-GB"/>
        </w:rPr>
        <w:t>survey design. In order to propagate uncertainty to the next step, the following formula</w:t>
      </w:r>
      <w:r w:rsidR="006429C5" w:rsidRPr="00A34060">
        <w:rPr>
          <w:rFonts w:cstheme="minorHAnsi"/>
          <w:szCs w:val="22"/>
          <w:lang w:val="en-GB"/>
        </w:rPr>
        <w:t>e</w:t>
      </w:r>
      <w:r w:rsidR="008F5996" w:rsidRPr="00A34060">
        <w:rPr>
          <w:rFonts w:cstheme="minorHAnsi"/>
          <w:szCs w:val="22"/>
          <w:lang w:val="en-GB"/>
        </w:rPr>
        <w:t xml:space="preserve"> w</w:t>
      </w:r>
      <w:r w:rsidR="006429C5" w:rsidRPr="00A34060">
        <w:rPr>
          <w:rFonts w:cstheme="minorHAnsi"/>
          <w:szCs w:val="22"/>
          <w:lang w:val="en-GB"/>
        </w:rPr>
        <w:t>ere</w:t>
      </w:r>
      <w:r w:rsidR="008F5996" w:rsidRPr="00A34060">
        <w:rPr>
          <w:rFonts w:cstheme="minorHAnsi"/>
          <w:szCs w:val="22"/>
          <w:lang w:val="en-GB"/>
        </w:rPr>
        <w:t xml:space="preserve"> used to compute an effective sample size</w:t>
      </w:r>
      <w:r w:rsidR="00917E38">
        <w:rPr>
          <w:rFonts w:cstheme="minorHAnsi"/>
          <w:szCs w:val="22"/>
          <w:lang w:val="en-GB"/>
        </w:rPr>
        <w:t xml:space="preserve"> (n*)</w:t>
      </w:r>
      <w:r w:rsidR="008F5996" w:rsidRPr="00A34060">
        <w:rPr>
          <w:rFonts w:cstheme="minorHAnsi"/>
          <w:szCs w:val="22"/>
          <w:lang w:val="en-GB"/>
        </w:rPr>
        <w:t xml:space="preserve"> </w:t>
      </w:r>
      <w:r w:rsidR="009E42EB">
        <w:rPr>
          <w:rFonts w:cstheme="minorHAnsi"/>
          <w:szCs w:val="22"/>
          <w:lang w:val="en-GB"/>
        </w:rPr>
        <w:t xml:space="preserve">for each survey </w:t>
      </w:r>
      <w:r w:rsidR="008F5996" w:rsidRPr="00A34060">
        <w:rPr>
          <w:rFonts w:cstheme="minorHAnsi"/>
          <w:szCs w:val="22"/>
          <w:lang w:val="en-GB"/>
        </w:rPr>
        <w:t>that takes into account both the sampling uncertainty and the uncertainty from the regression-based adjustment:</w:t>
      </w:r>
    </w:p>
    <w:p w14:paraId="10E6D23F" w14:textId="6C19BC06" w:rsidR="00744D6D" w:rsidRPr="00A34060" w:rsidRDefault="00744D6D" w:rsidP="00DE17F4">
      <w:pPr>
        <w:autoSpaceDE w:val="0"/>
        <w:autoSpaceDN w:val="0"/>
        <w:adjustRightInd w:val="0"/>
        <w:rPr>
          <w:rFonts w:cstheme="minorHAnsi"/>
          <w:szCs w:val="24"/>
          <w:lang w:val="en-GB"/>
        </w:rPr>
      </w:pPr>
      <m:oMath>
        <m:r>
          <w:rPr>
            <w:rFonts w:ascii="Cambria Math" w:hAnsi="Cambria Math" w:cstheme="minorHAnsi"/>
            <w:szCs w:val="24"/>
            <w:lang w:val="en-GB"/>
          </w:rPr>
          <m:t>var</m:t>
        </m:r>
        <m:d>
          <m:dPr>
            <m:ctrlPr>
              <w:rPr>
                <w:rFonts w:ascii="Cambria Math" w:hAnsi="Cambria Math" w:cstheme="minorHAnsi"/>
                <w:i/>
                <w:szCs w:val="24"/>
                <w:lang w:val="en-GB"/>
              </w:rPr>
            </m:ctrlPr>
          </m:dPr>
          <m:e>
            <m:acc>
              <m:accPr>
                <m:ctrlPr>
                  <w:rPr>
                    <w:rFonts w:ascii="Cambria Math" w:hAnsi="Cambria Math" w:cstheme="minorHAnsi"/>
                    <w:i/>
                    <w:szCs w:val="24"/>
                    <w:lang w:val="en-GB"/>
                  </w:rPr>
                </m:ctrlPr>
              </m:accPr>
              <m:e>
                <m:r>
                  <w:rPr>
                    <w:rFonts w:ascii="Cambria Math" w:hAnsi="Cambria Math" w:cstheme="minorHAnsi"/>
                    <w:szCs w:val="24"/>
                    <w:lang w:val="en-GB"/>
                  </w:rPr>
                  <m:t>p</m:t>
                </m:r>
              </m:e>
            </m:acc>
            <m:d>
              <m:dPr>
                <m:ctrlPr>
                  <w:rPr>
                    <w:rFonts w:ascii="Cambria Math" w:hAnsi="Cambria Math" w:cstheme="minorHAnsi"/>
                    <w:i/>
                    <w:szCs w:val="24"/>
                    <w:lang w:val="en-GB"/>
                  </w:rPr>
                </m:ctrlPr>
              </m:dPr>
              <m:e>
                <m:sSub>
                  <m:sSubPr>
                    <m:ctrlPr>
                      <w:rPr>
                        <w:rFonts w:ascii="Cambria Math" w:hAnsi="Cambria Math" w:cstheme="minorHAnsi"/>
                        <w:i/>
                        <w:szCs w:val="24"/>
                        <w:lang w:val="en-GB"/>
                      </w:rPr>
                    </m:ctrlPr>
                  </m:sSubPr>
                  <m:e>
                    <m:r>
                      <w:rPr>
                        <w:rFonts w:ascii="Cambria Math" w:hAnsi="Cambria Math" w:cstheme="minorHAnsi"/>
                        <w:szCs w:val="24"/>
                        <w:lang w:val="en-GB"/>
                      </w:rPr>
                      <m:t>d</m:t>
                    </m:r>
                  </m:e>
                  <m:sub>
                    <m:r>
                      <w:rPr>
                        <w:rFonts w:ascii="Cambria Math" w:hAnsi="Cambria Math" w:cstheme="minorHAnsi"/>
                        <w:szCs w:val="24"/>
                        <w:lang w:val="en-GB"/>
                      </w:rPr>
                      <m:t>1,2,3</m:t>
                    </m:r>
                  </m:sub>
                </m:sSub>
              </m:e>
            </m:d>
          </m:e>
        </m:d>
        <m:r>
          <w:rPr>
            <w:rFonts w:ascii="Cambria Math" w:hAnsi="Cambria Math" w:cstheme="minorHAnsi"/>
            <w:szCs w:val="24"/>
            <w:lang w:val="en-GB"/>
          </w:rPr>
          <m:t>=</m:t>
        </m:r>
        <m:f>
          <m:fPr>
            <m:ctrlPr>
              <w:rPr>
                <w:rFonts w:ascii="Cambria Math" w:hAnsi="Cambria Math" w:cstheme="minorHAnsi"/>
                <w:i/>
                <w:szCs w:val="24"/>
                <w:lang w:val="en-GB"/>
              </w:rPr>
            </m:ctrlPr>
          </m:fPr>
          <m:num>
            <m:r>
              <w:rPr>
                <w:rFonts w:ascii="Cambria Math" w:hAnsi="Cambria Math" w:cstheme="minorHAnsi"/>
                <w:szCs w:val="24"/>
                <w:lang w:val="en-GB"/>
              </w:rPr>
              <m:t>np</m:t>
            </m:r>
            <m:d>
              <m:dPr>
                <m:ctrlPr>
                  <w:rPr>
                    <w:rFonts w:ascii="Cambria Math" w:hAnsi="Cambria Math" w:cstheme="minorHAnsi"/>
                    <w:i/>
                    <w:szCs w:val="24"/>
                    <w:lang w:val="en-GB"/>
                  </w:rPr>
                </m:ctrlPr>
              </m:dPr>
              <m:e>
                <m:sSub>
                  <m:sSubPr>
                    <m:ctrlPr>
                      <w:rPr>
                        <w:rFonts w:ascii="Cambria Math" w:hAnsi="Cambria Math" w:cstheme="minorHAnsi"/>
                        <w:i/>
                        <w:szCs w:val="24"/>
                        <w:lang w:val="en-GB"/>
                      </w:rPr>
                    </m:ctrlPr>
                  </m:sSubPr>
                  <m:e>
                    <m:r>
                      <w:rPr>
                        <w:rFonts w:ascii="Cambria Math" w:hAnsi="Cambria Math" w:cstheme="minorHAnsi"/>
                        <w:szCs w:val="24"/>
                        <w:lang w:val="en-GB"/>
                      </w:rPr>
                      <m:t>d</m:t>
                    </m:r>
                  </m:e>
                  <m:sub>
                    <m:r>
                      <w:rPr>
                        <w:rFonts w:ascii="Cambria Math" w:hAnsi="Cambria Math" w:cstheme="minorHAnsi"/>
                        <w:szCs w:val="24"/>
                        <w:lang w:val="en-GB"/>
                      </w:rPr>
                      <m:t>1,2</m:t>
                    </m:r>
                  </m:sub>
                </m:sSub>
              </m:e>
            </m:d>
            <m:d>
              <m:dPr>
                <m:ctrlPr>
                  <w:rPr>
                    <w:rFonts w:ascii="Cambria Math" w:hAnsi="Cambria Math" w:cstheme="minorHAnsi"/>
                    <w:i/>
                    <w:szCs w:val="24"/>
                    <w:lang w:val="en-GB"/>
                  </w:rPr>
                </m:ctrlPr>
              </m:dPr>
              <m:e>
                <m:r>
                  <w:rPr>
                    <w:rFonts w:ascii="Cambria Math" w:hAnsi="Cambria Math" w:cstheme="minorHAnsi"/>
                    <w:szCs w:val="24"/>
                    <w:lang w:val="en-GB"/>
                  </w:rPr>
                  <m:t>1-p</m:t>
                </m:r>
                <m:d>
                  <m:dPr>
                    <m:ctrlPr>
                      <w:rPr>
                        <w:rFonts w:ascii="Cambria Math" w:hAnsi="Cambria Math" w:cstheme="minorHAnsi"/>
                        <w:i/>
                        <w:szCs w:val="24"/>
                        <w:lang w:val="en-GB"/>
                      </w:rPr>
                    </m:ctrlPr>
                  </m:dPr>
                  <m:e>
                    <m:sSub>
                      <m:sSubPr>
                        <m:ctrlPr>
                          <w:rPr>
                            <w:rFonts w:ascii="Cambria Math" w:hAnsi="Cambria Math" w:cstheme="minorHAnsi"/>
                            <w:i/>
                            <w:szCs w:val="24"/>
                            <w:lang w:val="en-GB"/>
                          </w:rPr>
                        </m:ctrlPr>
                      </m:sSubPr>
                      <m:e>
                        <m:r>
                          <w:rPr>
                            <w:rFonts w:ascii="Cambria Math" w:hAnsi="Cambria Math" w:cstheme="minorHAnsi"/>
                            <w:szCs w:val="24"/>
                            <w:lang w:val="en-GB"/>
                          </w:rPr>
                          <m:t>d</m:t>
                        </m:r>
                      </m:e>
                      <m:sub>
                        <m:r>
                          <w:rPr>
                            <w:rFonts w:ascii="Cambria Math" w:hAnsi="Cambria Math" w:cstheme="minorHAnsi"/>
                            <w:szCs w:val="24"/>
                            <w:lang w:val="en-GB"/>
                          </w:rPr>
                          <m:t>1,2</m:t>
                        </m:r>
                      </m:sub>
                    </m:sSub>
                  </m:e>
                </m:d>
              </m:e>
            </m:d>
            <m:sSup>
              <m:sSupPr>
                <m:ctrlPr>
                  <w:rPr>
                    <w:rFonts w:ascii="Cambria Math" w:hAnsi="Cambria Math" w:cstheme="minorHAnsi"/>
                    <w:i/>
                    <w:szCs w:val="24"/>
                    <w:lang w:val="en-GB"/>
                  </w:rPr>
                </m:ctrlPr>
              </m:sSupPr>
              <m:e>
                <m:d>
                  <m:dPr>
                    <m:ctrlPr>
                      <w:rPr>
                        <w:rFonts w:ascii="Cambria Math" w:hAnsi="Cambria Math" w:cstheme="minorHAnsi"/>
                        <w:i/>
                        <w:szCs w:val="24"/>
                        <w:lang w:val="en-GB"/>
                      </w:rPr>
                    </m:ctrlPr>
                  </m:dPr>
                  <m:e>
                    <m:r>
                      <w:rPr>
                        <w:rFonts w:ascii="Cambria Math" w:hAnsi="Cambria Math" w:cstheme="minorHAnsi"/>
                        <w:szCs w:val="24"/>
                        <w:lang w:val="en-GB"/>
                      </w:rPr>
                      <m:t>1-</m:t>
                    </m:r>
                    <m:acc>
                      <m:accPr>
                        <m:ctrlPr>
                          <w:rPr>
                            <w:rFonts w:ascii="Cambria Math" w:hAnsi="Cambria Math" w:cstheme="minorHAnsi"/>
                            <w:i/>
                            <w:szCs w:val="24"/>
                            <w:lang w:val="en-GB"/>
                          </w:rPr>
                        </m:ctrlPr>
                      </m:accPr>
                      <m:e>
                        <m:r>
                          <w:rPr>
                            <w:rFonts w:ascii="Cambria Math" w:hAnsi="Cambria Math" w:cstheme="minorHAnsi"/>
                            <w:szCs w:val="24"/>
                            <w:lang w:val="en-GB"/>
                          </w:rPr>
                          <m:t>π</m:t>
                        </m:r>
                      </m:e>
                    </m:acc>
                  </m:e>
                </m:d>
              </m:e>
              <m:sup>
                <m:r>
                  <w:rPr>
                    <w:rFonts w:ascii="Cambria Math" w:hAnsi="Cambria Math" w:cstheme="minorHAnsi"/>
                    <w:szCs w:val="24"/>
                    <w:lang w:val="en-GB"/>
                  </w:rPr>
                  <m:t>2</m:t>
                </m:r>
              </m:sup>
            </m:sSup>
            <m:r>
              <w:rPr>
                <w:rFonts w:ascii="Cambria Math" w:hAnsi="Cambria Math" w:cstheme="minorHAnsi"/>
                <w:szCs w:val="24"/>
                <w:lang w:val="en-GB"/>
              </w:rPr>
              <m:t>+nVar</m:t>
            </m:r>
            <m:d>
              <m:dPr>
                <m:ctrlPr>
                  <w:rPr>
                    <w:rFonts w:ascii="Cambria Math" w:hAnsi="Cambria Math" w:cstheme="minorHAnsi"/>
                    <w:i/>
                    <w:szCs w:val="24"/>
                    <w:lang w:val="en-GB"/>
                  </w:rPr>
                </m:ctrlPr>
              </m:dPr>
              <m:e>
                <m:acc>
                  <m:accPr>
                    <m:ctrlPr>
                      <w:rPr>
                        <w:rFonts w:ascii="Cambria Math" w:hAnsi="Cambria Math" w:cstheme="minorHAnsi"/>
                        <w:i/>
                        <w:szCs w:val="24"/>
                        <w:lang w:val="en-GB"/>
                      </w:rPr>
                    </m:ctrlPr>
                  </m:accPr>
                  <m:e>
                    <m:r>
                      <w:rPr>
                        <w:rFonts w:ascii="Cambria Math" w:hAnsi="Cambria Math" w:cstheme="minorHAnsi"/>
                        <w:szCs w:val="24"/>
                        <w:lang w:val="en-GB"/>
                      </w:rPr>
                      <m:t>π</m:t>
                    </m:r>
                  </m:e>
                </m:acc>
              </m:e>
            </m:d>
            <m:d>
              <m:dPr>
                <m:ctrlPr>
                  <w:rPr>
                    <w:rFonts w:ascii="Cambria Math" w:hAnsi="Cambria Math" w:cstheme="minorHAnsi"/>
                    <w:i/>
                    <w:szCs w:val="24"/>
                    <w:lang w:val="en-GB"/>
                  </w:rPr>
                </m:ctrlPr>
              </m:dPr>
              <m:e>
                <m:r>
                  <w:rPr>
                    <w:rFonts w:ascii="Cambria Math" w:hAnsi="Cambria Math" w:cstheme="minorHAnsi"/>
                    <w:szCs w:val="24"/>
                    <w:lang w:val="en-GB"/>
                  </w:rPr>
                  <m:t>1-p</m:t>
                </m:r>
                <m:d>
                  <m:dPr>
                    <m:ctrlPr>
                      <w:rPr>
                        <w:rFonts w:ascii="Cambria Math" w:hAnsi="Cambria Math" w:cstheme="minorHAnsi"/>
                        <w:i/>
                        <w:szCs w:val="24"/>
                        <w:lang w:val="en-GB"/>
                      </w:rPr>
                    </m:ctrlPr>
                  </m:dPr>
                  <m:e>
                    <m:sSub>
                      <m:sSubPr>
                        <m:ctrlPr>
                          <w:rPr>
                            <w:rFonts w:ascii="Cambria Math" w:hAnsi="Cambria Math" w:cstheme="minorHAnsi"/>
                            <w:i/>
                            <w:szCs w:val="24"/>
                            <w:lang w:val="en-GB"/>
                          </w:rPr>
                        </m:ctrlPr>
                      </m:sSubPr>
                      <m:e>
                        <m:r>
                          <w:rPr>
                            <w:rFonts w:ascii="Cambria Math" w:hAnsi="Cambria Math" w:cstheme="minorHAnsi"/>
                            <w:szCs w:val="24"/>
                            <w:lang w:val="en-GB"/>
                          </w:rPr>
                          <m:t>d</m:t>
                        </m:r>
                      </m:e>
                      <m:sub>
                        <m:r>
                          <w:rPr>
                            <w:rFonts w:ascii="Cambria Math" w:hAnsi="Cambria Math" w:cstheme="minorHAnsi"/>
                            <w:szCs w:val="24"/>
                            <w:lang w:val="en-GB"/>
                          </w:rPr>
                          <m:t>1,2</m:t>
                        </m:r>
                      </m:sub>
                    </m:sSub>
                  </m:e>
                </m:d>
              </m:e>
            </m:d>
            <m:r>
              <w:rPr>
                <w:rFonts w:ascii="Cambria Math" w:hAnsi="Cambria Math" w:cstheme="minorHAnsi"/>
                <w:szCs w:val="24"/>
                <w:lang w:val="en-GB"/>
              </w:rPr>
              <m:t>p</m:t>
            </m:r>
            <m:d>
              <m:dPr>
                <m:ctrlPr>
                  <w:rPr>
                    <w:rFonts w:ascii="Cambria Math" w:hAnsi="Cambria Math" w:cstheme="minorHAnsi"/>
                    <w:i/>
                    <w:szCs w:val="24"/>
                    <w:lang w:val="en-GB"/>
                  </w:rPr>
                </m:ctrlPr>
              </m:dPr>
              <m:e>
                <m:sSub>
                  <m:sSubPr>
                    <m:ctrlPr>
                      <w:rPr>
                        <w:rFonts w:ascii="Cambria Math" w:hAnsi="Cambria Math" w:cstheme="minorHAnsi"/>
                        <w:i/>
                        <w:szCs w:val="24"/>
                        <w:lang w:val="en-GB"/>
                      </w:rPr>
                    </m:ctrlPr>
                  </m:sSubPr>
                  <m:e>
                    <m:r>
                      <w:rPr>
                        <w:rFonts w:ascii="Cambria Math" w:hAnsi="Cambria Math" w:cstheme="minorHAnsi"/>
                        <w:szCs w:val="24"/>
                        <w:lang w:val="en-GB"/>
                      </w:rPr>
                      <m:t>d</m:t>
                    </m:r>
                  </m:e>
                  <m:sub>
                    <m:r>
                      <w:rPr>
                        <w:rFonts w:ascii="Cambria Math" w:hAnsi="Cambria Math" w:cstheme="minorHAnsi"/>
                        <w:szCs w:val="24"/>
                        <w:lang w:val="en-GB"/>
                      </w:rPr>
                      <m:t>1,2</m:t>
                    </m:r>
                  </m:sub>
                </m:sSub>
              </m:e>
            </m:d>
            <m:r>
              <w:rPr>
                <w:rFonts w:ascii="Cambria Math" w:hAnsi="Cambria Math" w:cstheme="minorHAnsi"/>
                <w:szCs w:val="24"/>
                <w:lang w:val="en-GB"/>
              </w:rPr>
              <m:t>+</m:t>
            </m:r>
            <m:sSup>
              <m:sSupPr>
                <m:ctrlPr>
                  <w:rPr>
                    <w:rFonts w:ascii="Cambria Math" w:hAnsi="Cambria Math" w:cstheme="minorHAnsi"/>
                    <w:i/>
                    <w:szCs w:val="24"/>
                    <w:lang w:val="en-GB"/>
                  </w:rPr>
                </m:ctrlPr>
              </m:sSupPr>
              <m:e>
                <m:r>
                  <w:rPr>
                    <w:rFonts w:ascii="Cambria Math" w:hAnsi="Cambria Math" w:cstheme="minorHAnsi"/>
                    <w:szCs w:val="24"/>
                    <w:lang w:val="en-GB"/>
                  </w:rPr>
                  <m:t>n</m:t>
                </m:r>
              </m:e>
              <m:sup>
                <m:r>
                  <w:rPr>
                    <w:rFonts w:ascii="Cambria Math" w:hAnsi="Cambria Math" w:cstheme="minorHAnsi"/>
                    <w:szCs w:val="24"/>
                    <w:lang w:val="en-GB"/>
                  </w:rPr>
                  <m:t>2</m:t>
                </m:r>
              </m:sup>
            </m:sSup>
            <m:r>
              <w:rPr>
                <w:rFonts w:ascii="Cambria Math" w:hAnsi="Cambria Math" w:cstheme="minorHAnsi"/>
                <w:szCs w:val="24"/>
                <w:lang w:val="en-GB"/>
              </w:rPr>
              <m:t>Var</m:t>
            </m:r>
            <m:d>
              <m:dPr>
                <m:ctrlPr>
                  <w:rPr>
                    <w:rFonts w:ascii="Cambria Math" w:hAnsi="Cambria Math" w:cstheme="minorHAnsi"/>
                    <w:i/>
                    <w:szCs w:val="24"/>
                    <w:lang w:val="en-GB"/>
                  </w:rPr>
                </m:ctrlPr>
              </m:dPr>
              <m:e>
                <m:acc>
                  <m:accPr>
                    <m:ctrlPr>
                      <w:rPr>
                        <w:rFonts w:ascii="Cambria Math" w:hAnsi="Cambria Math" w:cstheme="minorHAnsi"/>
                        <w:i/>
                        <w:szCs w:val="24"/>
                        <w:lang w:val="en-GB"/>
                      </w:rPr>
                    </m:ctrlPr>
                  </m:accPr>
                  <m:e>
                    <m:r>
                      <w:rPr>
                        <w:rFonts w:ascii="Cambria Math" w:hAnsi="Cambria Math" w:cstheme="minorHAnsi"/>
                        <w:szCs w:val="24"/>
                        <w:lang w:val="en-GB"/>
                      </w:rPr>
                      <m:t>π</m:t>
                    </m:r>
                  </m:e>
                </m:acc>
              </m:e>
            </m:d>
            <m:sSup>
              <m:sSupPr>
                <m:ctrlPr>
                  <w:rPr>
                    <w:rFonts w:ascii="Cambria Math" w:hAnsi="Cambria Math" w:cstheme="minorHAnsi"/>
                    <w:i/>
                    <w:szCs w:val="24"/>
                    <w:lang w:val="en-GB"/>
                  </w:rPr>
                </m:ctrlPr>
              </m:sSupPr>
              <m:e>
                <m:d>
                  <m:dPr>
                    <m:ctrlPr>
                      <w:rPr>
                        <w:rFonts w:ascii="Cambria Math" w:hAnsi="Cambria Math" w:cstheme="minorHAnsi"/>
                        <w:i/>
                        <w:szCs w:val="24"/>
                        <w:lang w:val="en-GB"/>
                      </w:rPr>
                    </m:ctrlPr>
                  </m:dPr>
                  <m:e>
                    <m:r>
                      <w:rPr>
                        <w:rFonts w:ascii="Cambria Math" w:hAnsi="Cambria Math" w:cstheme="minorHAnsi"/>
                        <w:szCs w:val="24"/>
                        <w:lang w:val="en-GB"/>
                      </w:rPr>
                      <m:t>1-p</m:t>
                    </m:r>
                    <m:d>
                      <m:dPr>
                        <m:ctrlPr>
                          <w:rPr>
                            <w:rFonts w:ascii="Cambria Math" w:hAnsi="Cambria Math" w:cstheme="minorHAnsi"/>
                            <w:i/>
                            <w:szCs w:val="24"/>
                            <w:lang w:val="en-GB"/>
                          </w:rPr>
                        </m:ctrlPr>
                      </m:dPr>
                      <m:e>
                        <m:sSub>
                          <m:sSubPr>
                            <m:ctrlPr>
                              <w:rPr>
                                <w:rFonts w:ascii="Cambria Math" w:hAnsi="Cambria Math" w:cstheme="minorHAnsi"/>
                                <w:i/>
                                <w:szCs w:val="24"/>
                                <w:lang w:val="en-GB"/>
                              </w:rPr>
                            </m:ctrlPr>
                          </m:sSubPr>
                          <m:e>
                            <m:r>
                              <w:rPr>
                                <w:rFonts w:ascii="Cambria Math" w:hAnsi="Cambria Math" w:cstheme="minorHAnsi"/>
                                <w:szCs w:val="24"/>
                                <w:lang w:val="en-GB"/>
                              </w:rPr>
                              <m:t>d</m:t>
                            </m:r>
                          </m:e>
                          <m:sub>
                            <m:r>
                              <w:rPr>
                                <w:rFonts w:ascii="Cambria Math" w:hAnsi="Cambria Math" w:cstheme="minorHAnsi"/>
                                <w:szCs w:val="24"/>
                                <w:lang w:val="en-GB"/>
                              </w:rPr>
                              <m:t>1,2</m:t>
                            </m:r>
                          </m:sub>
                        </m:sSub>
                      </m:e>
                    </m:d>
                  </m:e>
                </m:d>
              </m:e>
              <m:sup>
                <m:r>
                  <w:rPr>
                    <w:rFonts w:ascii="Cambria Math" w:hAnsi="Cambria Math" w:cstheme="minorHAnsi"/>
                    <w:szCs w:val="24"/>
                    <w:lang w:val="en-GB"/>
                  </w:rPr>
                  <m:t>2</m:t>
                </m:r>
              </m:sup>
            </m:sSup>
          </m:num>
          <m:den>
            <m:sSup>
              <m:sSupPr>
                <m:ctrlPr>
                  <w:rPr>
                    <w:rFonts w:ascii="Cambria Math" w:hAnsi="Cambria Math" w:cstheme="minorHAnsi"/>
                    <w:i/>
                    <w:szCs w:val="24"/>
                    <w:lang w:val="en-GB"/>
                  </w:rPr>
                </m:ctrlPr>
              </m:sSupPr>
              <m:e>
                <m:r>
                  <w:rPr>
                    <w:rFonts w:ascii="Cambria Math" w:hAnsi="Cambria Math" w:cstheme="minorHAnsi"/>
                    <w:szCs w:val="24"/>
                    <w:lang w:val="en-GB"/>
                  </w:rPr>
                  <m:t>n</m:t>
                </m:r>
              </m:e>
              <m:sup>
                <m:r>
                  <w:rPr>
                    <w:rFonts w:ascii="Cambria Math" w:hAnsi="Cambria Math" w:cstheme="minorHAnsi"/>
                    <w:szCs w:val="24"/>
                    <w:lang w:val="en-GB"/>
                  </w:rPr>
                  <m:t>2</m:t>
                </m:r>
              </m:sup>
            </m:sSup>
          </m:den>
        </m:f>
      </m:oMath>
      <w:r w:rsidR="00762B69" w:rsidRPr="00A34060">
        <w:rPr>
          <w:rFonts w:cstheme="minorHAnsi"/>
          <w:szCs w:val="24"/>
          <w:lang w:val="en-GB"/>
        </w:rPr>
        <w:t xml:space="preserve"> </w:t>
      </w:r>
    </w:p>
    <w:p w14:paraId="09CB2188" w14:textId="5BA03374" w:rsidR="008F5996" w:rsidRPr="00A34060" w:rsidRDefault="00744D6D" w:rsidP="00DE17F4">
      <w:pPr>
        <w:autoSpaceDE w:val="0"/>
        <w:autoSpaceDN w:val="0"/>
        <w:adjustRightInd w:val="0"/>
        <w:rPr>
          <w:rFonts w:cstheme="minorHAnsi"/>
          <w:szCs w:val="22"/>
          <w:lang w:val="en-GB"/>
        </w:rPr>
      </w:pPr>
      <w:r w:rsidRPr="00A34060">
        <w:rPr>
          <w:rFonts w:cstheme="minorHAnsi"/>
          <w:szCs w:val="22"/>
          <w:lang w:val="en-GB"/>
        </w:rPr>
        <w:tab/>
      </w:r>
    </w:p>
    <w:p w14:paraId="2BE2C83A" w14:textId="1D25C472" w:rsidR="00744D6D" w:rsidRPr="00A34060" w:rsidRDefault="00803D0F" w:rsidP="00DE17F4">
      <w:pPr>
        <w:autoSpaceDE w:val="0"/>
        <w:autoSpaceDN w:val="0"/>
        <w:adjustRightInd w:val="0"/>
        <w:rPr>
          <w:rFonts w:cstheme="minorHAnsi"/>
          <w:szCs w:val="24"/>
          <w:lang w:val="en-GB"/>
        </w:rPr>
      </w:pPr>
      <m:oMath>
        <m:sSup>
          <m:sSupPr>
            <m:ctrlPr>
              <w:rPr>
                <w:rFonts w:ascii="Cambria Math" w:hAnsi="Cambria Math" w:cstheme="minorHAnsi"/>
                <w:i/>
                <w:szCs w:val="24"/>
                <w:lang w:val="en-GB"/>
              </w:rPr>
            </m:ctrlPr>
          </m:sSupPr>
          <m:e>
            <m:r>
              <w:rPr>
                <w:rFonts w:ascii="Cambria Math" w:hAnsi="Cambria Math" w:cstheme="minorHAnsi"/>
                <w:szCs w:val="24"/>
                <w:lang w:val="en-GB"/>
              </w:rPr>
              <m:t>n</m:t>
            </m:r>
          </m:e>
          <m:sup>
            <m:r>
              <w:rPr>
                <w:rFonts w:ascii="Cambria Math" w:hAnsi="Cambria Math" w:cstheme="minorHAnsi"/>
                <w:szCs w:val="24"/>
                <w:lang w:val="en-GB"/>
              </w:rPr>
              <m:t>*</m:t>
            </m:r>
          </m:sup>
        </m:sSup>
        <m:r>
          <w:rPr>
            <w:rFonts w:ascii="Cambria Math" w:hAnsi="Cambria Math" w:cstheme="minorHAnsi"/>
            <w:szCs w:val="24"/>
            <w:lang w:val="en-GB"/>
          </w:rPr>
          <m:t>=</m:t>
        </m:r>
        <m:f>
          <m:fPr>
            <m:ctrlPr>
              <w:rPr>
                <w:rFonts w:ascii="Cambria Math" w:hAnsi="Cambria Math" w:cstheme="minorHAnsi"/>
                <w:i/>
                <w:szCs w:val="24"/>
                <w:lang w:val="en-GB"/>
              </w:rPr>
            </m:ctrlPr>
          </m:fPr>
          <m:num>
            <m:acc>
              <m:accPr>
                <m:ctrlPr>
                  <w:rPr>
                    <w:rFonts w:ascii="Cambria Math" w:hAnsi="Cambria Math" w:cstheme="minorHAnsi"/>
                    <w:i/>
                    <w:szCs w:val="24"/>
                    <w:lang w:val="en-GB"/>
                  </w:rPr>
                </m:ctrlPr>
              </m:accPr>
              <m:e>
                <m:r>
                  <w:rPr>
                    <w:rFonts w:ascii="Cambria Math" w:hAnsi="Cambria Math" w:cstheme="minorHAnsi"/>
                    <w:szCs w:val="24"/>
                    <w:lang w:val="en-GB"/>
                  </w:rPr>
                  <m:t>p</m:t>
                </m:r>
              </m:e>
            </m:acc>
            <m:d>
              <m:dPr>
                <m:ctrlPr>
                  <w:rPr>
                    <w:rFonts w:ascii="Cambria Math" w:hAnsi="Cambria Math" w:cstheme="minorHAnsi"/>
                    <w:i/>
                    <w:szCs w:val="24"/>
                    <w:lang w:val="en-GB"/>
                  </w:rPr>
                </m:ctrlPr>
              </m:dPr>
              <m:e>
                <m:sSub>
                  <m:sSubPr>
                    <m:ctrlPr>
                      <w:rPr>
                        <w:rFonts w:ascii="Cambria Math" w:hAnsi="Cambria Math" w:cstheme="minorHAnsi"/>
                        <w:i/>
                        <w:szCs w:val="24"/>
                        <w:lang w:val="en-GB"/>
                      </w:rPr>
                    </m:ctrlPr>
                  </m:sSubPr>
                  <m:e>
                    <m:r>
                      <w:rPr>
                        <w:rFonts w:ascii="Cambria Math" w:hAnsi="Cambria Math" w:cstheme="minorHAnsi"/>
                        <w:szCs w:val="24"/>
                        <w:lang w:val="en-GB"/>
                      </w:rPr>
                      <m:t>d</m:t>
                    </m:r>
                  </m:e>
                  <m:sub>
                    <m:r>
                      <w:rPr>
                        <w:rFonts w:ascii="Cambria Math" w:hAnsi="Cambria Math" w:cstheme="minorHAnsi"/>
                        <w:szCs w:val="24"/>
                        <w:lang w:val="en-GB"/>
                      </w:rPr>
                      <m:t>1,2,3</m:t>
                    </m:r>
                  </m:sub>
                </m:sSub>
              </m:e>
            </m:d>
            <m:d>
              <m:dPr>
                <m:ctrlPr>
                  <w:rPr>
                    <w:rFonts w:ascii="Cambria Math" w:hAnsi="Cambria Math" w:cstheme="minorHAnsi"/>
                    <w:i/>
                    <w:szCs w:val="24"/>
                    <w:lang w:val="en-GB"/>
                  </w:rPr>
                </m:ctrlPr>
              </m:dPr>
              <m:e>
                <m:r>
                  <w:rPr>
                    <w:rFonts w:ascii="Cambria Math" w:hAnsi="Cambria Math" w:cstheme="minorHAnsi"/>
                    <w:szCs w:val="24"/>
                    <w:lang w:val="en-GB"/>
                  </w:rPr>
                  <m:t>1-</m:t>
                </m:r>
                <m:acc>
                  <m:accPr>
                    <m:ctrlPr>
                      <w:rPr>
                        <w:rFonts w:ascii="Cambria Math" w:hAnsi="Cambria Math" w:cstheme="minorHAnsi"/>
                        <w:i/>
                        <w:szCs w:val="24"/>
                        <w:lang w:val="en-GB"/>
                      </w:rPr>
                    </m:ctrlPr>
                  </m:accPr>
                  <m:e>
                    <m:r>
                      <w:rPr>
                        <w:rFonts w:ascii="Cambria Math" w:hAnsi="Cambria Math" w:cstheme="minorHAnsi"/>
                        <w:szCs w:val="24"/>
                        <w:lang w:val="en-GB"/>
                      </w:rPr>
                      <m:t>p</m:t>
                    </m:r>
                  </m:e>
                </m:acc>
                <m:d>
                  <m:dPr>
                    <m:ctrlPr>
                      <w:rPr>
                        <w:rFonts w:ascii="Cambria Math" w:hAnsi="Cambria Math" w:cstheme="minorHAnsi"/>
                        <w:i/>
                        <w:szCs w:val="24"/>
                        <w:lang w:val="en-GB"/>
                      </w:rPr>
                    </m:ctrlPr>
                  </m:dPr>
                  <m:e>
                    <m:sSub>
                      <m:sSubPr>
                        <m:ctrlPr>
                          <w:rPr>
                            <w:rFonts w:ascii="Cambria Math" w:hAnsi="Cambria Math" w:cstheme="minorHAnsi"/>
                            <w:i/>
                            <w:szCs w:val="24"/>
                            <w:lang w:val="en-GB"/>
                          </w:rPr>
                        </m:ctrlPr>
                      </m:sSubPr>
                      <m:e>
                        <m:r>
                          <w:rPr>
                            <w:rFonts w:ascii="Cambria Math" w:hAnsi="Cambria Math" w:cstheme="minorHAnsi"/>
                            <w:szCs w:val="24"/>
                            <w:lang w:val="en-GB"/>
                          </w:rPr>
                          <m:t>d</m:t>
                        </m:r>
                      </m:e>
                      <m:sub>
                        <m:r>
                          <w:rPr>
                            <w:rFonts w:ascii="Cambria Math" w:hAnsi="Cambria Math" w:cstheme="minorHAnsi"/>
                            <w:szCs w:val="24"/>
                            <w:lang w:val="en-GB"/>
                          </w:rPr>
                          <m:t>1,2,3</m:t>
                        </m:r>
                      </m:sub>
                    </m:sSub>
                  </m:e>
                </m:d>
              </m:e>
            </m:d>
          </m:num>
          <m:den>
            <m:r>
              <w:rPr>
                <w:rFonts w:ascii="Cambria Math" w:hAnsi="Cambria Math" w:cstheme="minorHAnsi"/>
                <w:szCs w:val="24"/>
                <w:lang w:val="en-GB"/>
              </w:rPr>
              <m:t>var</m:t>
            </m:r>
            <m:d>
              <m:dPr>
                <m:ctrlPr>
                  <w:rPr>
                    <w:rFonts w:ascii="Cambria Math" w:hAnsi="Cambria Math" w:cstheme="minorHAnsi"/>
                    <w:i/>
                    <w:szCs w:val="24"/>
                    <w:lang w:val="en-GB"/>
                  </w:rPr>
                </m:ctrlPr>
              </m:dPr>
              <m:e>
                <m:acc>
                  <m:accPr>
                    <m:ctrlPr>
                      <w:rPr>
                        <w:rFonts w:ascii="Cambria Math" w:hAnsi="Cambria Math" w:cstheme="minorHAnsi"/>
                        <w:i/>
                        <w:szCs w:val="24"/>
                        <w:lang w:val="en-GB"/>
                      </w:rPr>
                    </m:ctrlPr>
                  </m:accPr>
                  <m:e>
                    <m:r>
                      <w:rPr>
                        <w:rFonts w:ascii="Cambria Math" w:hAnsi="Cambria Math" w:cstheme="minorHAnsi"/>
                        <w:szCs w:val="24"/>
                        <w:lang w:val="en-GB"/>
                      </w:rPr>
                      <m:t>p</m:t>
                    </m:r>
                  </m:e>
                </m:acc>
                <m:d>
                  <m:dPr>
                    <m:ctrlPr>
                      <w:rPr>
                        <w:rFonts w:ascii="Cambria Math" w:hAnsi="Cambria Math" w:cstheme="minorHAnsi"/>
                        <w:i/>
                        <w:szCs w:val="24"/>
                        <w:lang w:val="en-GB"/>
                      </w:rPr>
                    </m:ctrlPr>
                  </m:dPr>
                  <m:e>
                    <m:sSub>
                      <m:sSubPr>
                        <m:ctrlPr>
                          <w:rPr>
                            <w:rFonts w:ascii="Cambria Math" w:hAnsi="Cambria Math" w:cstheme="minorHAnsi"/>
                            <w:i/>
                            <w:szCs w:val="24"/>
                            <w:lang w:val="en-GB"/>
                          </w:rPr>
                        </m:ctrlPr>
                      </m:sSubPr>
                      <m:e>
                        <m:r>
                          <w:rPr>
                            <w:rFonts w:ascii="Cambria Math" w:hAnsi="Cambria Math" w:cstheme="minorHAnsi"/>
                            <w:szCs w:val="24"/>
                            <w:lang w:val="en-GB"/>
                          </w:rPr>
                          <m:t>d</m:t>
                        </m:r>
                      </m:e>
                      <m:sub>
                        <m:r>
                          <w:rPr>
                            <w:rFonts w:ascii="Cambria Math" w:hAnsi="Cambria Math" w:cstheme="minorHAnsi"/>
                            <w:szCs w:val="24"/>
                            <w:lang w:val="en-GB"/>
                          </w:rPr>
                          <m:t>1,2,3</m:t>
                        </m:r>
                      </m:sub>
                    </m:sSub>
                  </m:e>
                </m:d>
              </m:e>
            </m:d>
          </m:den>
        </m:f>
      </m:oMath>
      <w:r w:rsidR="00744D6D" w:rsidRPr="00A34060">
        <w:rPr>
          <w:rFonts w:cstheme="minorHAnsi"/>
          <w:szCs w:val="24"/>
          <w:lang w:val="en-GB"/>
        </w:rPr>
        <w:tab/>
      </w:r>
    </w:p>
    <w:p w14:paraId="25FF1D09" w14:textId="77777777" w:rsidR="008F5996" w:rsidRPr="00A34060" w:rsidRDefault="008F5996" w:rsidP="00DE17F4">
      <w:pPr>
        <w:autoSpaceDE w:val="0"/>
        <w:autoSpaceDN w:val="0"/>
        <w:adjustRightInd w:val="0"/>
        <w:rPr>
          <w:rFonts w:cstheme="minorHAnsi"/>
          <w:szCs w:val="22"/>
          <w:lang w:val="en-GB"/>
        </w:rPr>
      </w:pPr>
    </w:p>
    <w:p w14:paraId="1EAE470E" w14:textId="7E954BFB" w:rsidR="009C5E0D" w:rsidRPr="00A34060" w:rsidRDefault="03C7B32C" w:rsidP="14402C93">
      <w:pPr>
        <w:pStyle w:val="Heading1"/>
        <w:rPr>
          <w:rStyle w:val="Heading1Char"/>
          <w:b/>
          <w:bCs/>
          <w:lang w:val="en-GB"/>
        </w:rPr>
      </w:pPr>
      <w:bookmarkStart w:id="17" w:name="_Toc94512117"/>
      <w:r w:rsidRPr="03C7B32C">
        <w:rPr>
          <w:rStyle w:val="Heading1Char"/>
          <w:b/>
          <w:bCs/>
          <w:lang w:val="en-GB"/>
        </w:rPr>
        <w:lastRenderedPageBreak/>
        <w:t>7.  Methods for estimating regional and global prevalence of at least one micronutrient deficiency</w:t>
      </w:r>
      <w:bookmarkEnd w:id="17"/>
    </w:p>
    <w:p w14:paraId="1EE8B3E3" w14:textId="40E9EF16" w:rsidR="009C5E0D" w:rsidRPr="00A34060" w:rsidRDefault="009C5E0D" w:rsidP="009C5E0D">
      <w:pPr>
        <w:autoSpaceDE w:val="0"/>
        <w:autoSpaceDN w:val="0"/>
        <w:adjustRightInd w:val="0"/>
        <w:rPr>
          <w:rFonts w:cstheme="minorHAnsi"/>
          <w:color w:val="000000"/>
          <w:lang w:val="en-GB"/>
        </w:rPr>
      </w:pPr>
      <w:r w:rsidRPr="00A34060">
        <w:rPr>
          <w:rFonts w:cstheme="minorHAnsi"/>
          <w:szCs w:val="22"/>
          <w:lang w:val="en-GB"/>
        </w:rPr>
        <w:t xml:space="preserve">Our aim was </w:t>
      </w:r>
      <w:r w:rsidR="00C02108" w:rsidRPr="00A34060">
        <w:rPr>
          <w:rFonts w:cstheme="minorHAnsi"/>
          <w:szCs w:val="22"/>
          <w:lang w:val="en-GB"/>
        </w:rPr>
        <w:t xml:space="preserve">to estimate the prevalence of any of three core micronutrient deficiencies globally and in 7 world regions. </w:t>
      </w:r>
      <w:r w:rsidRPr="00A34060">
        <w:rPr>
          <w:rFonts w:cstheme="minorHAnsi"/>
          <w:szCs w:val="22"/>
          <w:lang w:val="en-GB"/>
        </w:rPr>
        <w:t xml:space="preserve"> </w:t>
      </w:r>
      <w:r w:rsidR="00C02108" w:rsidRPr="00A34060">
        <w:rPr>
          <w:rFonts w:cstheme="minorHAnsi"/>
          <w:color w:val="000000"/>
          <w:szCs w:val="22"/>
          <w:lang w:val="en-GB"/>
        </w:rPr>
        <w:t>To do so, we fit the following Bayesian hierarchical logistic regression:</w:t>
      </w:r>
      <w:r w:rsidR="00C02108" w:rsidRPr="00A34060">
        <w:rPr>
          <w:rFonts w:cstheme="minorHAnsi"/>
          <w:color w:val="000000"/>
          <w:lang w:val="en-GB"/>
        </w:rPr>
        <w:t xml:space="preserve"> </w:t>
      </w:r>
    </w:p>
    <w:p w14:paraId="7114EDDD" w14:textId="4186EBCA" w:rsidR="00C02108" w:rsidRPr="00A34060" w:rsidRDefault="00803D0F" w:rsidP="00C02108">
      <w:pPr>
        <w:autoSpaceDE w:val="0"/>
        <w:autoSpaceDN w:val="0"/>
        <w:adjustRightInd w:val="0"/>
        <w:ind w:firstLine="720"/>
        <w:rPr>
          <w:rFonts w:cstheme="minorHAnsi"/>
          <w:szCs w:val="22"/>
          <w:lang w:val="en-GB"/>
        </w:rPr>
      </w:pPr>
      <m:oMath>
        <m:sSub>
          <m:sSubPr>
            <m:ctrlPr>
              <w:rPr>
                <w:rFonts w:ascii="Cambria Math" w:eastAsiaTheme="minorEastAsia" w:hAnsi="Cambria Math" w:cstheme="minorHAnsi"/>
                <w:i/>
                <w:iCs/>
                <w:color w:val="000000" w:themeColor="text1"/>
                <w:kern w:val="24"/>
                <w:szCs w:val="24"/>
              </w:rPr>
            </m:ctrlPr>
          </m:sSubPr>
          <m:e>
            <m:r>
              <w:rPr>
                <w:rFonts w:ascii="Cambria Math" w:eastAsia="Cambria Math" w:hAnsi="Cambria Math" w:cstheme="minorHAnsi"/>
                <w:color w:val="000000" w:themeColor="text1"/>
                <w:kern w:val="24"/>
                <w:szCs w:val="24"/>
              </w:rPr>
              <m:t>y</m:t>
            </m:r>
          </m:e>
          <m:sub>
            <m:r>
              <w:rPr>
                <w:rFonts w:ascii="Cambria Math" w:eastAsia="Cambria Math" w:hAnsi="Cambria Math" w:cstheme="minorHAnsi"/>
                <w:color w:val="000000" w:themeColor="text1"/>
                <w:kern w:val="24"/>
                <w:szCs w:val="24"/>
              </w:rPr>
              <m:t>i</m:t>
            </m:r>
          </m:sub>
        </m:sSub>
        <m:r>
          <w:rPr>
            <w:rFonts w:ascii="Cambria Math" w:eastAsia="Cambria Math" w:hAnsi="Cambria Math" w:cstheme="minorHAnsi"/>
            <w:color w:val="000000" w:themeColor="text1"/>
            <w:kern w:val="24"/>
            <w:szCs w:val="24"/>
          </w:rPr>
          <m:t> ~Binomial(</m:t>
        </m:r>
        <m:sSub>
          <m:sSubPr>
            <m:ctrlPr>
              <w:rPr>
                <w:rFonts w:ascii="Cambria Math" w:eastAsia="Cambria Math" w:hAnsi="Cambria Math" w:cstheme="minorHAnsi"/>
                <w:i/>
                <w:iCs/>
                <w:color w:val="000000" w:themeColor="text1"/>
                <w:kern w:val="24"/>
                <w:szCs w:val="24"/>
              </w:rPr>
            </m:ctrlPr>
          </m:sSubPr>
          <m:e>
            <m:r>
              <w:rPr>
                <w:rFonts w:ascii="Cambria Math" w:eastAsia="Cambria Math" w:hAnsi="Cambria Math" w:cstheme="minorHAnsi"/>
                <w:color w:val="000000" w:themeColor="text1"/>
                <w:kern w:val="24"/>
                <w:szCs w:val="24"/>
              </w:rPr>
              <m:t>n</m:t>
            </m:r>
          </m:e>
          <m:sub>
            <m:r>
              <w:rPr>
                <w:rFonts w:ascii="Cambria Math" w:eastAsia="Cambria Math" w:hAnsi="Cambria Math" w:cstheme="minorHAnsi"/>
                <w:color w:val="000000" w:themeColor="text1"/>
                <w:kern w:val="24"/>
                <w:szCs w:val="24"/>
              </w:rPr>
              <m:t>i</m:t>
            </m:r>
          </m:sub>
        </m:sSub>
        <m:r>
          <w:rPr>
            <w:rFonts w:ascii="Cambria Math" w:eastAsia="Cambria Math" w:hAnsi="Cambria Math" w:cstheme="minorHAnsi"/>
            <w:color w:val="000000" w:themeColor="text1"/>
            <w:kern w:val="24"/>
            <w:szCs w:val="24"/>
          </w:rPr>
          <m:t>,</m:t>
        </m:r>
        <m:sSub>
          <m:sSubPr>
            <m:ctrlPr>
              <w:rPr>
                <w:rFonts w:ascii="Cambria Math" w:eastAsia="Cambria Math" w:hAnsi="Cambria Math" w:cstheme="minorHAnsi"/>
                <w:i/>
                <w:iCs/>
                <w:color w:val="000000" w:themeColor="text1"/>
                <w:kern w:val="24"/>
                <w:szCs w:val="24"/>
              </w:rPr>
            </m:ctrlPr>
          </m:sSubPr>
          <m:e>
            <m:r>
              <w:rPr>
                <w:rFonts w:ascii="Cambria Math" w:eastAsia="Cambria Math" w:hAnsi="Cambria Math" w:cstheme="minorHAnsi"/>
                <w:color w:val="000000" w:themeColor="text1"/>
                <w:kern w:val="24"/>
                <w:szCs w:val="24"/>
              </w:rPr>
              <m:t>p</m:t>
            </m:r>
          </m:e>
          <m:sub>
            <m:r>
              <w:rPr>
                <w:rFonts w:ascii="Cambria Math" w:eastAsia="Cambria Math" w:hAnsi="Cambria Math" w:cstheme="minorHAnsi"/>
                <w:color w:val="000000" w:themeColor="text1"/>
                <w:kern w:val="24"/>
                <w:szCs w:val="24"/>
              </w:rPr>
              <m:t>i</m:t>
            </m:r>
          </m:sub>
        </m:sSub>
        <m:r>
          <w:rPr>
            <w:rFonts w:ascii="Cambria Math" w:eastAsia="Cambria Math" w:hAnsi="Cambria Math" w:cstheme="minorHAnsi"/>
            <w:color w:val="000000" w:themeColor="text1"/>
            <w:kern w:val="24"/>
            <w:szCs w:val="24"/>
          </w:rPr>
          <m:t>)</m:t>
        </m:r>
      </m:oMath>
      <w:r w:rsidR="00C02108" w:rsidRPr="00A34060">
        <w:rPr>
          <w:rFonts w:cstheme="minorHAnsi"/>
          <w:szCs w:val="22"/>
          <w:lang w:val="en-GB"/>
        </w:rPr>
        <w:t xml:space="preserve"> </w:t>
      </w:r>
    </w:p>
    <w:p w14:paraId="6049D019" w14:textId="0054525D" w:rsidR="009C5E0D" w:rsidRPr="00A34060" w:rsidRDefault="00803D0F" w:rsidP="00C02108">
      <w:pPr>
        <w:autoSpaceDE w:val="0"/>
        <w:autoSpaceDN w:val="0"/>
        <w:adjustRightInd w:val="0"/>
        <w:ind w:firstLine="720"/>
        <w:rPr>
          <w:rFonts w:cstheme="minorHAnsi"/>
          <w:szCs w:val="24"/>
          <w:lang w:val="en-GB"/>
        </w:rPr>
      </w:pPr>
      <m:oMath>
        <m:sSub>
          <m:sSubPr>
            <m:ctrlPr>
              <w:rPr>
                <w:rFonts w:ascii="Cambria Math" w:eastAsiaTheme="minorEastAsia" w:hAnsi="Cambria Math" w:cstheme="minorHAnsi"/>
                <w:i/>
                <w:iCs/>
                <w:color w:val="000000" w:themeColor="text1"/>
                <w:kern w:val="24"/>
                <w:szCs w:val="24"/>
              </w:rPr>
            </m:ctrlPr>
          </m:sSubPr>
          <m:e>
            <m:r>
              <w:rPr>
                <w:rFonts w:ascii="Cambria Math" w:hAnsi="Cambria Math" w:cstheme="minorHAnsi"/>
                <w:color w:val="000000" w:themeColor="text1"/>
                <w:kern w:val="24"/>
                <w:szCs w:val="24"/>
              </w:rPr>
              <m:t>p</m:t>
            </m:r>
          </m:e>
          <m:sub>
            <m:r>
              <w:rPr>
                <w:rFonts w:ascii="Cambria Math" w:hAnsi="Cambria Math" w:cstheme="minorHAnsi"/>
                <w:color w:val="000000" w:themeColor="text1"/>
                <w:kern w:val="24"/>
                <w:szCs w:val="24"/>
              </w:rPr>
              <m:t>i</m:t>
            </m:r>
          </m:sub>
        </m:sSub>
        <m:r>
          <w:rPr>
            <w:rFonts w:ascii="Cambria Math" w:eastAsia="Cambria Math" w:hAnsi="Cambria Math" w:cstheme="minorHAnsi"/>
            <w:color w:val="000000" w:themeColor="text1"/>
            <w:kern w:val="24"/>
            <w:szCs w:val="24"/>
          </w:rPr>
          <m:t>=</m:t>
        </m:r>
        <m:sSup>
          <m:sSupPr>
            <m:ctrlPr>
              <w:rPr>
                <w:rFonts w:ascii="Cambria Math" w:eastAsia="Cambria Math" w:hAnsi="Cambria Math" w:cstheme="minorHAnsi"/>
                <w:i/>
                <w:iCs/>
                <w:color w:val="000000" w:themeColor="text1"/>
                <w:kern w:val="24"/>
                <w:szCs w:val="24"/>
              </w:rPr>
            </m:ctrlPr>
          </m:sSupPr>
          <m:e>
            <m:r>
              <w:rPr>
                <w:rFonts w:ascii="Cambria Math" w:eastAsia="Cambria Math" w:hAnsi="Cambria Math" w:cstheme="minorHAnsi"/>
                <w:color w:val="000000" w:themeColor="text1"/>
                <w:kern w:val="24"/>
                <w:szCs w:val="24"/>
              </w:rPr>
              <m:t>logit</m:t>
            </m:r>
          </m:e>
          <m:sup>
            <m:r>
              <w:rPr>
                <w:rFonts w:ascii="Cambria Math" w:eastAsia="Cambria Math" w:hAnsi="Cambria Math" w:cstheme="minorHAnsi"/>
                <w:color w:val="000000" w:themeColor="text1"/>
                <w:kern w:val="24"/>
                <w:szCs w:val="24"/>
              </w:rPr>
              <m:t>-1</m:t>
            </m:r>
          </m:sup>
        </m:sSup>
        <m:r>
          <w:rPr>
            <w:rFonts w:ascii="Cambria Math" w:eastAsia="Cambria Math" w:hAnsi="Cambria Math" w:cstheme="minorHAnsi"/>
            <w:color w:val="000000" w:themeColor="text1"/>
            <w:kern w:val="24"/>
            <w:szCs w:val="24"/>
          </w:rPr>
          <m:t>(</m:t>
        </m:r>
        <m:sSub>
          <m:sSubPr>
            <m:ctrlPr>
              <w:rPr>
                <w:rFonts w:ascii="Cambria Math" w:eastAsia="Cambria Math" w:hAnsi="Cambria Math" w:cstheme="minorHAnsi"/>
                <w:i/>
                <w:iCs/>
                <w:color w:val="000000" w:themeColor="text1"/>
                <w:kern w:val="24"/>
                <w:szCs w:val="24"/>
              </w:rPr>
            </m:ctrlPr>
          </m:sSubPr>
          <m:e>
            <m:r>
              <w:rPr>
                <w:rFonts w:ascii="Cambria Math" w:eastAsia="Cambria Math" w:hAnsi="Cambria Math" w:cstheme="minorHAnsi"/>
                <w:color w:val="000000" w:themeColor="text1"/>
                <w:kern w:val="24"/>
                <w:szCs w:val="24"/>
              </w:rPr>
              <m:t>μ+α</m:t>
            </m:r>
          </m:e>
          <m:sub>
            <m:r>
              <w:rPr>
                <w:rFonts w:ascii="Cambria Math" w:eastAsia="Cambria Math" w:hAnsi="Cambria Math" w:cstheme="minorHAnsi"/>
                <w:color w:val="000000" w:themeColor="text1"/>
                <w:kern w:val="24"/>
                <w:szCs w:val="24"/>
              </w:rPr>
              <m:t>j[i]</m:t>
            </m:r>
          </m:sub>
        </m:sSub>
        <m:r>
          <w:rPr>
            <w:rFonts w:ascii="Cambria Math" w:eastAsia="Cambria Math" w:hAnsi="Cambria Math" w:cstheme="minorHAnsi"/>
            <w:color w:val="000000" w:themeColor="text1"/>
            <w:kern w:val="24"/>
            <w:szCs w:val="24"/>
          </w:rPr>
          <m:t>+</m:t>
        </m:r>
        <m:sSub>
          <m:sSubPr>
            <m:ctrlPr>
              <w:rPr>
                <w:rFonts w:ascii="Cambria Math" w:eastAsia="Cambria Math" w:hAnsi="Cambria Math" w:cstheme="minorHAnsi"/>
                <w:i/>
                <w:iCs/>
                <w:color w:val="000000" w:themeColor="text1"/>
                <w:kern w:val="24"/>
                <w:szCs w:val="24"/>
              </w:rPr>
            </m:ctrlPr>
          </m:sSubPr>
          <m:e>
            <m:r>
              <w:rPr>
                <w:rFonts w:ascii="Cambria Math" w:eastAsia="Cambria Math" w:hAnsi="Cambria Math" w:cstheme="minorHAnsi"/>
                <w:color w:val="000000" w:themeColor="text1"/>
                <w:kern w:val="24"/>
                <w:szCs w:val="24"/>
              </w:rPr>
              <m:t>X</m:t>
            </m:r>
          </m:e>
          <m:sub>
            <m:r>
              <w:rPr>
                <w:rFonts w:ascii="Cambria Math" w:eastAsia="Cambria Math" w:hAnsi="Cambria Math" w:cstheme="minorHAnsi"/>
                <w:color w:val="000000" w:themeColor="text1"/>
                <w:kern w:val="24"/>
                <w:szCs w:val="24"/>
              </w:rPr>
              <m:t>i</m:t>
            </m:r>
          </m:sub>
        </m:sSub>
        <m:r>
          <w:rPr>
            <w:rFonts w:ascii="Cambria Math" w:eastAsia="Cambria Math" w:hAnsi="Cambria Math" w:cstheme="minorHAnsi"/>
            <w:color w:val="000000" w:themeColor="text1"/>
            <w:kern w:val="24"/>
            <w:szCs w:val="24"/>
          </w:rPr>
          <m:t>β+</m:t>
        </m:r>
        <m:sSub>
          <m:sSubPr>
            <m:ctrlPr>
              <w:rPr>
                <w:rFonts w:ascii="Cambria Math" w:eastAsia="Cambria Math" w:hAnsi="Cambria Math" w:cstheme="minorHAnsi"/>
                <w:i/>
                <w:iCs/>
                <w:color w:val="000000" w:themeColor="text1"/>
                <w:kern w:val="24"/>
                <w:szCs w:val="24"/>
              </w:rPr>
            </m:ctrlPr>
          </m:sSubPr>
          <m:e>
            <m:r>
              <w:rPr>
                <w:rFonts w:ascii="Cambria Math" w:eastAsia="Cambria Math" w:hAnsi="Cambria Math" w:cstheme="minorHAnsi"/>
                <w:color w:val="000000" w:themeColor="text1"/>
                <w:kern w:val="24"/>
                <w:szCs w:val="24"/>
              </w:rPr>
              <m:t>e</m:t>
            </m:r>
          </m:e>
          <m:sub>
            <m:r>
              <w:rPr>
                <w:rFonts w:ascii="Cambria Math" w:eastAsia="Cambria Math" w:hAnsi="Cambria Math" w:cstheme="minorHAnsi"/>
                <w:color w:val="000000" w:themeColor="text1"/>
                <w:kern w:val="24"/>
                <w:szCs w:val="24"/>
              </w:rPr>
              <m:t>i</m:t>
            </m:r>
          </m:sub>
        </m:sSub>
        <m:r>
          <w:rPr>
            <w:rFonts w:ascii="Cambria Math" w:eastAsia="Cambria Math" w:hAnsi="Cambria Math" w:cstheme="minorHAnsi"/>
            <w:color w:val="000000" w:themeColor="text1"/>
            <w:kern w:val="24"/>
            <w:szCs w:val="24"/>
          </w:rPr>
          <m:t>)</m:t>
        </m:r>
      </m:oMath>
      <w:r w:rsidR="00C02108" w:rsidRPr="00A34060">
        <w:rPr>
          <w:rFonts w:cstheme="minorHAnsi"/>
          <w:szCs w:val="24"/>
          <w:lang w:val="en-GB"/>
        </w:rPr>
        <w:t xml:space="preserve"> </w:t>
      </w:r>
    </w:p>
    <w:p w14:paraId="3D4C9369" w14:textId="1A73CC37" w:rsidR="00AB3D0E" w:rsidRPr="00A34060" w:rsidRDefault="00803D0F" w:rsidP="00C02108">
      <w:pPr>
        <w:autoSpaceDE w:val="0"/>
        <w:autoSpaceDN w:val="0"/>
        <w:adjustRightInd w:val="0"/>
        <w:ind w:firstLine="720"/>
        <w:rPr>
          <w:rFonts w:cstheme="minorHAnsi"/>
          <w:szCs w:val="24"/>
          <w:lang w:val="en-GB"/>
        </w:rPr>
      </w:pPr>
      <m:oMath>
        <m:sSub>
          <m:sSubPr>
            <m:ctrlPr>
              <w:rPr>
                <w:rFonts w:ascii="Cambria Math" w:eastAsiaTheme="minorEastAsia" w:hAnsi="Cambria Math" w:cstheme="minorHAnsi"/>
                <w:i/>
                <w:iCs/>
                <w:color w:val="000000" w:themeColor="text1"/>
                <w:kern w:val="24"/>
                <w:szCs w:val="24"/>
              </w:rPr>
            </m:ctrlPr>
          </m:sSubPr>
          <m:e>
            <m:r>
              <w:rPr>
                <w:rFonts w:ascii="Cambria Math" w:eastAsia="Cambria Math" w:hAnsi="Cambria Math" w:cstheme="minorHAnsi"/>
                <w:color w:val="000000" w:themeColor="text1"/>
                <w:kern w:val="24"/>
                <w:szCs w:val="24"/>
              </w:rPr>
              <m:t>α</m:t>
            </m:r>
          </m:e>
          <m:sub>
            <m:r>
              <w:rPr>
                <w:rFonts w:ascii="Cambria Math" w:hAnsi="Cambria Math" w:cstheme="minorHAnsi"/>
                <w:color w:val="000000" w:themeColor="text1"/>
                <w:kern w:val="24"/>
                <w:szCs w:val="24"/>
              </w:rPr>
              <m:t>j</m:t>
            </m:r>
          </m:sub>
        </m:sSub>
        <m:r>
          <w:rPr>
            <w:rFonts w:ascii="Cambria Math" w:eastAsia="Cambria Math" w:hAnsi="Cambria Math" w:cstheme="minorHAnsi"/>
            <w:color w:val="000000" w:themeColor="text1"/>
            <w:kern w:val="24"/>
            <w:szCs w:val="24"/>
          </w:rPr>
          <m:t>~N(0,</m:t>
        </m:r>
        <m:sSup>
          <m:sSupPr>
            <m:ctrlPr>
              <w:rPr>
                <w:rFonts w:ascii="Cambria Math" w:eastAsia="Cambria Math" w:hAnsi="Cambria Math" w:cstheme="minorHAnsi"/>
                <w:i/>
                <w:iCs/>
                <w:color w:val="000000" w:themeColor="text1"/>
                <w:kern w:val="24"/>
                <w:szCs w:val="24"/>
              </w:rPr>
            </m:ctrlPr>
          </m:sSupPr>
          <m:e>
            <m:r>
              <w:rPr>
                <w:rFonts w:ascii="Cambria Math" w:eastAsia="Cambria Math" w:hAnsi="Cambria Math" w:cstheme="minorHAnsi"/>
                <w:color w:val="000000" w:themeColor="text1"/>
                <w:kern w:val="24"/>
                <w:szCs w:val="24"/>
              </w:rPr>
              <m:t>τ</m:t>
            </m:r>
          </m:e>
          <m:sup>
            <m:r>
              <w:rPr>
                <w:rFonts w:ascii="Cambria Math" w:eastAsia="Cambria Math" w:hAnsi="Cambria Math" w:cstheme="minorHAnsi"/>
                <w:color w:val="000000" w:themeColor="text1"/>
                <w:kern w:val="24"/>
                <w:szCs w:val="24"/>
              </w:rPr>
              <m:t>2</m:t>
            </m:r>
          </m:sup>
        </m:sSup>
        <m:r>
          <w:rPr>
            <w:rFonts w:ascii="Cambria Math" w:eastAsia="Cambria Math" w:hAnsi="Cambria Math" w:cstheme="minorHAnsi"/>
            <w:color w:val="000000" w:themeColor="text1"/>
            <w:kern w:val="24"/>
            <w:szCs w:val="24"/>
          </w:rPr>
          <m:t>)</m:t>
        </m:r>
      </m:oMath>
      <w:r w:rsidR="00C02108" w:rsidRPr="00A34060">
        <w:rPr>
          <w:rFonts w:cstheme="minorHAnsi"/>
          <w:szCs w:val="24"/>
          <w:lang w:val="en-GB"/>
        </w:rPr>
        <w:t xml:space="preserve"> </w:t>
      </w:r>
    </w:p>
    <w:p w14:paraId="3F5C5495" w14:textId="62B246B4" w:rsidR="00B006CB" w:rsidRPr="00A34060" w:rsidRDefault="00B006CB" w:rsidP="00C02108">
      <w:pPr>
        <w:autoSpaceDE w:val="0"/>
        <w:autoSpaceDN w:val="0"/>
        <w:adjustRightInd w:val="0"/>
        <w:rPr>
          <w:rFonts w:cstheme="minorHAnsi"/>
          <w:szCs w:val="22"/>
          <w:lang w:val="en-GB"/>
        </w:rPr>
      </w:pPr>
      <w:r w:rsidRPr="00A34060">
        <w:rPr>
          <w:rFonts w:cstheme="minorHAnsi"/>
          <w:noProof/>
          <w:szCs w:val="22"/>
          <w:lang w:eastAsia="en-US"/>
        </w:rPr>
        <mc:AlternateContent>
          <mc:Choice Requires="wps">
            <w:drawing>
              <wp:anchor distT="0" distB="0" distL="114300" distR="114300" simplePos="0" relativeHeight="251658240" behindDoc="0" locked="0" layoutInCell="1" allowOverlap="1" wp14:anchorId="154316AE" wp14:editId="6C4F6438">
                <wp:simplePos x="0" y="0"/>
                <wp:positionH relativeFrom="column">
                  <wp:posOffset>466725</wp:posOffset>
                </wp:positionH>
                <wp:positionV relativeFrom="paragraph">
                  <wp:posOffset>161925</wp:posOffset>
                </wp:positionV>
                <wp:extent cx="1236300" cy="304827"/>
                <wp:effectExtent l="0" t="0" r="0" b="0"/>
                <wp:wrapNone/>
                <wp:docPr id="3" name="TextBox 5"/>
                <wp:cNvGraphicFramePr/>
                <a:graphic xmlns:a="http://schemas.openxmlformats.org/drawingml/2006/main">
                  <a:graphicData uri="http://schemas.microsoft.com/office/word/2010/wordprocessingShape">
                    <wps:wsp>
                      <wps:cNvSpPr txBox="1"/>
                      <wps:spPr>
                        <a:xfrm>
                          <a:off x="0" y="0"/>
                          <a:ext cx="1236300" cy="304827"/>
                        </a:xfrm>
                        <a:prstGeom prst="rect">
                          <a:avLst/>
                        </a:prstGeom>
                        <a:noFill/>
                      </wps:spPr>
                      <wps:txbx>
                        <w:txbxContent>
                          <w:p w14:paraId="0245FBD5" w14:textId="1AE5D42C" w:rsidR="00D5417E" w:rsidRDefault="00D5417E" w:rsidP="006A36A7">
                            <w:pPr>
                              <w:rPr>
                                <w:rFonts w:ascii="Cambria Math" w:hAnsi="+mn-cs" w:cstheme="minorBidi"/>
                                <w:i/>
                                <w:iCs/>
                                <w:color w:val="000000" w:themeColor="text1"/>
                                <w:kern w:val="24"/>
                                <w:sz w:val="36"/>
                                <w:szCs w:val="36"/>
                              </w:rPr>
                            </w:pPr>
                          </w:p>
                        </w:txbxContent>
                      </wps:txbx>
                      <wps:bodyPr wrap="none" lIns="0" tIns="0" rIns="0" bIns="0" rtlCol="0">
                        <a:spAutoFit/>
                      </wps:bodyPr>
                    </wps:wsp>
                  </a:graphicData>
                </a:graphic>
              </wp:anchor>
            </w:drawing>
          </mc:Choice>
          <mc:Fallback xmlns:w16sdtdh="http://schemas.microsoft.com/office/word/2020/wordml/sdtdatahash">
            <w:pict>
              <v:shapetype w14:anchorId="154316AE" id="_x0000_t202" coordsize="21600,21600" o:spt="202" path="m,l,21600r21600,l21600,xe">
                <v:stroke joinstyle="miter"/>
                <v:path gradientshapeok="t" o:connecttype="rect"/>
              </v:shapetype>
              <v:shape id="TextBox 5" o:spid="_x0000_s1026" type="#_x0000_t202" style="position:absolute;margin-left:36.75pt;margin-top:12.75pt;width:97.35pt;height:24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" filled="f" stroked="f">
                <v:textbox style="mso-fit-shape-to-text:t" inset="0,0,0,0">
                  <w:txbxContent>
                    <w:p w14:paraId="0245FBD5" w14:textId="1AE5D42C" w:rsidR="00D5417E" w:rsidRDefault="00D5417E" w:rsidP="006A36A7">
                      <w:pPr>
                        <w:rPr>
                          <w:rFonts w:ascii="Cambria Math" w:hAnsi="+mn-cs" w:cstheme="minorBidi"/>
                          <w:i/>
                          <w:iCs/>
                          <w:color w:val="000000" w:themeColor="text1"/>
                          <w:kern w:val="24"/>
                          <w:sz w:val="36"/>
                          <w:szCs w:val="36"/>
                        </w:rPr>
                      </w:pPr>
                    </w:p>
                  </w:txbxContent>
                </v:textbox>
              </v:shape>
            </w:pict>
          </mc:Fallback>
        </mc:AlternateContent>
      </w:r>
      <w:r w:rsidRPr="00A34060">
        <w:rPr>
          <w:rFonts w:cstheme="minorHAnsi"/>
          <w:szCs w:val="22"/>
        </w:rPr>
        <w:t xml:space="preserve">Each survey </w:t>
      </w:r>
      <w:r w:rsidRPr="00A34060">
        <w:rPr>
          <w:rFonts w:cstheme="minorHAnsi"/>
          <w:i/>
          <w:iCs/>
          <w:szCs w:val="22"/>
        </w:rPr>
        <w:t>i</w:t>
      </w:r>
      <w:r w:rsidRPr="00A34060">
        <w:rPr>
          <w:rFonts w:cstheme="minorHAnsi"/>
          <w:szCs w:val="22"/>
        </w:rPr>
        <w:t xml:space="preserve"> is nested in region </w:t>
      </w:r>
      <w:r w:rsidRPr="00A34060">
        <w:rPr>
          <w:rFonts w:cstheme="minorHAnsi"/>
          <w:i/>
          <w:iCs/>
          <w:szCs w:val="22"/>
        </w:rPr>
        <w:t>j</w:t>
      </w:r>
      <w:r w:rsidRPr="00A34060">
        <w:rPr>
          <w:rFonts w:cstheme="minorHAnsi"/>
          <w:szCs w:val="22"/>
        </w:rPr>
        <w:t>, with:</w:t>
      </w:r>
    </w:p>
    <w:p w14:paraId="5425B39E" w14:textId="3BA1FD5C" w:rsidR="00B006CB" w:rsidRPr="00A34060" w:rsidRDefault="00803D0F" w:rsidP="00B006CB">
      <w:pPr>
        <w:rPr>
          <w:rFonts w:cstheme="minorHAnsi"/>
          <w:szCs w:val="22"/>
        </w:rPr>
      </w:pPr>
      <m:oMath>
        <m:sSub>
          <m:sSubPr>
            <m:ctrlPr>
              <w:rPr>
                <w:rFonts w:ascii="Cambria Math" w:hAnsi="Cambria Math" w:cstheme="minorHAnsi"/>
                <w:i/>
                <w:iCs/>
                <w:szCs w:val="22"/>
              </w:rPr>
            </m:ctrlPr>
          </m:sSubPr>
          <m:e>
            <m:r>
              <w:rPr>
                <w:rFonts w:ascii="Cambria Math" w:hAnsi="Cambria Math" w:cstheme="minorHAnsi"/>
                <w:szCs w:val="22"/>
              </w:rPr>
              <m:t>p</m:t>
            </m:r>
          </m:e>
          <m:sub>
            <m:r>
              <w:rPr>
                <w:rFonts w:ascii="Cambria Math" w:hAnsi="Cambria Math" w:cstheme="minorHAnsi"/>
                <w:szCs w:val="22"/>
              </w:rPr>
              <m:t>i</m:t>
            </m:r>
          </m:sub>
        </m:sSub>
      </m:oMath>
      <w:r w:rsidR="00B006CB" w:rsidRPr="00A34060">
        <w:rPr>
          <w:rFonts w:cstheme="minorHAnsi"/>
          <w:szCs w:val="22"/>
        </w:rPr>
        <w:tab/>
        <w:t>prevalence of any of three core deficiencies</w:t>
      </w:r>
      <w:r w:rsidR="00917E38">
        <w:rPr>
          <w:rFonts w:cstheme="minorHAnsi"/>
          <w:szCs w:val="22"/>
        </w:rPr>
        <w:t xml:space="preserve"> (d</w:t>
      </w:r>
      <w:r w:rsidR="00917E38">
        <w:rPr>
          <w:rFonts w:cstheme="minorHAnsi"/>
          <w:szCs w:val="22"/>
          <w:vertAlign w:val="subscript"/>
        </w:rPr>
        <w:t>1,2,3</w:t>
      </w:r>
      <w:r w:rsidR="00917E38">
        <w:rPr>
          <w:rFonts w:cstheme="minorHAnsi"/>
          <w:szCs w:val="22"/>
        </w:rPr>
        <w:t>)</w:t>
      </w:r>
      <w:r w:rsidR="00B006CB" w:rsidRPr="00A34060">
        <w:rPr>
          <w:rFonts w:cstheme="minorHAnsi"/>
          <w:szCs w:val="22"/>
        </w:rPr>
        <w:t xml:space="preserve"> in survey </w:t>
      </w:r>
      <w:r w:rsidR="00B006CB" w:rsidRPr="00A34060">
        <w:rPr>
          <w:rFonts w:cstheme="minorHAnsi"/>
          <w:i/>
          <w:iCs/>
          <w:szCs w:val="22"/>
        </w:rPr>
        <w:t>i</w:t>
      </w:r>
      <w:r w:rsidR="00B006CB" w:rsidRPr="00A34060">
        <w:rPr>
          <w:rFonts w:cstheme="minorHAnsi"/>
          <w:szCs w:val="22"/>
        </w:rPr>
        <w:t xml:space="preserve"> with effective sample size </w:t>
      </w:r>
      <m:oMath>
        <m:sSub>
          <m:sSubPr>
            <m:ctrlPr>
              <w:rPr>
                <w:rFonts w:ascii="Cambria Math" w:hAnsi="Cambria Math" w:cstheme="minorHAnsi"/>
                <w:i/>
                <w:iCs/>
                <w:szCs w:val="22"/>
              </w:rPr>
            </m:ctrlPr>
          </m:sSubPr>
          <m:e>
            <m:r>
              <w:rPr>
                <w:rFonts w:ascii="Cambria Math" w:hAnsi="Cambria Math" w:cstheme="minorHAnsi"/>
                <w:szCs w:val="22"/>
              </w:rPr>
              <m:t>n</m:t>
            </m:r>
          </m:e>
          <m:sub>
            <m:r>
              <w:rPr>
                <w:rFonts w:ascii="Cambria Math" w:hAnsi="Cambria Math" w:cstheme="minorHAnsi"/>
                <w:szCs w:val="22"/>
              </w:rPr>
              <m:t>i</m:t>
            </m:r>
          </m:sub>
        </m:sSub>
      </m:oMath>
    </w:p>
    <w:p w14:paraId="456885EC" w14:textId="5A49D52F" w:rsidR="00B006CB" w:rsidRPr="00A34060" w:rsidRDefault="00B006CB" w:rsidP="00B006CB">
      <w:pPr>
        <w:rPr>
          <w:rFonts w:cstheme="minorHAnsi"/>
          <w:szCs w:val="22"/>
        </w:rPr>
      </w:pPr>
      <m:oMath>
        <m:r>
          <w:rPr>
            <w:rFonts w:ascii="Cambria Math" w:hAnsi="Cambria Math" w:cstheme="minorHAnsi"/>
            <w:szCs w:val="22"/>
          </w:rPr>
          <m:t>μ</m:t>
        </m:r>
      </m:oMath>
      <w:r w:rsidRPr="00A34060">
        <w:rPr>
          <w:rFonts w:cstheme="minorHAnsi"/>
          <w:szCs w:val="22"/>
        </w:rPr>
        <w:tab/>
        <w:t>fixed intercept</w:t>
      </w:r>
    </w:p>
    <w:p w14:paraId="55E67A30" w14:textId="5C418D9D" w:rsidR="00B006CB" w:rsidRPr="00A34060" w:rsidRDefault="00803D0F" w:rsidP="00B006CB">
      <w:pPr>
        <w:rPr>
          <w:rFonts w:cstheme="minorHAnsi"/>
          <w:szCs w:val="22"/>
        </w:rPr>
      </w:pPr>
      <m:oMath>
        <m:sSub>
          <m:sSubPr>
            <m:ctrlPr>
              <w:rPr>
                <w:rFonts w:ascii="Cambria Math" w:hAnsi="Cambria Math" w:cstheme="minorHAnsi"/>
                <w:i/>
                <w:iCs/>
                <w:szCs w:val="22"/>
              </w:rPr>
            </m:ctrlPr>
          </m:sSubPr>
          <m:e>
            <m:r>
              <w:rPr>
                <w:rFonts w:ascii="Cambria Math" w:hAnsi="Cambria Math" w:cstheme="minorHAnsi"/>
                <w:szCs w:val="22"/>
              </w:rPr>
              <m:t>α</m:t>
            </m:r>
          </m:e>
          <m:sub>
            <m:r>
              <w:rPr>
                <w:rFonts w:ascii="Cambria Math" w:hAnsi="Cambria Math" w:cstheme="minorHAnsi"/>
                <w:szCs w:val="22"/>
              </w:rPr>
              <m:t>j</m:t>
            </m:r>
          </m:sub>
        </m:sSub>
      </m:oMath>
      <w:r w:rsidR="00B006CB" w:rsidRPr="00A34060">
        <w:rPr>
          <w:rFonts w:cstheme="minorHAnsi"/>
          <w:szCs w:val="22"/>
        </w:rPr>
        <w:tab/>
        <w:t xml:space="preserve">random intercepts for each region j </w:t>
      </w:r>
    </w:p>
    <w:p w14:paraId="0F0F6F38" w14:textId="07140910" w:rsidR="00DC449D" w:rsidRDefault="00803D0F" w:rsidP="00DC449D">
      <w:pPr>
        <w:autoSpaceDE w:val="0"/>
        <w:autoSpaceDN w:val="0"/>
        <w:adjustRightInd w:val="0"/>
        <w:rPr>
          <w:rFonts w:cstheme="minorHAnsi"/>
          <w:szCs w:val="22"/>
        </w:rPr>
      </w:pPr>
      <m:oMath>
        <m:sSub>
          <m:sSubPr>
            <m:ctrlPr>
              <w:rPr>
                <w:rFonts w:ascii="Cambria Math" w:hAnsi="Cambria Math" w:cstheme="minorHAnsi"/>
                <w:i/>
                <w:iCs/>
                <w:szCs w:val="22"/>
              </w:rPr>
            </m:ctrlPr>
          </m:sSubPr>
          <m:e>
            <m:r>
              <w:rPr>
                <w:rFonts w:ascii="Cambria Math" w:hAnsi="Cambria Math" w:cstheme="minorHAnsi"/>
                <w:szCs w:val="22"/>
              </w:rPr>
              <m:t>X</m:t>
            </m:r>
          </m:e>
          <m:sub>
            <m:r>
              <w:rPr>
                <w:rFonts w:ascii="Cambria Math" w:hAnsi="Cambria Math" w:cstheme="minorHAnsi"/>
                <w:szCs w:val="22"/>
              </w:rPr>
              <m:t>i</m:t>
            </m:r>
          </m:sub>
        </m:sSub>
      </m:oMath>
      <w:r w:rsidR="00DC449D" w:rsidRPr="00A34060">
        <w:rPr>
          <w:rFonts w:cstheme="minorHAnsi"/>
          <w:szCs w:val="22"/>
        </w:rPr>
        <w:tab/>
        <w:t>country-level covariate</w:t>
      </w:r>
    </w:p>
    <w:p w14:paraId="5E2A7528" w14:textId="26AC4F3B" w:rsidR="00DC449D" w:rsidRDefault="00DC449D" w:rsidP="00DC449D">
      <w:pPr>
        <w:autoSpaceDE w:val="0"/>
        <w:autoSpaceDN w:val="0"/>
        <w:adjustRightInd w:val="0"/>
        <w:rPr>
          <w:rFonts w:cstheme="minorHAnsi"/>
          <w:szCs w:val="22"/>
        </w:rPr>
      </w:pPr>
      <m:oMath>
        <m:r>
          <w:rPr>
            <w:rFonts w:ascii="Cambria Math" w:hAnsi="Cambria Math" w:cstheme="minorHAnsi"/>
            <w:szCs w:val="22"/>
          </w:rPr>
          <m:t>β</m:t>
        </m:r>
      </m:oMath>
      <w:r w:rsidRPr="00A34060">
        <w:rPr>
          <w:rFonts w:cstheme="minorHAnsi"/>
          <w:szCs w:val="22"/>
        </w:rPr>
        <w:tab/>
      </w:r>
      <w:r>
        <w:rPr>
          <w:rFonts w:cstheme="minorHAnsi"/>
          <w:szCs w:val="22"/>
        </w:rPr>
        <w:t>coefficient of the country-level covariate</w:t>
      </w:r>
    </w:p>
    <w:p w14:paraId="0A87E44A" w14:textId="5B1085D5" w:rsidR="00B006CB" w:rsidRDefault="00803D0F" w:rsidP="00B006CB">
      <w:pPr>
        <w:rPr>
          <w:rFonts w:cstheme="minorHAnsi"/>
          <w:szCs w:val="22"/>
        </w:rPr>
      </w:pPr>
      <m:oMath>
        <m:sSub>
          <m:sSubPr>
            <m:ctrlPr>
              <w:rPr>
                <w:rFonts w:ascii="Cambria Math" w:hAnsi="Cambria Math" w:cstheme="minorHAnsi"/>
                <w:i/>
                <w:iCs/>
                <w:szCs w:val="22"/>
              </w:rPr>
            </m:ctrlPr>
          </m:sSubPr>
          <m:e>
            <m:r>
              <w:rPr>
                <w:rFonts w:ascii="Cambria Math" w:hAnsi="Cambria Math" w:cstheme="minorHAnsi"/>
                <w:szCs w:val="22"/>
              </w:rPr>
              <m:t>e</m:t>
            </m:r>
          </m:e>
          <m:sub>
            <m:r>
              <w:rPr>
                <w:rFonts w:ascii="Cambria Math" w:hAnsi="Cambria Math" w:cstheme="minorHAnsi"/>
                <w:szCs w:val="22"/>
              </w:rPr>
              <m:t>i</m:t>
            </m:r>
          </m:sub>
        </m:sSub>
      </m:oMath>
      <w:r w:rsidR="00B006CB" w:rsidRPr="00A34060">
        <w:rPr>
          <w:rFonts w:cstheme="minorHAnsi"/>
          <w:szCs w:val="22"/>
        </w:rPr>
        <w:tab/>
        <w:t>residual survey error (non-sampling error)</w:t>
      </w:r>
    </w:p>
    <w:p w14:paraId="46EB0209" w14:textId="1460E748" w:rsidR="004668B2" w:rsidRPr="00A34060" w:rsidRDefault="00803D0F" w:rsidP="004668B2">
      <w:pPr>
        <w:autoSpaceDE w:val="0"/>
        <w:autoSpaceDN w:val="0"/>
        <w:adjustRightInd w:val="0"/>
        <w:ind w:left="720" w:hanging="720"/>
        <w:rPr>
          <w:rFonts w:cstheme="minorHAnsi"/>
          <w:szCs w:val="22"/>
        </w:rPr>
      </w:pPr>
      <m:oMath>
        <m:sSub>
          <m:sSubPr>
            <m:ctrlPr>
              <w:rPr>
                <w:rFonts w:ascii="Cambria Math" w:hAnsi="Cambria Math" w:cstheme="minorHAnsi"/>
                <w:i/>
                <w:iCs/>
                <w:szCs w:val="22"/>
              </w:rPr>
            </m:ctrlPr>
          </m:sSubPr>
          <m:e>
            <m:r>
              <w:rPr>
                <w:rFonts w:ascii="Cambria Math" w:hAnsi="Cambria Math" w:cstheme="minorHAnsi"/>
                <w:szCs w:val="22"/>
              </w:rPr>
              <m:t>y</m:t>
            </m:r>
          </m:e>
          <m:sub>
            <m:r>
              <w:rPr>
                <w:rFonts w:ascii="Cambria Math" w:hAnsi="Cambria Math" w:cstheme="minorHAnsi"/>
                <w:szCs w:val="22"/>
              </w:rPr>
              <m:t>i</m:t>
            </m:r>
          </m:sub>
        </m:sSub>
      </m:oMath>
      <w:r w:rsidR="004668B2" w:rsidRPr="00A34060">
        <w:rPr>
          <w:rFonts w:cstheme="minorHAnsi"/>
          <w:szCs w:val="22"/>
        </w:rPr>
        <w:t xml:space="preserve"> </w:t>
      </w:r>
      <w:r w:rsidR="004668B2" w:rsidRPr="00A34060">
        <w:rPr>
          <w:rFonts w:cstheme="minorHAnsi"/>
          <w:szCs w:val="22"/>
        </w:rPr>
        <w:tab/>
      </w:r>
      <w:r w:rsidR="004668B2">
        <w:rPr>
          <w:rFonts w:cstheme="minorHAnsi"/>
          <w:szCs w:val="22"/>
        </w:rPr>
        <w:t xml:space="preserve">computed as </w:t>
      </w:r>
      <m:oMath>
        <m:sSub>
          <m:sSubPr>
            <m:ctrlPr>
              <w:rPr>
                <w:rFonts w:ascii="Cambria Math" w:hAnsi="Cambria Math" w:cstheme="minorHAnsi"/>
                <w:i/>
                <w:iCs/>
                <w:szCs w:val="22"/>
              </w:rPr>
            </m:ctrlPr>
          </m:sSubPr>
          <m:e>
            <m:sSub>
              <m:sSubPr>
                <m:ctrlPr>
                  <w:rPr>
                    <w:rFonts w:ascii="Cambria Math" w:hAnsi="Cambria Math" w:cstheme="minorHAnsi"/>
                    <w:i/>
                    <w:szCs w:val="22"/>
                  </w:rPr>
                </m:ctrlPr>
              </m:sSubPr>
              <m:e>
                <m:r>
                  <w:rPr>
                    <w:rFonts w:ascii="Cambria Math" w:hAnsi="Cambria Math" w:cstheme="minorHAnsi"/>
                    <w:szCs w:val="22"/>
                  </w:rPr>
                  <m:t>n</m:t>
                </m:r>
              </m:e>
              <m:sub>
                <m:r>
                  <w:rPr>
                    <w:rFonts w:ascii="Cambria Math" w:hAnsi="Cambria Math" w:cstheme="minorHAnsi"/>
                    <w:szCs w:val="22"/>
                  </w:rPr>
                  <m:t>i</m:t>
                </m:r>
              </m:sub>
            </m:sSub>
            <m:r>
              <w:rPr>
                <w:rFonts w:ascii="Cambria Math" w:hAnsi="Cambria Math" w:cstheme="minorHAnsi"/>
                <w:szCs w:val="22"/>
              </w:rPr>
              <m:t>p</m:t>
            </m:r>
          </m:e>
          <m:sub>
            <m:r>
              <w:rPr>
                <w:rFonts w:ascii="Cambria Math" w:hAnsi="Cambria Math" w:cstheme="minorHAnsi"/>
                <w:szCs w:val="22"/>
              </w:rPr>
              <m:t>i</m:t>
            </m:r>
          </m:sub>
        </m:sSub>
      </m:oMath>
      <w:r w:rsidR="004668B2">
        <w:rPr>
          <w:rFonts w:cstheme="minorHAnsi"/>
          <w:iCs/>
          <w:szCs w:val="22"/>
        </w:rPr>
        <w:t xml:space="preserve">, to account for </w:t>
      </w:r>
      <w:r w:rsidR="00517E92">
        <w:rPr>
          <w:rFonts w:cstheme="minorHAnsi"/>
          <w:iCs/>
          <w:szCs w:val="22"/>
        </w:rPr>
        <w:t>uncertainty in the surveys’ estimated prevalence</w:t>
      </w:r>
    </w:p>
    <w:p w14:paraId="360708D7" w14:textId="77777777" w:rsidR="004668B2" w:rsidRPr="00A34060" w:rsidRDefault="004668B2" w:rsidP="00B006CB">
      <w:pPr>
        <w:rPr>
          <w:rFonts w:cstheme="minorHAnsi"/>
          <w:szCs w:val="22"/>
        </w:rPr>
      </w:pPr>
    </w:p>
    <w:p w14:paraId="5825862A" w14:textId="77C248B5" w:rsidR="00451A0F" w:rsidRPr="00A34060" w:rsidRDefault="00C02108" w:rsidP="00C02108">
      <w:pPr>
        <w:rPr>
          <w:rFonts w:cstheme="minorHAnsi"/>
          <w:color w:val="000000"/>
          <w:szCs w:val="22"/>
          <w:lang w:val="en-GB"/>
        </w:rPr>
      </w:pPr>
      <w:r w:rsidRPr="00A34060">
        <w:rPr>
          <w:rFonts w:cstheme="minorHAnsi"/>
          <w:szCs w:val="22"/>
          <w:lang w:val="en-GB"/>
        </w:rPr>
        <w:t xml:space="preserve">The model’s hierarchical structure allows the </w:t>
      </w:r>
      <w:r w:rsidR="005D08A7" w:rsidRPr="00A34060">
        <w:rPr>
          <w:rFonts w:cstheme="minorHAnsi"/>
          <w:szCs w:val="22"/>
          <w:lang w:val="en-GB"/>
        </w:rPr>
        <w:t>estimate</w:t>
      </w:r>
      <w:r w:rsidRPr="00A34060">
        <w:rPr>
          <w:rFonts w:cstheme="minorHAnsi"/>
          <w:szCs w:val="22"/>
          <w:lang w:val="en-GB"/>
        </w:rPr>
        <w:t xml:space="preserve"> for each region to be informed by data from the region</w:t>
      </w:r>
      <w:r w:rsidR="00BD766A">
        <w:rPr>
          <w:rFonts w:cstheme="minorHAnsi"/>
          <w:szCs w:val="22"/>
          <w:lang w:val="en-GB"/>
        </w:rPr>
        <w:t xml:space="preserve"> </w:t>
      </w:r>
      <w:r w:rsidR="005D08A7" w:rsidRPr="00A34060">
        <w:rPr>
          <w:rFonts w:cstheme="minorHAnsi"/>
          <w:szCs w:val="22"/>
          <w:lang w:val="en-GB"/>
        </w:rPr>
        <w:t xml:space="preserve">and </w:t>
      </w:r>
      <w:r w:rsidRPr="00A34060">
        <w:rPr>
          <w:rFonts w:cstheme="minorHAnsi"/>
          <w:szCs w:val="22"/>
          <w:lang w:val="en-GB"/>
        </w:rPr>
        <w:t xml:space="preserve">by data from </w:t>
      </w:r>
      <w:r w:rsidR="005D08A7" w:rsidRPr="00A34060">
        <w:rPr>
          <w:rFonts w:cstheme="minorHAnsi"/>
          <w:szCs w:val="22"/>
          <w:lang w:val="en-GB"/>
        </w:rPr>
        <w:t xml:space="preserve">other </w:t>
      </w:r>
      <w:r w:rsidRPr="00A34060">
        <w:rPr>
          <w:rFonts w:cstheme="minorHAnsi"/>
          <w:szCs w:val="22"/>
          <w:lang w:val="en-GB"/>
        </w:rPr>
        <w:t>region</w:t>
      </w:r>
      <w:r w:rsidR="005D08A7" w:rsidRPr="00A34060">
        <w:rPr>
          <w:rFonts w:cstheme="minorHAnsi"/>
          <w:szCs w:val="22"/>
          <w:lang w:val="en-GB"/>
        </w:rPr>
        <w:t>s</w:t>
      </w:r>
      <w:r w:rsidRPr="00A34060">
        <w:rPr>
          <w:rFonts w:cstheme="minorHAnsi"/>
          <w:szCs w:val="22"/>
          <w:lang w:val="en-GB"/>
        </w:rPr>
        <w:t>, particularly in regions where data are sparse or inconsistent</w:t>
      </w:r>
      <w:r w:rsidR="00BD766A">
        <w:rPr>
          <w:rFonts w:cstheme="minorHAnsi"/>
          <w:szCs w:val="22"/>
          <w:lang w:val="en-GB"/>
        </w:rPr>
        <w:t xml:space="preserve"> (all regions in this analysis)</w:t>
      </w:r>
      <w:r w:rsidRPr="00A34060">
        <w:rPr>
          <w:rFonts w:cstheme="minorHAnsi"/>
          <w:szCs w:val="22"/>
          <w:lang w:val="en-GB"/>
        </w:rPr>
        <w:t xml:space="preserve">. </w:t>
      </w:r>
      <w:r w:rsidR="00917E38">
        <w:rPr>
          <w:rFonts w:cstheme="minorHAnsi"/>
          <w:szCs w:val="22"/>
          <w:lang w:val="en-GB"/>
        </w:rPr>
        <w:t>For surveys that measured all three core deficiencies, p</w:t>
      </w:r>
      <w:r w:rsidR="00917E38">
        <w:rPr>
          <w:rFonts w:cstheme="minorHAnsi"/>
          <w:szCs w:val="22"/>
          <w:vertAlign w:val="subscript"/>
          <w:lang w:val="en-GB"/>
        </w:rPr>
        <w:t>i</w:t>
      </w:r>
      <w:r w:rsidR="00917E38">
        <w:rPr>
          <w:rFonts w:cstheme="minorHAnsi"/>
          <w:szCs w:val="22"/>
          <w:lang w:val="en-GB"/>
        </w:rPr>
        <w:t xml:space="preserve"> and </w:t>
      </w:r>
      <w:proofErr w:type="spellStart"/>
      <w:r w:rsidR="00917E38">
        <w:rPr>
          <w:rFonts w:cstheme="minorHAnsi"/>
          <w:szCs w:val="22"/>
          <w:lang w:val="en-GB"/>
        </w:rPr>
        <w:t>n</w:t>
      </w:r>
      <w:r w:rsidR="00917E38">
        <w:rPr>
          <w:rFonts w:cstheme="minorHAnsi"/>
          <w:szCs w:val="22"/>
          <w:vertAlign w:val="subscript"/>
          <w:lang w:val="en-GB"/>
        </w:rPr>
        <w:t>i</w:t>
      </w:r>
      <w:proofErr w:type="spellEnd"/>
      <w:r w:rsidR="00917E38">
        <w:rPr>
          <w:rFonts w:cstheme="minorHAnsi"/>
          <w:szCs w:val="22"/>
          <w:lang w:val="en-GB"/>
        </w:rPr>
        <w:t xml:space="preserve"> were computed directly from the survey data as described in Section 5; in other cases, they were estimated as described in Section 6. </w:t>
      </w:r>
      <w:r w:rsidR="005D08A7" w:rsidRPr="00A34060">
        <w:rPr>
          <w:rFonts w:cstheme="minorHAnsi"/>
          <w:szCs w:val="22"/>
          <w:lang w:val="en-GB"/>
        </w:rPr>
        <w:t xml:space="preserve">One time-varying country-level covariate, the socio-demographic index, a measure of a country’s level of development, allows for borrowing strength from countries of similar development level. </w:t>
      </w:r>
      <w:r w:rsidRPr="00A34060">
        <w:rPr>
          <w:rFonts w:cstheme="minorHAnsi"/>
          <w:szCs w:val="22"/>
          <w:lang w:val="en-GB"/>
        </w:rPr>
        <w:t xml:space="preserve">Each survey’s effective sample size reflects uncertainty from the survey’s complex survey design and from the use of a model to predict an unmeasured core micronutrient, if applicable. </w:t>
      </w:r>
      <w:r w:rsidR="005D08A7" w:rsidRPr="00A34060">
        <w:rPr>
          <w:rFonts w:cstheme="minorHAnsi"/>
          <w:szCs w:val="22"/>
          <w:lang w:val="en-GB"/>
        </w:rPr>
        <w:t xml:space="preserve">Finally, the residual error term allows country survey data to vary beyond what is expected from their effective sample sizes. This allows for non-sampling survey error as well for country-level deviations from what might be expected based on region and socio-demographic index. </w:t>
      </w:r>
      <w:r w:rsidRPr="00A34060">
        <w:rPr>
          <w:rFonts w:cstheme="minorHAnsi"/>
          <w:szCs w:val="22"/>
          <w:lang w:val="en-GB"/>
        </w:rPr>
        <w:t xml:space="preserve">All analyses were done separately for children and </w:t>
      </w:r>
      <w:r w:rsidR="00985A71" w:rsidRPr="00A34060">
        <w:rPr>
          <w:rFonts w:cstheme="minorHAnsi"/>
          <w:szCs w:val="22"/>
          <w:lang w:val="en-GB"/>
        </w:rPr>
        <w:t xml:space="preserve">non-pregnant </w:t>
      </w:r>
      <w:r w:rsidRPr="00A34060">
        <w:rPr>
          <w:rFonts w:cstheme="minorHAnsi"/>
          <w:szCs w:val="22"/>
          <w:lang w:val="en-GB"/>
        </w:rPr>
        <w:t>women.</w:t>
      </w:r>
    </w:p>
    <w:p w14:paraId="00F5CD44" w14:textId="77777777" w:rsidR="00C61664" w:rsidRDefault="00C61664" w:rsidP="00C61664">
      <w:pPr>
        <w:rPr>
          <w:rFonts w:cstheme="minorHAnsi"/>
          <w:color w:val="000000"/>
          <w:szCs w:val="22"/>
          <w:lang w:val="en-GB"/>
        </w:rPr>
      </w:pPr>
    </w:p>
    <w:p w14:paraId="4BD77EED" w14:textId="79420106" w:rsidR="00B006CB" w:rsidRDefault="14402C93" w:rsidP="14402C93">
      <w:pPr>
        <w:rPr>
          <w:rFonts w:cstheme="minorBidi"/>
        </w:rPr>
      </w:pPr>
      <w:r w:rsidRPr="14402C93">
        <w:rPr>
          <w:rFonts w:cstheme="minorBidi"/>
          <w:color w:val="000000" w:themeColor="text1"/>
          <w:lang w:val="en-GB"/>
        </w:rPr>
        <w:t xml:space="preserve">The basic model structure and candidate time-varying covariate (SDI) were selected </w:t>
      </w:r>
      <w:r w:rsidRPr="14402C93">
        <w:rPr>
          <w:rFonts w:cstheme="minorBidi"/>
          <w:i/>
          <w:iCs/>
          <w:color w:val="000000" w:themeColor="text1"/>
          <w:lang w:val="en-GB"/>
        </w:rPr>
        <w:t>a priori.</w:t>
      </w:r>
      <w:r w:rsidRPr="14402C93">
        <w:rPr>
          <w:rFonts w:cstheme="minorBidi"/>
          <w:color w:val="000000" w:themeColor="text1"/>
          <w:lang w:val="en-GB"/>
        </w:rPr>
        <w:t xml:space="preserve"> Prior to model fitting, SDI was plotted against the prevalence of any deficiency to confirm the relationship was plausible and monotonic (Appendix Figures 4-5), and the fitted coefficient for SDI was checked to confirm that it was plausible (</w:t>
      </w:r>
      <w:r w:rsidRPr="14402C93">
        <w:rPr>
          <w:rFonts w:cstheme="minorBidi"/>
          <w:i/>
          <w:iCs/>
          <w:color w:val="000000" w:themeColor="text1"/>
          <w:lang w:val="en-GB"/>
        </w:rPr>
        <w:t>i.e.</w:t>
      </w:r>
      <w:r w:rsidRPr="14402C93">
        <w:rPr>
          <w:rFonts w:cstheme="minorBidi"/>
          <w:color w:val="000000" w:themeColor="text1"/>
          <w:lang w:val="en-GB"/>
        </w:rPr>
        <w:t xml:space="preserve">, higher SDI corresponds to lower prevalence of any deficiency). Trace plots were </w:t>
      </w:r>
      <w:proofErr w:type="gramStart"/>
      <w:r w:rsidRPr="14402C93">
        <w:rPr>
          <w:rFonts w:cstheme="minorBidi"/>
          <w:color w:val="000000" w:themeColor="text1"/>
          <w:lang w:val="en-GB"/>
        </w:rPr>
        <w:t>examined</w:t>
      </w:r>
      <w:proofErr w:type="gramEnd"/>
      <w:r w:rsidRPr="14402C93">
        <w:rPr>
          <w:rFonts w:cstheme="minorBidi"/>
          <w:color w:val="000000" w:themeColor="text1"/>
          <w:lang w:val="en-GB"/>
        </w:rPr>
        <w:t xml:space="preserve"> and </w:t>
      </w:r>
      <w:r w:rsidRPr="14402C93">
        <w:rPr>
          <w:rFonts w:cstheme="minorBidi"/>
          <w:color w:val="000000" w:themeColor="text1"/>
          <w:lang w:val="en-GB"/>
        </w:rPr>
        <w:lastRenderedPageBreak/>
        <w:t xml:space="preserve">the Gelman-Rubin convergence statistic was computed to confirm adequate mixing. Finally, posterior predictions were compared to input data to confirm model fit.   </w:t>
      </w:r>
      <w:r w:rsidRPr="14402C93">
        <w:rPr>
          <w:rFonts w:cstheme="minorBidi"/>
        </w:rPr>
        <w:t xml:space="preserve">  </w:t>
      </w:r>
    </w:p>
    <w:p w14:paraId="0EBE7236" w14:textId="77777777" w:rsidR="00C61664" w:rsidRPr="00A34060" w:rsidRDefault="00C61664" w:rsidP="00C61664">
      <w:pPr>
        <w:rPr>
          <w:rFonts w:cstheme="minorHAnsi"/>
          <w:szCs w:val="22"/>
        </w:rPr>
      </w:pPr>
    </w:p>
    <w:p w14:paraId="44DCCFF4" w14:textId="3D29027E" w:rsidR="009C5E0D" w:rsidRDefault="005D08A7" w:rsidP="00C61664">
      <w:pPr>
        <w:rPr>
          <w:rFonts w:cstheme="minorHAnsi"/>
          <w:szCs w:val="22"/>
          <w:lang w:val="en-GB"/>
        </w:rPr>
      </w:pPr>
      <w:r w:rsidRPr="00A34060">
        <w:rPr>
          <w:rFonts w:cstheme="minorHAnsi"/>
          <w:szCs w:val="22"/>
          <w:lang w:val="en-GB"/>
        </w:rPr>
        <w:t xml:space="preserve">The following sources of uncertainty are reflected in the final uncertainty intervals: sampling error from each data source, non-sampling error, </w:t>
      </w:r>
      <w:r w:rsidRPr="00917E38">
        <w:rPr>
          <w:rFonts w:cstheme="minorHAnsi"/>
          <w:i/>
          <w:iCs/>
          <w:szCs w:val="22"/>
          <w:lang w:val="en-GB"/>
        </w:rPr>
        <w:t>e.g</w:t>
      </w:r>
      <w:r w:rsidRPr="00A34060">
        <w:rPr>
          <w:rFonts w:cstheme="minorHAnsi"/>
          <w:szCs w:val="22"/>
          <w:lang w:val="en-GB"/>
        </w:rPr>
        <w:t xml:space="preserve">. because of differences in laboratory methods employed, </w:t>
      </w:r>
      <w:r w:rsidR="009A4C93" w:rsidRPr="00A34060">
        <w:rPr>
          <w:rFonts w:cstheme="minorHAnsi"/>
          <w:szCs w:val="22"/>
          <w:lang w:val="en-GB"/>
        </w:rPr>
        <w:t xml:space="preserve">and </w:t>
      </w:r>
      <w:r w:rsidRPr="00A34060">
        <w:rPr>
          <w:rFonts w:cstheme="minorHAnsi"/>
          <w:szCs w:val="22"/>
          <w:lang w:val="en-GB"/>
        </w:rPr>
        <w:t>uncertainty due to estimation of unmeasured deficiency</w:t>
      </w:r>
      <w:r w:rsidR="009A4C93" w:rsidRPr="00A34060">
        <w:rPr>
          <w:rFonts w:cstheme="minorHAnsi"/>
          <w:szCs w:val="22"/>
          <w:lang w:val="en-GB"/>
        </w:rPr>
        <w:t>.</w:t>
      </w:r>
      <w:r w:rsidR="004A7DBE">
        <w:rPr>
          <w:rFonts w:cstheme="minorHAnsi"/>
          <w:szCs w:val="22"/>
          <w:lang w:val="en-GB"/>
        </w:rPr>
        <w:t xml:space="preserve"> Uncertainty from </w:t>
      </w:r>
      <w:r w:rsidR="00546225">
        <w:rPr>
          <w:rFonts w:cstheme="minorHAnsi"/>
          <w:szCs w:val="22"/>
          <w:lang w:val="en-GB"/>
        </w:rPr>
        <w:t xml:space="preserve">adjustment of micronutrient </w:t>
      </w:r>
      <w:r w:rsidR="002F0753">
        <w:rPr>
          <w:rFonts w:cstheme="minorHAnsi"/>
          <w:szCs w:val="22"/>
          <w:lang w:val="en-GB"/>
        </w:rPr>
        <w:t xml:space="preserve">biomarker </w:t>
      </w:r>
      <w:r w:rsidR="00546225">
        <w:rPr>
          <w:rFonts w:cstheme="minorHAnsi"/>
          <w:szCs w:val="22"/>
          <w:lang w:val="en-GB"/>
        </w:rPr>
        <w:t>concentrations for inflammation is not reflected in the uncertainty intervals</w:t>
      </w:r>
      <w:r w:rsidR="00161B8F">
        <w:rPr>
          <w:rFonts w:cstheme="minorHAnsi"/>
          <w:szCs w:val="22"/>
          <w:lang w:val="en-GB"/>
        </w:rPr>
        <w:t xml:space="preserve">, nor is uncertainty around </w:t>
      </w:r>
      <w:r w:rsidR="009F13D2">
        <w:rPr>
          <w:rFonts w:cstheme="minorHAnsi"/>
          <w:szCs w:val="22"/>
          <w:lang w:val="en-GB"/>
        </w:rPr>
        <w:t>thresholds used to define deficiency</w:t>
      </w:r>
      <w:r w:rsidR="00546225">
        <w:rPr>
          <w:rFonts w:cstheme="minorHAnsi"/>
          <w:szCs w:val="22"/>
          <w:lang w:val="en-GB"/>
        </w:rPr>
        <w:t xml:space="preserve">. Further, </w:t>
      </w:r>
      <w:r w:rsidR="00D314F6">
        <w:rPr>
          <w:rFonts w:cstheme="minorHAnsi"/>
          <w:szCs w:val="22"/>
          <w:lang w:val="en-GB"/>
        </w:rPr>
        <w:t xml:space="preserve">due to </w:t>
      </w:r>
      <w:r w:rsidR="003E0422">
        <w:rPr>
          <w:rFonts w:cstheme="minorHAnsi"/>
          <w:szCs w:val="22"/>
          <w:lang w:val="en-GB"/>
        </w:rPr>
        <w:t xml:space="preserve">the </w:t>
      </w:r>
      <w:r w:rsidR="00DC4B79">
        <w:rPr>
          <w:rFonts w:cstheme="minorHAnsi"/>
          <w:szCs w:val="22"/>
          <w:lang w:val="en-GB"/>
        </w:rPr>
        <w:t>limited number of countries with more than one data source</w:t>
      </w:r>
      <w:r w:rsidR="00D314F6">
        <w:rPr>
          <w:rFonts w:cstheme="minorHAnsi"/>
          <w:szCs w:val="22"/>
          <w:lang w:val="en-GB"/>
        </w:rPr>
        <w:t>,</w:t>
      </w:r>
      <w:r w:rsidR="00587FEA">
        <w:rPr>
          <w:rFonts w:cstheme="minorHAnsi"/>
          <w:szCs w:val="22"/>
          <w:lang w:val="en-GB"/>
        </w:rPr>
        <w:t xml:space="preserve"> </w:t>
      </w:r>
      <w:r w:rsidR="00A5035E">
        <w:rPr>
          <w:rFonts w:cstheme="minorHAnsi"/>
          <w:szCs w:val="22"/>
          <w:lang w:val="en-GB"/>
        </w:rPr>
        <w:t xml:space="preserve">the model does not include </w:t>
      </w:r>
      <w:r w:rsidR="00EF4991">
        <w:rPr>
          <w:rFonts w:cstheme="minorHAnsi"/>
          <w:szCs w:val="22"/>
          <w:lang w:val="en-GB"/>
        </w:rPr>
        <w:t xml:space="preserve">separate terms for </w:t>
      </w:r>
      <w:r w:rsidR="00E90736">
        <w:rPr>
          <w:rFonts w:cstheme="minorHAnsi"/>
          <w:szCs w:val="22"/>
          <w:lang w:val="en-GB"/>
        </w:rPr>
        <w:t xml:space="preserve">non-sampling survey error and </w:t>
      </w:r>
      <w:r w:rsidR="0025131F">
        <w:rPr>
          <w:rFonts w:cstheme="minorHAnsi"/>
          <w:szCs w:val="22"/>
          <w:lang w:val="en-GB"/>
        </w:rPr>
        <w:t>for each country (as in nearly all cases, each country contributes only one survey so it would not be possible to estimate these)</w:t>
      </w:r>
      <w:r w:rsidR="00A5035E">
        <w:rPr>
          <w:rFonts w:cstheme="minorHAnsi"/>
          <w:szCs w:val="22"/>
          <w:lang w:val="en-GB"/>
        </w:rPr>
        <w:t xml:space="preserve">. </w:t>
      </w:r>
      <w:r w:rsidR="00940E90">
        <w:rPr>
          <w:rFonts w:cstheme="minorHAnsi"/>
          <w:szCs w:val="22"/>
          <w:lang w:val="en-GB"/>
        </w:rPr>
        <w:t>Not including a term for each country implicitly</w:t>
      </w:r>
      <w:r w:rsidR="005819A0">
        <w:rPr>
          <w:rFonts w:cstheme="minorHAnsi"/>
          <w:szCs w:val="22"/>
          <w:lang w:val="en-GB"/>
        </w:rPr>
        <w:t xml:space="preserve"> assumes that country covariates fully </w:t>
      </w:r>
      <w:r w:rsidR="00F50795">
        <w:rPr>
          <w:rFonts w:cstheme="minorHAnsi"/>
          <w:szCs w:val="22"/>
          <w:lang w:val="en-GB"/>
        </w:rPr>
        <w:t xml:space="preserve">explain within-region </w:t>
      </w:r>
      <w:r w:rsidR="005819A0">
        <w:rPr>
          <w:rFonts w:cstheme="minorHAnsi"/>
          <w:szCs w:val="22"/>
          <w:lang w:val="en-GB"/>
        </w:rPr>
        <w:t>country-to-country variability</w:t>
      </w:r>
      <w:r w:rsidR="00DC4B79">
        <w:rPr>
          <w:rFonts w:cstheme="minorHAnsi"/>
          <w:szCs w:val="22"/>
          <w:lang w:val="en-GB"/>
        </w:rPr>
        <w:t xml:space="preserve">, which is likely not true. </w:t>
      </w:r>
      <w:r w:rsidR="007C696B">
        <w:rPr>
          <w:rFonts w:cstheme="minorHAnsi"/>
          <w:szCs w:val="22"/>
          <w:lang w:val="en-GB"/>
        </w:rPr>
        <w:t xml:space="preserve">This approach underestimates uncertainty from making predictions </w:t>
      </w:r>
      <w:r w:rsidR="00B64121">
        <w:rPr>
          <w:rFonts w:cstheme="minorHAnsi"/>
          <w:szCs w:val="22"/>
          <w:lang w:val="en-GB"/>
        </w:rPr>
        <w:t>from</w:t>
      </w:r>
      <w:r w:rsidR="007C696B">
        <w:rPr>
          <w:rFonts w:cstheme="minorHAnsi"/>
          <w:szCs w:val="22"/>
          <w:lang w:val="en-GB"/>
        </w:rPr>
        <w:t xml:space="preserve"> country</w:t>
      </w:r>
      <w:r w:rsidR="00A17D6C">
        <w:rPr>
          <w:rFonts w:cstheme="minorHAnsi"/>
          <w:szCs w:val="22"/>
          <w:lang w:val="en-GB"/>
        </w:rPr>
        <w:t>-representative</w:t>
      </w:r>
      <w:r w:rsidR="00B64121">
        <w:rPr>
          <w:rFonts w:cstheme="minorHAnsi"/>
          <w:szCs w:val="22"/>
          <w:lang w:val="en-GB"/>
        </w:rPr>
        <w:t xml:space="preserve"> data</w:t>
      </w:r>
      <w:r w:rsidR="007C696B">
        <w:rPr>
          <w:rFonts w:cstheme="minorHAnsi"/>
          <w:szCs w:val="22"/>
          <w:lang w:val="en-GB"/>
        </w:rPr>
        <w:t>.</w:t>
      </w:r>
    </w:p>
    <w:p w14:paraId="408D55A7" w14:textId="77777777" w:rsidR="00C61664" w:rsidRPr="00A34060" w:rsidRDefault="00C61664" w:rsidP="00451A0F">
      <w:pPr>
        <w:ind w:firstLine="720"/>
        <w:rPr>
          <w:rFonts w:cstheme="minorHAnsi"/>
          <w:szCs w:val="22"/>
          <w:lang w:val="en-GB"/>
        </w:rPr>
      </w:pPr>
    </w:p>
    <w:p w14:paraId="2C60651D" w14:textId="6FB69221" w:rsidR="009C5E0D" w:rsidRDefault="009A4C93" w:rsidP="00C61664">
      <w:pPr>
        <w:rPr>
          <w:rFonts w:cstheme="minorHAnsi"/>
          <w:szCs w:val="22"/>
          <w:lang w:val="en-GB"/>
        </w:rPr>
      </w:pPr>
      <w:r w:rsidRPr="00A34060">
        <w:rPr>
          <w:rFonts w:cstheme="minorHAnsi"/>
          <w:color w:val="000000"/>
          <w:szCs w:val="22"/>
          <w:lang w:val="en-GB"/>
        </w:rPr>
        <w:t xml:space="preserve">We fit the Bayesian model using the bayes: </w:t>
      </w:r>
      <w:proofErr w:type="spellStart"/>
      <w:r w:rsidRPr="00A34060">
        <w:rPr>
          <w:rFonts w:cstheme="minorHAnsi"/>
          <w:color w:val="000000"/>
          <w:szCs w:val="22"/>
          <w:lang w:val="en-GB"/>
        </w:rPr>
        <w:t>melogit</w:t>
      </w:r>
      <w:proofErr w:type="spellEnd"/>
      <w:r w:rsidRPr="00A34060">
        <w:rPr>
          <w:rFonts w:cstheme="minorHAnsi"/>
          <w:color w:val="000000"/>
          <w:szCs w:val="22"/>
          <w:lang w:val="en-GB"/>
        </w:rPr>
        <w:t xml:space="preserve"> command in Stata version 16.1, which employs a Monte Carlos Markov Chain (MCMC) algorithm. </w:t>
      </w:r>
      <w:r w:rsidR="00451A0F" w:rsidRPr="00A34060">
        <w:rPr>
          <w:rFonts w:cstheme="minorHAnsi"/>
          <w:color w:val="000000"/>
          <w:szCs w:val="22"/>
          <w:lang w:val="en-GB"/>
        </w:rPr>
        <w:t>Four chains were fit, and w</w:t>
      </w:r>
      <w:r w:rsidRPr="00A34060">
        <w:rPr>
          <w:rFonts w:cstheme="minorHAnsi"/>
          <w:color w:val="000000"/>
          <w:szCs w:val="22"/>
          <w:lang w:val="en-GB"/>
        </w:rPr>
        <w:t xml:space="preserve">e obtained 1000 posterior samples of the </w:t>
      </w:r>
      <w:r w:rsidR="00917E38">
        <w:rPr>
          <w:rFonts w:cstheme="minorHAnsi"/>
          <w:color w:val="000000"/>
          <w:szCs w:val="22"/>
          <w:lang w:val="en-GB"/>
        </w:rPr>
        <w:t>model coefficients</w:t>
      </w:r>
      <w:r w:rsidR="00451A0F" w:rsidRPr="00A34060">
        <w:rPr>
          <w:rFonts w:cstheme="minorHAnsi"/>
          <w:color w:val="000000"/>
          <w:szCs w:val="22"/>
          <w:lang w:val="en-GB"/>
        </w:rPr>
        <w:t xml:space="preserve"> per chain (for a total of 4000 posterior samples)</w:t>
      </w:r>
      <w:r w:rsidRPr="00A34060">
        <w:rPr>
          <w:rFonts w:cstheme="minorHAnsi"/>
          <w:color w:val="000000"/>
          <w:szCs w:val="22"/>
          <w:lang w:val="en-GB"/>
        </w:rPr>
        <w:t>.</w:t>
      </w:r>
      <w:r w:rsidR="00917E38">
        <w:rPr>
          <w:rFonts w:cstheme="minorHAnsi"/>
          <w:color w:val="000000"/>
          <w:szCs w:val="22"/>
          <w:lang w:val="en-GB"/>
        </w:rPr>
        <w:t xml:space="preserve"> From these coefficient samples, 4000 samples of the prevalence of any deficiency were computed for each of </w:t>
      </w:r>
      <w:r w:rsidR="000C2E9F">
        <w:rPr>
          <w:rFonts w:cstheme="minorHAnsi"/>
          <w:color w:val="000000"/>
          <w:szCs w:val="22"/>
          <w:lang w:val="en-GB"/>
        </w:rPr>
        <w:t>184</w:t>
      </w:r>
      <w:r w:rsidR="00917E38">
        <w:rPr>
          <w:rFonts w:cstheme="minorHAnsi"/>
          <w:color w:val="000000"/>
          <w:szCs w:val="22"/>
          <w:lang w:val="en-GB"/>
        </w:rPr>
        <w:t xml:space="preserve"> countries</w:t>
      </w:r>
      <w:r w:rsidR="000C2E9F">
        <w:rPr>
          <w:rFonts w:cstheme="minorHAnsi"/>
          <w:color w:val="000000"/>
          <w:szCs w:val="22"/>
          <w:lang w:val="en-GB"/>
        </w:rPr>
        <w:t xml:space="preserve"> listed in </w:t>
      </w:r>
      <w:r w:rsidR="00DA2DD7">
        <w:rPr>
          <w:rFonts w:cstheme="minorHAnsi"/>
          <w:color w:val="000000"/>
          <w:szCs w:val="22"/>
          <w:lang w:val="en-GB"/>
        </w:rPr>
        <w:t>Appendix Table</w:t>
      </w:r>
      <w:r w:rsidR="000C2E9F">
        <w:rPr>
          <w:rFonts w:cstheme="minorHAnsi"/>
          <w:color w:val="000000"/>
          <w:szCs w:val="22"/>
          <w:lang w:val="en-GB"/>
        </w:rPr>
        <w:t xml:space="preserve"> 1</w:t>
      </w:r>
      <w:r w:rsidR="00917E38">
        <w:rPr>
          <w:rFonts w:cstheme="minorHAnsi"/>
          <w:color w:val="000000"/>
          <w:szCs w:val="22"/>
          <w:lang w:val="en-GB"/>
        </w:rPr>
        <w:t>.</w:t>
      </w:r>
      <w:r w:rsidRPr="00A34060">
        <w:rPr>
          <w:rFonts w:cstheme="minorHAnsi"/>
          <w:color w:val="000000"/>
          <w:szCs w:val="22"/>
          <w:lang w:val="en-GB"/>
        </w:rPr>
        <w:t xml:space="preserve"> </w:t>
      </w:r>
      <w:r w:rsidR="009C5E0D" w:rsidRPr="00A34060">
        <w:rPr>
          <w:rFonts w:cstheme="minorHAnsi"/>
          <w:szCs w:val="22"/>
          <w:lang w:val="en-GB"/>
        </w:rPr>
        <w:t xml:space="preserve">Numbers of persons affected by </w:t>
      </w:r>
      <w:r w:rsidR="000A4948" w:rsidRPr="00A34060">
        <w:rPr>
          <w:rFonts w:cstheme="minorHAnsi"/>
          <w:szCs w:val="22"/>
          <w:lang w:val="en-GB"/>
        </w:rPr>
        <w:t>at least one micronutrient deficiency</w:t>
      </w:r>
      <w:r w:rsidR="009C5E0D" w:rsidRPr="00A34060">
        <w:rPr>
          <w:rFonts w:cstheme="minorHAnsi"/>
          <w:szCs w:val="22"/>
          <w:lang w:val="en-GB"/>
        </w:rPr>
        <w:t xml:space="preserve"> </w:t>
      </w:r>
      <w:r w:rsidR="000A4948" w:rsidRPr="00A34060">
        <w:rPr>
          <w:rFonts w:cstheme="minorHAnsi"/>
          <w:szCs w:val="22"/>
          <w:lang w:val="en-GB"/>
        </w:rPr>
        <w:t>was</w:t>
      </w:r>
      <w:r w:rsidR="009C5E0D" w:rsidRPr="00A34060">
        <w:rPr>
          <w:rFonts w:cstheme="minorHAnsi"/>
          <w:szCs w:val="22"/>
          <w:lang w:val="en-GB"/>
        </w:rPr>
        <w:t xml:space="preserve"> computed for each sample by multiplying </w:t>
      </w:r>
      <w:r w:rsidR="00F10CB0" w:rsidRPr="00A34060">
        <w:rPr>
          <w:rFonts w:cstheme="minorHAnsi"/>
          <w:szCs w:val="22"/>
          <w:lang w:val="en-GB"/>
        </w:rPr>
        <w:t>country</w:t>
      </w:r>
      <w:r w:rsidR="009C5E0D" w:rsidRPr="00A34060">
        <w:rPr>
          <w:rFonts w:cstheme="minorHAnsi"/>
          <w:szCs w:val="22"/>
          <w:lang w:val="en-GB"/>
        </w:rPr>
        <w:t xml:space="preserve">-age-sex-group population totals </w:t>
      </w:r>
      <w:r w:rsidR="00F10CB0" w:rsidRPr="00A34060">
        <w:rPr>
          <w:rFonts w:cstheme="minorHAnsi"/>
          <w:szCs w:val="22"/>
          <w:lang w:val="en-GB"/>
        </w:rPr>
        <w:t xml:space="preserve">for 2013 </w:t>
      </w:r>
      <w:r w:rsidR="009C5E0D" w:rsidRPr="00A34060">
        <w:rPr>
          <w:rFonts w:cstheme="minorHAnsi"/>
          <w:szCs w:val="22"/>
          <w:lang w:val="en-GB"/>
        </w:rPr>
        <w:t xml:space="preserve">from the UN Population Division’s </w:t>
      </w:r>
      <w:r w:rsidR="004E306F" w:rsidRPr="00A34060">
        <w:rPr>
          <w:rFonts w:cstheme="minorHAnsi"/>
          <w:szCs w:val="22"/>
          <w:lang w:val="en-GB"/>
        </w:rPr>
        <w:t>2019</w:t>
      </w:r>
      <w:r w:rsidR="009C5E0D" w:rsidRPr="00A34060">
        <w:rPr>
          <w:rFonts w:cstheme="minorHAnsi"/>
          <w:szCs w:val="22"/>
          <w:lang w:val="en-GB"/>
        </w:rPr>
        <w:t xml:space="preserve"> Revision of the World Population Prospects by the prevalence of </w:t>
      </w:r>
      <w:r w:rsidR="000A4948" w:rsidRPr="00A34060">
        <w:rPr>
          <w:rFonts w:cstheme="minorHAnsi"/>
          <w:szCs w:val="22"/>
          <w:lang w:val="en-GB"/>
        </w:rPr>
        <w:t>at least one deficiency</w:t>
      </w:r>
      <w:r w:rsidR="009C5E0D" w:rsidRPr="00A34060">
        <w:rPr>
          <w:rFonts w:cstheme="minorHAnsi"/>
          <w:szCs w:val="22"/>
          <w:lang w:val="en-GB"/>
        </w:rPr>
        <w:t xml:space="preserve"> </w:t>
      </w:r>
      <w:r w:rsidR="009C5E0D" w:rsidRPr="00A34060">
        <w:rPr>
          <w:rFonts w:cstheme="minorHAnsi"/>
          <w:szCs w:val="22"/>
          <w:lang w:val="en-GB"/>
        </w:rPr>
        <w:fldChar w:fldCharType="begin" w:fldLock="1"/>
      </w:r>
      <w:r w:rsidR="00BB7850">
        <w:rPr>
          <w:rFonts w:cstheme="minorHAnsi"/>
          <w:szCs w:val="22"/>
          <w:lang w:val="en-GB"/>
        </w:rPr>
        <w:instrText>ADDIN CSL_CITATION {"citationItems":[{"id":"ITEM-1","itemData":{"author":[{"dropping-particle":"","family":"United Nations Department of Economic and Social Affairs","given":"","non-dropping-particle":"","parse-names":false,"suffix":""}],"id":"ITEM-1","issued":{"date-parts":[["2019"]]},"publisher":"United Nations","publisher-place":"New York","title":"World Population Prospects 2019","type":"article"},"uris":["http://www.mendeley.com/documents/?uuid=e2085699-a347-3e5d-9dd6-79ba85f0ecf6"]}],"mendeley":{"formattedCitation":"(18)","plainTextFormattedCitation":"(18)","previouslyFormattedCitation":"(18)"},"properties":{"noteIndex":0},"schema":"https://github.com/citation-style-language/schema/raw/master/csl-citation.json"}</w:instrText>
      </w:r>
      <w:r w:rsidR="009C5E0D" w:rsidRPr="00A34060">
        <w:rPr>
          <w:rFonts w:cstheme="minorHAnsi"/>
          <w:szCs w:val="22"/>
          <w:lang w:val="en-GB"/>
        </w:rPr>
        <w:fldChar w:fldCharType="separate"/>
      </w:r>
      <w:r w:rsidR="00AD4523" w:rsidRPr="00AD4523">
        <w:rPr>
          <w:rFonts w:cstheme="minorHAnsi"/>
          <w:noProof/>
          <w:szCs w:val="22"/>
          <w:lang w:val="en-GB"/>
        </w:rPr>
        <w:t>(18)</w:t>
      </w:r>
      <w:r w:rsidR="009C5E0D" w:rsidRPr="00A34060">
        <w:rPr>
          <w:rFonts w:cstheme="minorHAnsi"/>
          <w:szCs w:val="22"/>
          <w:lang w:val="en-GB"/>
        </w:rPr>
        <w:fldChar w:fldCharType="end"/>
      </w:r>
      <w:r w:rsidR="009C5E0D" w:rsidRPr="00A34060">
        <w:rPr>
          <w:rFonts w:cstheme="minorHAnsi"/>
          <w:color w:val="000000"/>
          <w:szCs w:val="22"/>
          <w:lang w:val="en-GB"/>
        </w:rPr>
        <w:t>.</w:t>
      </w:r>
      <w:r w:rsidR="00F10CB0" w:rsidRPr="00A34060">
        <w:rPr>
          <w:rFonts w:cstheme="minorHAnsi"/>
          <w:color w:val="000000"/>
          <w:szCs w:val="22"/>
          <w:lang w:val="en-GB"/>
        </w:rPr>
        <w:t xml:space="preserve"> Population data for 2013 were used because it was the median year of survey data </w:t>
      </w:r>
      <w:r w:rsidR="000C2E9F">
        <w:rPr>
          <w:rFonts w:cstheme="minorHAnsi"/>
          <w:color w:val="000000"/>
          <w:szCs w:val="22"/>
          <w:lang w:val="en-GB"/>
        </w:rPr>
        <w:t>included</w:t>
      </w:r>
      <w:r w:rsidR="00F10CB0" w:rsidRPr="00A34060">
        <w:rPr>
          <w:rFonts w:cstheme="minorHAnsi"/>
          <w:color w:val="000000"/>
          <w:szCs w:val="22"/>
          <w:lang w:val="en-GB"/>
        </w:rPr>
        <w:t xml:space="preserve"> in the analysis.</w:t>
      </w:r>
      <w:r w:rsidR="009C5E0D" w:rsidRPr="00A34060">
        <w:rPr>
          <w:rFonts w:cstheme="minorHAnsi"/>
          <w:color w:val="000000"/>
          <w:szCs w:val="22"/>
          <w:lang w:val="en-GB"/>
        </w:rPr>
        <w:t xml:space="preserve"> </w:t>
      </w:r>
      <w:r w:rsidR="009C5E0D" w:rsidRPr="00A34060">
        <w:rPr>
          <w:rFonts w:cstheme="minorHAnsi"/>
          <w:szCs w:val="22"/>
          <w:lang w:val="en-GB"/>
        </w:rPr>
        <w:t>All reported uncertainty intervals represent the 2.5</w:t>
      </w:r>
      <w:r w:rsidR="009C5E0D" w:rsidRPr="00A34060">
        <w:rPr>
          <w:rFonts w:cstheme="minorHAnsi"/>
          <w:szCs w:val="22"/>
          <w:vertAlign w:val="superscript"/>
          <w:lang w:val="en-GB"/>
        </w:rPr>
        <w:t>th</w:t>
      </w:r>
      <w:r w:rsidR="009C5E0D" w:rsidRPr="00A34060">
        <w:rPr>
          <w:rFonts w:cstheme="minorHAnsi"/>
          <w:szCs w:val="22"/>
          <w:lang w:val="en-GB"/>
        </w:rPr>
        <w:t>-97.5</w:t>
      </w:r>
      <w:r w:rsidR="009C5E0D" w:rsidRPr="00A34060">
        <w:rPr>
          <w:rFonts w:cstheme="minorHAnsi"/>
          <w:szCs w:val="22"/>
          <w:vertAlign w:val="superscript"/>
          <w:lang w:val="en-GB"/>
        </w:rPr>
        <w:t>th</w:t>
      </w:r>
      <w:r w:rsidR="009C5E0D" w:rsidRPr="00A34060">
        <w:rPr>
          <w:rFonts w:cstheme="minorHAnsi"/>
          <w:szCs w:val="22"/>
          <w:lang w:val="en-GB"/>
        </w:rPr>
        <w:t xml:space="preserve"> percentiles of these </w:t>
      </w:r>
      <w:r w:rsidR="00213D35">
        <w:rPr>
          <w:rFonts w:cstheme="minorHAnsi"/>
          <w:szCs w:val="22"/>
          <w:lang w:val="en-GB"/>
        </w:rPr>
        <w:t>4</w:t>
      </w:r>
      <w:r w:rsidRPr="00A34060">
        <w:rPr>
          <w:rFonts w:cstheme="minorHAnsi"/>
          <w:szCs w:val="22"/>
          <w:lang w:val="en-GB"/>
        </w:rPr>
        <w:t>000</w:t>
      </w:r>
      <w:r w:rsidR="009C5E0D" w:rsidRPr="00A34060">
        <w:rPr>
          <w:rFonts w:cstheme="minorHAnsi"/>
          <w:szCs w:val="22"/>
          <w:lang w:val="en-GB"/>
        </w:rPr>
        <w:t xml:space="preserve"> </w:t>
      </w:r>
      <w:r w:rsidR="00B60E89">
        <w:rPr>
          <w:rFonts w:cstheme="minorHAnsi"/>
          <w:szCs w:val="22"/>
          <w:lang w:val="en-GB"/>
        </w:rPr>
        <w:t>sample</w:t>
      </w:r>
      <w:r w:rsidR="009C5E0D" w:rsidRPr="00A34060">
        <w:rPr>
          <w:rFonts w:cstheme="minorHAnsi"/>
          <w:szCs w:val="22"/>
          <w:lang w:val="en-GB"/>
        </w:rPr>
        <w:t>s.</w:t>
      </w:r>
    </w:p>
    <w:p w14:paraId="591F70C1" w14:textId="77777777" w:rsidR="001E655C" w:rsidRDefault="001E655C" w:rsidP="00451A0F">
      <w:pPr>
        <w:ind w:firstLine="720"/>
        <w:rPr>
          <w:rFonts w:cstheme="minorHAnsi"/>
          <w:szCs w:val="22"/>
          <w:lang w:val="en-GB"/>
        </w:rPr>
      </w:pPr>
    </w:p>
    <w:p w14:paraId="16EAE048" w14:textId="77777777" w:rsidR="00B249D7" w:rsidRDefault="00B249D7">
      <w:pPr>
        <w:spacing w:after="200" w:line="276" w:lineRule="auto"/>
        <w:rPr>
          <w:rStyle w:val="Heading3Char"/>
          <w:rFonts w:cstheme="minorHAnsi"/>
        </w:rPr>
      </w:pPr>
      <w:r>
        <w:rPr>
          <w:rStyle w:val="Heading3Char"/>
          <w:rFonts w:cstheme="minorHAnsi"/>
        </w:rPr>
        <w:br w:type="page"/>
      </w:r>
    </w:p>
    <w:p w14:paraId="63ACAC3C" w14:textId="1A067617" w:rsidR="001E655C" w:rsidRDefault="03C7B32C" w:rsidP="03C7B32C">
      <w:pPr>
        <w:rPr>
          <w:rFonts w:eastAsiaTheme="majorEastAsia"/>
        </w:rPr>
      </w:pPr>
      <w:bookmarkStart w:id="18" w:name="_Toc94512118"/>
      <w:r w:rsidRPr="03C7B32C">
        <w:rPr>
          <w:rStyle w:val="Heading3Char"/>
          <w:rFonts w:cstheme="minorBidi"/>
        </w:rPr>
        <w:lastRenderedPageBreak/>
        <w:t xml:space="preserve">Appendix Figure 4. Prevalence of iron, vitamin A or zinc deficiency vs. </w:t>
      </w:r>
      <w:r w:rsidR="000B145D" w:rsidRPr="14402C93">
        <w:rPr>
          <w:rFonts w:cstheme="minorBidi"/>
          <w:lang w:val="en-GB"/>
        </w:rPr>
        <w:t xml:space="preserve">socio-demographic index </w:t>
      </w:r>
      <w:r w:rsidR="000B145D">
        <w:rPr>
          <w:rFonts w:cstheme="minorBidi"/>
          <w:lang w:val="en-GB"/>
        </w:rPr>
        <w:t>(</w:t>
      </w:r>
      <w:r w:rsidRPr="03C7B32C">
        <w:rPr>
          <w:rStyle w:val="Heading3Char"/>
          <w:rFonts w:cstheme="minorBidi"/>
        </w:rPr>
        <w:t>SDI</w:t>
      </w:r>
      <w:r w:rsidR="000B145D">
        <w:rPr>
          <w:rStyle w:val="Heading3Char"/>
          <w:rFonts w:cstheme="minorBidi"/>
        </w:rPr>
        <w:t>)</w:t>
      </w:r>
      <w:r w:rsidRPr="03C7B32C">
        <w:rPr>
          <w:rStyle w:val="Heading3Char"/>
          <w:rFonts w:cstheme="minorBidi"/>
        </w:rPr>
        <w:t>, children</w:t>
      </w:r>
      <w:r w:rsidR="001A7EC4">
        <w:rPr>
          <w:rStyle w:val="Heading3Char"/>
          <w:rFonts w:cstheme="minorBidi"/>
        </w:rPr>
        <w:t xml:space="preserve"> 6-59 months</w:t>
      </w:r>
      <w:bookmarkEnd w:id="18"/>
      <w:r w:rsidRPr="03C7B32C">
        <w:rPr>
          <w:rFonts w:eastAsiaTheme="majorEastAsia"/>
        </w:rPr>
        <w:t xml:space="preserve">. Vertical bars represent 95% confidence interval. Data shown in green measured all three micronutrient deficiencies, and 95% confidence intervals reflect complex survey design. Data shown in blue were estimated as described in section 6 and confidence intervals include uncertainty from the complex survey design and the regression adjustment model. </w:t>
      </w:r>
    </w:p>
    <w:p w14:paraId="29C59632" w14:textId="1A11A6CC" w:rsidR="008D063C" w:rsidRDefault="008D063C" w:rsidP="00FB71BF">
      <w:pPr>
        <w:rPr>
          <w:rFonts w:eastAsiaTheme="majorEastAsia"/>
        </w:rPr>
      </w:pPr>
      <w:r>
        <w:rPr>
          <w:noProof/>
          <w:lang w:eastAsia="en-US"/>
        </w:rPr>
        <w:drawing>
          <wp:inline distT="0" distB="0" distL="0" distR="0" wp14:anchorId="323897A2" wp14:editId="5862942A">
            <wp:extent cx="6188710" cy="4642485"/>
            <wp:effectExtent l="0" t="0" r="2540" b="571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22"/>
                    <a:stretch>
                      <a:fillRect/>
                    </a:stretch>
                  </pic:blipFill>
                  <pic:spPr>
                    <a:xfrm>
                      <a:off x="0" y="0"/>
                      <a:ext cx="6188710" cy="4642485"/>
                    </a:xfrm>
                    <a:prstGeom prst="rect">
                      <a:avLst/>
                    </a:prstGeom>
                  </pic:spPr>
                </pic:pic>
              </a:graphicData>
            </a:graphic>
          </wp:inline>
        </w:drawing>
      </w:r>
    </w:p>
    <w:p w14:paraId="0E1555E6" w14:textId="77777777" w:rsidR="00FB71BF" w:rsidRDefault="00FB71BF">
      <w:pPr>
        <w:spacing w:after="200" w:line="276" w:lineRule="auto"/>
        <w:rPr>
          <w:rStyle w:val="Heading3Char"/>
          <w:rFonts w:cstheme="minorHAnsi"/>
        </w:rPr>
      </w:pPr>
      <w:r>
        <w:rPr>
          <w:rStyle w:val="Heading3Char"/>
          <w:rFonts w:cstheme="minorHAnsi"/>
        </w:rPr>
        <w:br w:type="page"/>
      </w:r>
    </w:p>
    <w:p w14:paraId="36317B2D" w14:textId="3561F2A9" w:rsidR="00DE0346" w:rsidRDefault="03C7B32C" w:rsidP="03C7B32C">
      <w:pPr>
        <w:rPr>
          <w:rFonts w:eastAsiaTheme="majorEastAsia"/>
        </w:rPr>
      </w:pPr>
      <w:bookmarkStart w:id="19" w:name="_Toc94512119"/>
      <w:r w:rsidRPr="03C7B32C">
        <w:rPr>
          <w:rStyle w:val="Heading3Char"/>
          <w:rFonts w:cstheme="minorBidi"/>
        </w:rPr>
        <w:lastRenderedPageBreak/>
        <w:t xml:space="preserve">Appendix Figure 5. Prevalence of iron, folate or zinc deficiency vs. </w:t>
      </w:r>
      <w:r w:rsidR="000B145D" w:rsidRPr="14402C93">
        <w:rPr>
          <w:rFonts w:cstheme="minorBidi"/>
          <w:lang w:val="en-GB"/>
        </w:rPr>
        <w:t xml:space="preserve">socio-demographic index </w:t>
      </w:r>
      <w:r w:rsidR="00093F02">
        <w:rPr>
          <w:rFonts w:cstheme="minorBidi"/>
          <w:lang w:val="en-GB"/>
        </w:rPr>
        <w:t>(</w:t>
      </w:r>
      <w:r w:rsidRPr="03C7B32C">
        <w:rPr>
          <w:rStyle w:val="Heading3Char"/>
          <w:rFonts w:cstheme="minorBidi"/>
        </w:rPr>
        <w:t>SDI</w:t>
      </w:r>
      <w:r w:rsidR="00093F02">
        <w:rPr>
          <w:rStyle w:val="Heading3Char"/>
          <w:rFonts w:cstheme="minorBidi"/>
        </w:rPr>
        <w:t>)</w:t>
      </w:r>
      <w:r w:rsidRPr="03C7B32C">
        <w:rPr>
          <w:rStyle w:val="Heading3Char"/>
          <w:rFonts w:cstheme="minorBidi"/>
        </w:rPr>
        <w:t>, non-pregnant women</w:t>
      </w:r>
      <w:r w:rsidR="001A7EC4">
        <w:rPr>
          <w:rStyle w:val="Heading3Char"/>
          <w:rFonts w:cstheme="minorBidi"/>
        </w:rPr>
        <w:t xml:space="preserve"> 15-49 years</w:t>
      </w:r>
      <w:bookmarkEnd w:id="19"/>
      <w:r w:rsidRPr="03C7B32C">
        <w:rPr>
          <w:rFonts w:eastAsiaTheme="majorEastAsia"/>
        </w:rPr>
        <w:t xml:space="preserve">. Vertical bars represent 95% confidence interval. Data shown in green measured all three micronutrient deficiencies, and 95% confidence intervals reflect complex survey design. Data shown in blue were estimated as described in section 6 and confidence intervals include uncertainty from the complex survey design and the regression adjustment model. </w:t>
      </w:r>
    </w:p>
    <w:p w14:paraId="3C090650" w14:textId="1D80CE2E" w:rsidR="00AE3ACA" w:rsidRDefault="00AE3ACA" w:rsidP="00DE0346">
      <w:pPr>
        <w:ind w:firstLine="720"/>
        <w:rPr>
          <w:rFonts w:eastAsiaTheme="majorEastAsia"/>
        </w:rPr>
      </w:pPr>
      <w:r>
        <w:rPr>
          <w:noProof/>
          <w:lang w:eastAsia="en-US"/>
        </w:rPr>
        <w:drawing>
          <wp:inline distT="0" distB="0" distL="0" distR="0" wp14:anchorId="71727108" wp14:editId="7D8B67CD">
            <wp:extent cx="6188710" cy="4646930"/>
            <wp:effectExtent l="0" t="0" r="2540" b="127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23"/>
                    <a:stretch>
                      <a:fillRect/>
                    </a:stretch>
                  </pic:blipFill>
                  <pic:spPr>
                    <a:xfrm>
                      <a:off x="0" y="0"/>
                      <a:ext cx="6188710" cy="4646930"/>
                    </a:xfrm>
                    <a:prstGeom prst="rect">
                      <a:avLst/>
                    </a:prstGeom>
                  </pic:spPr>
                </pic:pic>
              </a:graphicData>
            </a:graphic>
          </wp:inline>
        </w:drawing>
      </w:r>
    </w:p>
    <w:p w14:paraId="18958975" w14:textId="77777777" w:rsidR="00923476" w:rsidRPr="00A34060" w:rsidRDefault="00923476" w:rsidP="006B646F">
      <w:pPr>
        <w:ind w:firstLine="720"/>
        <w:rPr>
          <w:rFonts w:cstheme="minorHAnsi"/>
          <w:szCs w:val="22"/>
          <w:lang w:val="en-GB"/>
        </w:rPr>
      </w:pPr>
    </w:p>
    <w:p w14:paraId="576D7859" w14:textId="77777777" w:rsidR="009C5E0D" w:rsidRPr="00A34060" w:rsidRDefault="009C5E0D" w:rsidP="009C5E0D">
      <w:pPr>
        <w:spacing w:after="200" w:line="276" w:lineRule="auto"/>
        <w:rPr>
          <w:rStyle w:val="Heading1Char"/>
          <w:lang w:val="en-GB"/>
        </w:rPr>
      </w:pPr>
      <w:r w:rsidRPr="00A34060">
        <w:rPr>
          <w:rStyle w:val="Heading1Char"/>
          <w:b w:val="0"/>
          <w:lang w:val="en-GB"/>
        </w:rPr>
        <w:br w:type="page"/>
      </w:r>
    </w:p>
    <w:p w14:paraId="1F2F75EB" w14:textId="72644030" w:rsidR="00A027F8" w:rsidRPr="00A34060" w:rsidRDefault="03C7B32C" w:rsidP="14402C93">
      <w:pPr>
        <w:pStyle w:val="Heading1"/>
        <w:rPr>
          <w:rStyle w:val="Heading1Char"/>
          <w:b/>
          <w:bCs/>
          <w:lang w:val="en-GB"/>
        </w:rPr>
      </w:pPr>
      <w:bookmarkStart w:id="20" w:name="_Toc94512120"/>
      <w:r w:rsidRPr="03C7B32C">
        <w:rPr>
          <w:rStyle w:val="Heading1Char"/>
          <w:b/>
          <w:bCs/>
          <w:lang w:val="en-GB"/>
        </w:rPr>
        <w:lastRenderedPageBreak/>
        <w:t>References</w:t>
      </w:r>
      <w:bookmarkEnd w:id="20"/>
    </w:p>
    <w:p w14:paraId="60188F91" w14:textId="6DC925B4" w:rsidR="007C2DBC" w:rsidRPr="007C2DBC" w:rsidRDefault="00A027F8" w:rsidP="007C2DBC">
      <w:pPr>
        <w:widowControl w:val="0"/>
        <w:autoSpaceDE w:val="0"/>
        <w:autoSpaceDN w:val="0"/>
        <w:adjustRightInd w:val="0"/>
        <w:ind w:left="640" w:hanging="640"/>
        <w:rPr>
          <w:rFonts w:ascii="Calibri" w:hAnsi="Calibri" w:cs="Calibri"/>
          <w:noProof/>
          <w:szCs w:val="24"/>
        </w:rPr>
      </w:pPr>
      <w:r w:rsidRPr="00A34060">
        <w:rPr>
          <w:rFonts w:cstheme="minorHAnsi"/>
          <w:szCs w:val="22"/>
          <w:lang w:val="en-GB"/>
        </w:rPr>
        <w:fldChar w:fldCharType="begin" w:fldLock="1"/>
      </w:r>
      <w:r w:rsidRPr="00A34060">
        <w:rPr>
          <w:rFonts w:cstheme="minorHAnsi"/>
          <w:szCs w:val="22"/>
          <w:lang w:val="en-GB"/>
        </w:rPr>
        <w:instrText xml:space="preserve">ADDIN Mendeley Bibliography CSL_BIBLIOGRAPHY </w:instrText>
      </w:r>
      <w:r w:rsidRPr="00A34060">
        <w:rPr>
          <w:rFonts w:cstheme="minorHAnsi"/>
          <w:szCs w:val="22"/>
          <w:lang w:val="en-GB"/>
        </w:rPr>
        <w:fldChar w:fldCharType="separate"/>
      </w:r>
      <w:r w:rsidR="007C2DBC" w:rsidRPr="007C2DBC">
        <w:rPr>
          <w:rFonts w:ascii="Calibri" w:hAnsi="Calibri" w:cs="Calibri"/>
          <w:noProof/>
          <w:szCs w:val="24"/>
        </w:rPr>
        <w:t xml:space="preserve">1. </w:t>
      </w:r>
      <w:r w:rsidR="007C2DBC" w:rsidRPr="007C2DBC">
        <w:rPr>
          <w:rFonts w:ascii="Calibri" w:hAnsi="Calibri" w:cs="Calibri"/>
          <w:noProof/>
          <w:szCs w:val="24"/>
        </w:rPr>
        <w:tab/>
        <w:t>Stevens GA, Alkema L, Black RE, Boerma JT, Collins GS, Ezzati M, et al. Guidelines for Accurate and Transparent Health Estimates Reporting: the GATHER statement. PLOS Med [Internet]. 2016 Jun 28 [cited 2021 Mar 24];13(6):e1002056. Available from: https://dx.plos.org/10.1371/journal.pmed.1002056</w:t>
      </w:r>
    </w:p>
    <w:p w14:paraId="29488797" w14:textId="77777777" w:rsidR="007C2DBC" w:rsidRPr="007C2DBC" w:rsidRDefault="007C2DBC" w:rsidP="007C2DBC">
      <w:pPr>
        <w:widowControl w:val="0"/>
        <w:autoSpaceDE w:val="0"/>
        <w:autoSpaceDN w:val="0"/>
        <w:adjustRightInd w:val="0"/>
        <w:ind w:left="640" w:hanging="640"/>
        <w:rPr>
          <w:rFonts w:ascii="Calibri" w:hAnsi="Calibri" w:cs="Calibri"/>
          <w:noProof/>
          <w:szCs w:val="24"/>
        </w:rPr>
      </w:pPr>
      <w:r w:rsidRPr="007C2DBC">
        <w:rPr>
          <w:rFonts w:ascii="Calibri" w:hAnsi="Calibri" w:cs="Calibri"/>
          <w:noProof/>
          <w:szCs w:val="24"/>
        </w:rPr>
        <w:t xml:space="preserve">2. </w:t>
      </w:r>
      <w:r w:rsidRPr="007C2DBC">
        <w:rPr>
          <w:rFonts w:ascii="Calibri" w:hAnsi="Calibri" w:cs="Calibri"/>
          <w:noProof/>
          <w:szCs w:val="24"/>
        </w:rPr>
        <w:tab/>
        <w:t xml:space="preserve">Centers for Disease Control and Prevention, World Health Organization, Nutrition International, UNICEF. Micronutrient survey manual. Geneva; 2020. </w:t>
      </w:r>
    </w:p>
    <w:p w14:paraId="5E86847E" w14:textId="77777777" w:rsidR="007C2DBC" w:rsidRPr="007C2DBC" w:rsidRDefault="007C2DBC" w:rsidP="007C2DBC">
      <w:pPr>
        <w:widowControl w:val="0"/>
        <w:autoSpaceDE w:val="0"/>
        <w:autoSpaceDN w:val="0"/>
        <w:adjustRightInd w:val="0"/>
        <w:ind w:left="640" w:hanging="640"/>
        <w:rPr>
          <w:rFonts w:ascii="Calibri" w:hAnsi="Calibri" w:cs="Calibri"/>
          <w:noProof/>
          <w:szCs w:val="24"/>
        </w:rPr>
      </w:pPr>
      <w:r w:rsidRPr="007C2DBC">
        <w:rPr>
          <w:rFonts w:ascii="Calibri" w:hAnsi="Calibri" w:cs="Calibri"/>
          <w:noProof/>
          <w:szCs w:val="24"/>
        </w:rPr>
        <w:t xml:space="preserve">3. </w:t>
      </w:r>
      <w:r w:rsidRPr="007C2DBC">
        <w:rPr>
          <w:rFonts w:ascii="Calibri" w:hAnsi="Calibri" w:cs="Calibri"/>
          <w:noProof/>
          <w:szCs w:val="24"/>
        </w:rPr>
        <w:tab/>
        <w:t>Namaste SM, Aaron GJ, Varadhan R, Peerson JM, Suchdev PS. Methodologic approach for the Biomarkers Reflecting Inflammation and Nutritional Determinants of Anemia (BRINDA) project. Am J Clin Nutr [Internet]. 2017 Jul 1 [cited 2021 Aug 17];106(suppl_1):333S-347S. Available from: https://academic.oup.com/ajcn/article/106/suppl_1/333S/4668571</w:t>
      </w:r>
    </w:p>
    <w:p w14:paraId="6995D167" w14:textId="77777777" w:rsidR="007C2DBC" w:rsidRPr="007C2DBC" w:rsidRDefault="007C2DBC" w:rsidP="007C2DBC">
      <w:pPr>
        <w:widowControl w:val="0"/>
        <w:autoSpaceDE w:val="0"/>
        <w:autoSpaceDN w:val="0"/>
        <w:adjustRightInd w:val="0"/>
        <w:ind w:left="640" w:hanging="640"/>
        <w:rPr>
          <w:rFonts w:ascii="Calibri" w:hAnsi="Calibri" w:cs="Calibri"/>
          <w:noProof/>
          <w:szCs w:val="24"/>
        </w:rPr>
      </w:pPr>
      <w:r w:rsidRPr="007C2DBC">
        <w:rPr>
          <w:rFonts w:ascii="Calibri" w:hAnsi="Calibri" w:cs="Calibri"/>
          <w:noProof/>
          <w:szCs w:val="24"/>
        </w:rPr>
        <w:t xml:space="preserve">4. </w:t>
      </w:r>
      <w:r w:rsidRPr="007C2DBC">
        <w:rPr>
          <w:rFonts w:ascii="Calibri" w:hAnsi="Calibri" w:cs="Calibri"/>
          <w:noProof/>
          <w:szCs w:val="24"/>
        </w:rPr>
        <w:tab/>
        <w:t>Larson LM, Namaste SM, Williams AM, Engle-Stone R, Addo OY, Suchdev PS, et al. Adjusting retinol-binding protein concentrations for inflammation: Biomarkers Reflecting Inflammation and Nutritional Determinants of Anemia (BRINDA) project. Am J Clin Nutr [Internet]. 2017 Jul 1 [cited 2021 Aug 17];106(suppl_1):390S-401S. Available from: https://academic.oup.com/ajcn/article/106/suppl_1/390S/4668591</w:t>
      </w:r>
    </w:p>
    <w:p w14:paraId="338F5162" w14:textId="77777777" w:rsidR="007C2DBC" w:rsidRPr="007C2DBC" w:rsidRDefault="007C2DBC" w:rsidP="007C2DBC">
      <w:pPr>
        <w:widowControl w:val="0"/>
        <w:autoSpaceDE w:val="0"/>
        <w:autoSpaceDN w:val="0"/>
        <w:adjustRightInd w:val="0"/>
        <w:ind w:left="640" w:hanging="640"/>
        <w:rPr>
          <w:rFonts w:ascii="Calibri" w:hAnsi="Calibri" w:cs="Calibri"/>
          <w:noProof/>
          <w:szCs w:val="24"/>
        </w:rPr>
      </w:pPr>
      <w:r w:rsidRPr="007C2DBC">
        <w:rPr>
          <w:rFonts w:ascii="Calibri" w:hAnsi="Calibri" w:cs="Calibri"/>
          <w:noProof/>
          <w:szCs w:val="24"/>
        </w:rPr>
        <w:t xml:space="preserve">5. </w:t>
      </w:r>
      <w:r w:rsidRPr="007C2DBC">
        <w:rPr>
          <w:rFonts w:ascii="Calibri" w:hAnsi="Calibri" w:cs="Calibri"/>
          <w:noProof/>
          <w:szCs w:val="24"/>
        </w:rPr>
        <w:tab/>
        <w:t>McDonald CM, Suchdev PS, Krebs NF, Hess SY, Wessells KR, Ismaily S, et al. Adjusting plasma or serum zinc concentrations for inflammation: Biomarkers Reflecting Inflammation and Nutritional Determinants of Anemia (BRINDA) project. Am J Clin Nutr [Internet]. 2020 Apr 1 [cited 2021 Aug 17];111(4):927–37. Available from: https://academic.oup.com/ajcn/article/111/4/927/5815488</w:t>
      </w:r>
    </w:p>
    <w:p w14:paraId="1C31E4D6" w14:textId="77777777" w:rsidR="007C2DBC" w:rsidRPr="007C2DBC" w:rsidRDefault="007C2DBC" w:rsidP="007C2DBC">
      <w:pPr>
        <w:widowControl w:val="0"/>
        <w:autoSpaceDE w:val="0"/>
        <w:autoSpaceDN w:val="0"/>
        <w:adjustRightInd w:val="0"/>
        <w:ind w:left="640" w:hanging="640"/>
        <w:rPr>
          <w:rFonts w:ascii="Calibri" w:hAnsi="Calibri" w:cs="Calibri"/>
          <w:noProof/>
          <w:szCs w:val="24"/>
        </w:rPr>
      </w:pPr>
      <w:r w:rsidRPr="007C2DBC">
        <w:rPr>
          <w:rFonts w:ascii="Calibri" w:hAnsi="Calibri" w:cs="Calibri"/>
          <w:noProof/>
          <w:szCs w:val="24"/>
        </w:rPr>
        <w:t xml:space="preserve">6. </w:t>
      </w:r>
      <w:r w:rsidRPr="007C2DBC">
        <w:rPr>
          <w:rFonts w:ascii="Calibri" w:hAnsi="Calibri" w:cs="Calibri"/>
          <w:noProof/>
          <w:szCs w:val="24"/>
        </w:rPr>
        <w:tab/>
        <w:t>Rogers LM, Cordero AM, Pfeiffer CM, Hausman DB, Tsang BL, De-Regil LM, et al. Global folate status in women of reproductive age: a systematic review with emphasis on methodological issues. Ann N Y Acad Sci [Internet]. 2018 [cited 2021 Nov 17];1431(1). Available from: https://pubmed.ncbi.nlm.nih.gov/30239016/</w:t>
      </w:r>
    </w:p>
    <w:p w14:paraId="41249D1D" w14:textId="77777777" w:rsidR="007C2DBC" w:rsidRPr="007C2DBC" w:rsidRDefault="007C2DBC" w:rsidP="007C2DBC">
      <w:pPr>
        <w:widowControl w:val="0"/>
        <w:autoSpaceDE w:val="0"/>
        <w:autoSpaceDN w:val="0"/>
        <w:adjustRightInd w:val="0"/>
        <w:ind w:left="640" w:hanging="640"/>
        <w:rPr>
          <w:rFonts w:ascii="Calibri" w:hAnsi="Calibri" w:cs="Calibri"/>
          <w:noProof/>
          <w:szCs w:val="24"/>
        </w:rPr>
      </w:pPr>
      <w:r w:rsidRPr="007C2DBC">
        <w:rPr>
          <w:rFonts w:ascii="Calibri" w:hAnsi="Calibri" w:cs="Calibri"/>
          <w:noProof/>
          <w:szCs w:val="24"/>
        </w:rPr>
        <w:t xml:space="preserve">7. </w:t>
      </w:r>
      <w:r w:rsidRPr="007C2DBC">
        <w:rPr>
          <w:rFonts w:ascii="Calibri" w:hAnsi="Calibri" w:cs="Calibri"/>
          <w:noProof/>
          <w:szCs w:val="24"/>
        </w:rPr>
        <w:tab/>
        <w:t xml:space="preserve">Institute of Medicine Food and Nutrition Board. Dietary reference intakes: thiamin, riboflavin, niacin, vitamin B6, folate, vitamin B12, pantothenic acid, biotin, and choline. Washington, D.C.: National Academy Press; 1998. </w:t>
      </w:r>
    </w:p>
    <w:p w14:paraId="34AC444B" w14:textId="77777777" w:rsidR="007C2DBC" w:rsidRPr="007C2DBC" w:rsidRDefault="007C2DBC" w:rsidP="007C2DBC">
      <w:pPr>
        <w:widowControl w:val="0"/>
        <w:autoSpaceDE w:val="0"/>
        <w:autoSpaceDN w:val="0"/>
        <w:adjustRightInd w:val="0"/>
        <w:ind w:left="640" w:hanging="640"/>
        <w:rPr>
          <w:rFonts w:ascii="Calibri" w:hAnsi="Calibri" w:cs="Calibri"/>
          <w:noProof/>
          <w:szCs w:val="24"/>
        </w:rPr>
      </w:pPr>
      <w:r w:rsidRPr="007C2DBC">
        <w:rPr>
          <w:rFonts w:ascii="Calibri" w:hAnsi="Calibri" w:cs="Calibri"/>
          <w:noProof/>
          <w:szCs w:val="24"/>
        </w:rPr>
        <w:t xml:space="preserve">8. </w:t>
      </w:r>
      <w:r w:rsidRPr="007C2DBC">
        <w:rPr>
          <w:rFonts w:ascii="Calibri" w:hAnsi="Calibri" w:cs="Calibri"/>
          <w:noProof/>
          <w:szCs w:val="24"/>
        </w:rPr>
        <w:tab/>
        <w:t xml:space="preserve">de Benoist B. Conclusions of a WHO Technical Consultation on folate and vitamin B12 deficiencies. Food Nutr Bull. 2008;29(2 SUPPL.). </w:t>
      </w:r>
    </w:p>
    <w:p w14:paraId="4FC4B428" w14:textId="77777777" w:rsidR="007C2DBC" w:rsidRPr="007C2DBC" w:rsidRDefault="007C2DBC" w:rsidP="007C2DBC">
      <w:pPr>
        <w:widowControl w:val="0"/>
        <w:autoSpaceDE w:val="0"/>
        <w:autoSpaceDN w:val="0"/>
        <w:adjustRightInd w:val="0"/>
        <w:ind w:left="640" w:hanging="640"/>
        <w:rPr>
          <w:rFonts w:ascii="Calibri" w:hAnsi="Calibri" w:cs="Calibri"/>
          <w:noProof/>
          <w:szCs w:val="24"/>
        </w:rPr>
      </w:pPr>
      <w:r w:rsidRPr="007C2DBC">
        <w:rPr>
          <w:rFonts w:ascii="Calibri" w:hAnsi="Calibri" w:cs="Calibri"/>
          <w:noProof/>
          <w:szCs w:val="24"/>
        </w:rPr>
        <w:t xml:space="preserve">9. </w:t>
      </w:r>
      <w:r w:rsidRPr="007C2DBC">
        <w:rPr>
          <w:rFonts w:ascii="Calibri" w:hAnsi="Calibri" w:cs="Calibri"/>
          <w:noProof/>
          <w:szCs w:val="24"/>
        </w:rPr>
        <w:tab/>
        <w:t>Young MF, Guo J, Williams A, Whitfield KC, Nasrin S, Kancherla V, et al. Interpretation of vitamin B-12 and folate concentrations in population-based surveys does not require adjustment for inflammation: Biomarkers Reflecting Inflammation and Nutritional Determinants of Anemia (BRINDA) project. Am J Clin Nutr [Internet]. 2020 Apr 1 [cited 2021 Aug 17];111(4):919–26. Available from: https://academic.oup.com/ajcn/article/111/4/919/5815478</w:t>
      </w:r>
    </w:p>
    <w:p w14:paraId="4840443D" w14:textId="77777777" w:rsidR="007C2DBC" w:rsidRPr="007C2DBC" w:rsidRDefault="007C2DBC" w:rsidP="007C2DBC">
      <w:pPr>
        <w:widowControl w:val="0"/>
        <w:autoSpaceDE w:val="0"/>
        <w:autoSpaceDN w:val="0"/>
        <w:adjustRightInd w:val="0"/>
        <w:ind w:left="640" w:hanging="640"/>
        <w:rPr>
          <w:rFonts w:ascii="Calibri" w:hAnsi="Calibri" w:cs="Calibri"/>
          <w:noProof/>
          <w:szCs w:val="24"/>
        </w:rPr>
      </w:pPr>
      <w:r w:rsidRPr="007C2DBC">
        <w:rPr>
          <w:rFonts w:ascii="Calibri" w:hAnsi="Calibri" w:cs="Calibri"/>
          <w:noProof/>
          <w:szCs w:val="24"/>
        </w:rPr>
        <w:lastRenderedPageBreak/>
        <w:t xml:space="preserve">10. </w:t>
      </w:r>
      <w:r w:rsidRPr="007C2DBC">
        <w:rPr>
          <w:rFonts w:ascii="Calibri" w:hAnsi="Calibri" w:cs="Calibri"/>
          <w:noProof/>
          <w:szCs w:val="24"/>
        </w:rPr>
        <w:tab/>
        <w:t>World Health Organization. Serum retinol cencentrations for determining the prevalence of vitamin A deficiency in populations [Internet]. Geneva; 2011. Available from: https://www.who.int/vmnis/indicators/retinol.pdf</w:t>
      </w:r>
    </w:p>
    <w:p w14:paraId="6486AC9A" w14:textId="77777777" w:rsidR="007C2DBC" w:rsidRPr="007C2DBC" w:rsidRDefault="007C2DBC" w:rsidP="007C2DBC">
      <w:pPr>
        <w:widowControl w:val="0"/>
        <w:autoSpaceDE w:val="0"/>
        <w:autoSpaceDN w:val="0"/>
        <w:adjustRightInd w:val="0"/>
        <w:ind w:left="640" w:hanging="640"/>
        <w:rPr>
          <w:rFonts w:ascii="Calibri" w:hAnsi="Calibri" w:cs="Calibri"/>
          <w:noProof/>
          <w:szCs w:val="24"/>
        </w:rPr>
      </w:pPr>
      <w:r w:rsidRPr="007C2DBC">
        <w:rPr>
          <w:rFonts w:ascii="Calibri" w:hAnsi="Calibri" w:cs="Calibri"/>
          <w:noProof/>
          <w:szCs w:val="24"/>
        </w:rPr>
        <w:t xml:space="preserve">11. </w:t>
      </w:r>
      <w:r w:rsidRPr="007C2DBC">
        <w:rPr>
          <w:rFonts w:ascii="Calibri" w:hAnsi="Calibri" w:cs="Calibri"/>
          <w:noProof/>
          <w:szCs w:val="24"/>
        </w:rPr>
        <w:tab/>
        <w:t>Semba RD, Yuniar Y, Gamble M V., Natadisastra G, Muhilal. Assessment of Vitamin A Status of Preschool Children in Indonesia Using Plasma Retinol‐binding Protein. J Trop Pediatr [Internet]. 2002 Apr 1 [cited 2022 Jan 31];48(2):84–7. Available from: https://academic.oup.com/tropej/article/48/2/84/1690193</w:t>
      </w:r>
    </w:p>
    <w:p w14:paraId="1D9884FC" w14:textId="77777777" w:rsidR="007C2DBC" w:rsidRPr="007C2DBC" w:rsidRDefault="007C2DBC" w:rsidP="007C2DBC">
      <w:pPr>
        <w:widowControl w:val="0"/>
        <w:autoSpaceDE w:val="0"/>
        <w:autoSpaceDN w:val="0"/>
        <w:adjustRightInd w:val="0"/>
        <w:ind w:left="640" w:hanging="640"/>
        <w:rPr>
          <w:rFonts w:ascii="Calibri" w:hAnsi="Calibri" w:cs="Calibri"/>
          <w:noProof/>
          <w:szCs w:val="24"/>
        </w:rPr>
      </w:pPr>
      <w:r w:rsidRPr="007C2DBC">
        <w:rPr>
          <w:rFonts w:ascii="Calibri" w:hAnsi="Calibri" w:cs="Calibri"/>
          <w:noProof/>
          <w:szCs w:val="24"/>
        </w:rPr>
        <w:t xml:space="preserve">12. </w:t>
      </w:r>
      <w:r w:rsidRPr="007C2DBC">
        <w:rPr>
          <w:rFonts w:ascii="Calibri" w:hAnsi="Calibri" w:cs="Calibri"/>
          <w:noProof/>
          <w:szCs w:val="24"/>
        </w:rPr>
        <w:tab/>
        <w:t>Gamble M V., Ramakrishnan R, Palafox NA, Briand K, Berglund L, Blaner WS. Retinol binding protein as a surrogate measure for serum retinol: studies in vitamin A–deficient children from the Republic of the Marshall Islands. Am J Clin Nutr [Internet]. 2001 Mar 1 [cited 2022 Jan 31];73(3):594–601. Available from: https://academic.oup.com/ajcn/article/73/3/594/4737411</w:t>
      </w:r>
    </w:p>
    <w:p w14:paraId="7F3286BE" w14:textId="77777777" w:rsidR="007C2DBC" w:rsidRPr="007C2DBC" w:rsidRDefault="007C2DBC" w:rsidP="007C2DBC">
      <w:pPr>
        <w:widowControl w:val="0"/>
        <w:autoSpaceDE w:val="0"/>
        <w:autoSpaceDN w:val="0"/>
        <w:adjustRightInd w:val="0"/>
        <w:ind w:left="640" w:hanging="640"/>
        <w:rPr>
          <w:rFonts w:ascii="Calibri" w:hAnsi="Calibri" w:cs="Calibri"/>
          <w:noProof/>
          <w:szCs w:val="24"/>
        </w:rPr>
      </w:pPr>
      <w:r w:rsidRPr="007C2DBC">
        <w:rPr>
          <w:rFonts w:ascii="Calibri" w:hAnsi="Calibri" w:cs="Calibri"/>
          <w:noProof/>
          <w:szCs w:val="24"/>
        </w:rPr>
        <w:t xml:space="preserve">13. </w:t>
      </w:r>
      <w:r w:rsidRPr="007C2DBC">
        <w:rPr>
          <w:rFonts w:ascii="Calibri" w:hAnsi="Calibri" w:cs="Calibri"/>
          <w:noProof/>
          <w:szCs w:val="24"/>
        </w:rPr>
        <w:tab/>
        <w:t>International Zinc Nutrition Consultative Group. IZiNCG Technical Brief [Internet]. Davis, CA; 2012 [cited 2021 Aug 17]. Available from: www.izincg.org</w:t>
      </w:r>
    </w:p>
    <w:p w14:paraId="50682700" w14:textId="77777777" w:rsidR="007C2DBC" w:rsidRPr="007C2DBC" w:rsidRDefault="007C2DBC" w:rsidP="007C2DBC">
      <w:pPr>
        <w:widowControl w:val="0"/>
        <w:autoSpaceDE w:val="0"/>
        <w:autoSpaceDN w:val="0"/>
        <w:adjustRightInd w:val="0"/>
        <w:ind w:left="640" w:hanging="640"/>
        <w:rPr>
          <w:rFonts w:ascii="Calibri" w:hAnsi="Calibri" w:cs="Calibri"/>
          <w:noProof/>
          <w:szCs w:val="24"/>
        </w:rPr>
      </w:pPr>
      <w:r w:rsidRPr="007C2DBC">
        <w:rPr>
          <w:rFonts w:ascii="Calibri" w:hAnsi="Calibri" w:cs="Calibri"/>
          <w:noProof/>
          <w:szCs w:val="24"/>
        </w:rPr>
        <w:t xml:space="preserve">14. </w:t>
      </w:r>
      <w:r w:rsidRPr="007C2DBC">
        <w:rPr>
          <w:rFonts w:ascii="Calibri" w:hAnsi="Calibri" w:cs="Calibri"/>
          <w:noProof/>
          <w:szCs w:val="24"/>
        </w:rPr>
        <w:tab/>
        <w:t>Engle-Stone R, Nankap M, Ndjebayi AO, Erhardt JG, Brown KH. Plasma ferritin and soluble transferrin receptor concentrations and body iron stores identify similar risk factors for iron deficiency but result in different estimates of the national prevalence of iron deficiency and iron-deficiency anemia among women and children in Cameroon. J Nutr [Internet]. 2013 Mar [cited 2022 Jan 30];143(3):369–77. Available from: https://pubmed.ncbi.nlm.nih.gov/23343673/</w:t>
      </w:r>
    </w:p>
    <w:p w14:paraId="46AD0E21" w14:textId="77777777" w:rsidR="007C2DBC" w:rsidRPr="007C2DBC" w:rsidRDefault="007C2DBC" w:rsidP="007C2DBC">
      <w:pPr>
        <w:widowControl w:val="0"/>
        <w:autoSpaceDE w:val="0"/>
        <w:autoSpaceDN w:val="0"/>
        <w:adjustRightInd w:val="0"/>
        <w:ind w:left="640" w:hanging="640"/>
        <w:rPr>
          <w:rFonts w:ascii="Calibri" w:hAnsi="Calibri" w:cs="Calibri"/>
          <w:noProof/>
          <w:szCs w:val="24"/>
        </w:rPr>
      </w:pPr>
      <w:r w:rsidRPr="007C2DBC">
        <w:rPr>
          <w:rFonts w:ascii="Calibri" w:hAnsi="Calibri" w:cs="Calibri"/>
          <w:noProof/>
          <w:szCs w:val="24"/>
        </w:rPr>
        <w:t xml:space="preserve">15. </w:t>
      </w:r>
      <w:r w:rsidRPr="007C2DBC">
        <w:rPr>
          <w:rFonts w:ascii="Calibri" w:hAnsi="Calibri" w:cs="Calibri"/>
          <w:noProof/>
          <w:szCs w:val="24"/>
        </w:rPr>
        <w:tab/>
        <w:t>Scientific Advisory Committee on Nutrition. Vitamin D and Health [Internet]. 2016. Available from: https://www.gov.uk/government/groups/scientific-advisory-committee-on-nutrition</w:t>
      </w:r>
    </w:p>
    <w:p w14:paraId="7803EDBD" w14:textId="77777777" w:rsidR="007C2DBC" w:rsidRPr="007C2DBC" w:rsidRDefault="007C2DBC" w:rsidP="007C2DBC">
      <w:pPr>
        <w:widowControl w:val="0"/>
        <w:autoSpaceDE w:val="0"/>
        <w:autoSpaceDN w:val="0"/>
        <w:adjustRightInd w:val="0"/>
        <w:ind w:left="640" w:hanging="640"/>
        <w:rPr>
          <w:rFonts w:ascii="Calibri" w:hAnsi="Calibri" w:cs="Calibri"/>
          <w:noProof/>
          <w:szCs w:val="24"/>
        </w:rPr>
      </w:pPr>
      <w:r w:rsidRPr="007C2DBC">
        <w:rPr>
          <w:rFonts w:ascii="Calibri" w:hAnsi="Calibri" w:cs="Calibri"/>
          <w:noProof/>
          <w:szCs w:val="24"/>
        </w:rPr>
        <w:t xml:space="preserve">16. </w:t>
      </w:r>
      <w:r w:rsidRPr="007C2DBC">
        <w:rPr>
          <w:rFonts w:ascii="Calibri" w:hAnsi="Calibri" w:cs="Calibri"/>
          <w:noProof/>
          <w:szCs w:val="24"/>
        </w:rPr>
        <w:tab/>
        <w:t xml:space="preserve">Global Burden of Disease Collaborative Network. Global Burden of Disease 2019 (GBD 2019) Covariates 1980-2019. Seattle: Institute for Health Metrics and Evaluation; 2020. </w:t>
      </w:r>
    </w:p>
    <w:p w14:paraId="49C45F20" w14:textId="77777777" w:rsidR="007C2DBC" w:rsidRPr="007C2DBC" w:rsidRDefault="007C2DBC" w:rsidP="007C2DBC">
      <w:pPr>
        <w:widowControl w:val="0"/>
        <w:autoSpaceDE w:val="0"/>
        <w:autoSpaceDN w:val="0"/>
        <w:adjustRightInd w:val="0"/>
        <w:ind w:left="640" w:hanging="640"/>
        <w:rPr>
          <w:rFonts w:ascii="Calibri" w:hAnsi="Calibri" w:cs="Calibri"/>
          <w:noProof/>
          <w:szCs w:val="24"/>
        </w:rPr>
      </w:pPr>
      <w:r w:rsidRPr="007C2DBC">
        <w:rPr>
          <w:rFonts w:ascii="Calibri" w:hAnsi="Calibri" w:cs="Calibri"/>
          <w:noProof/>
          <w:szCs w:val="24"/>
        </w:rPr>
        <w:t xml:space="preserve">17. </w:t>
      </w:r>
      <w:r w:rsidRPr="007C2DBC">
        <w:rPr>
          <w:rFonts w:ascii="Calibri" w:hAnsi="Calibri" w:cs="Calibri"/>
          <w:noProof/>
          <w:szCs w:val="24"/>
        </w:rPr>
        <w:tab/>
        <w:t>Beal T, Massiot E, Arsenault JE, Smith MR, Hijmans RJ. Global trends in dietary micronutrient supplies and estimated prevalence of inadequate intakes. PLoS One [Internet]. 2017 Apr 1 [cited 2021 Nov 2];12(4):e0175554. Available from: https://journals.plos.org/plosone/article?id=10.1371/journal.pone.0175554</w:t>
      </w:r>
    </w:p>
    <w:p w14:paraId="0D822505" w14:textId="77777777" w:rsidR="007C2DBC" w:rsidRPr="007C2DBC" w:rsidRDefault="007C2DBC" w:rsidP="007C2DBC">
      <w:pPr>
        <w:widowControl w:val="0"/>
        <w:autoSpaceDE w:val="0"/>
        <w:autoSpaceDN w:val="0"/>
        <w:adjustRightInd w:val="0"/>
        <w:ind w:left="640" w:hanging="640"/>
        <w:rPr>
          <w:rFonts w:ascii="Calibri" w:hAnsi="Calibri" w:cs="Calibri"/>
          <w:noProof/>
          <w:szCs w:val="24"/>
        </w:rPr>
      </w:pPr>
      <w:r w:rsidRPr="007C2DBC">
        <w:rPr>
          <w:rFonts w:ascii="Calibri" w:hAnsi="Calibri" w:cs="Calibri"/>
          <w:noProof/>
          <w:szCs w:val="24"/>
        </w:rPr>
        <w:t xml:space="preserve">18. </w:t>
      </w:r>
      <w:r w:rsidRPr="007C2DBC">
        <w:rPr>
          <w:rFonts w:ascii="Calibri" w:hAnsi="Calibri" w:cs="Calibri"/>
          <w:noProof/>
          <w:szCs w:val="24"/>
        </w:rPr>
        <w:tab/>
        <w:t>United Nations Department of Economic and Social Affairs. World Population Prospects 2019 [Internet]. New York: United Nations; 2019 [cited 2021 Mar 17]. Available from: https://population.un.org/wpp/</w:t>
      </w:r>
    </w:p>
    <w:p w14:paraId="54D2F4DA" w14:textId="77777777" w:rsidR="007C2DBC" w:rsidRPr="007C2DBC" w:rsidRDefault="007C2DBC" w:rsidP="007C2DBC">
      <w:pPr>
        <w:widowControl w:val="0"/>
        <w:autoSpaceDE w:val="0"/>
        <w:autoSpaceDN w:val="0"/>
        <w:adjustRightInd w:val="0"/>
        <w:ind w:left="640" w:hanging="640"/>
        <w:rPr>
          <w:rFonts w:ascii="Calibri" w:hAnsi="Calibri" w:cs="Calibri"/>
          <w:noProof/>
        </w:rPr>
      </w:pPr>
      <w:r w:rsidRPr="007C2DBC">
        <w:rPr>
          <w:rFonts w:ascii="Calibri" w:hAnsi="Calibri" w:cs="Calibri"/>
          <w:noProof/>
          <w:szCs w:val="24"/>
        </w:rPr>
        <w:t xml:space="preserve">19. </w:t>
      </w:r>
      <w:r w:rsidRPr="007C2DBC">
        <w:rPr>
          <w:rFonts w:ascii="Calibri" w:hAnsi="Calibri" w:cs="Calibri"/>
          <w:noProof/>
          <w:szCs w:val="24"/>
        </w:rPr>
        <w:tab/>
        <w:t>The World Bank Group. World Bank Analytical Classifications [Internet]. 2021 [cited 2021 Sep 21]. Available from: http://databank.worldbank.org/data/download/site-content/OGHIST.xlsx</w:t>
      </w:r>
    </w:p>
    <w:p w14:paraId="69757A9A" w14:textId="754AE6BE" w:rsidR="00116A27" w:rsidRPr="00A34060" w:rsidRDefault="00A027F8" w:rsidP="0003642E">
      <w:pPr>
        <w:autoSpaceDE w:val="0"/>
        <w:autoSpaceDN w:val="0"/>
        <w:adjustRightInd w:val="0"/>
        <w:rPr>
          <w:rFonts w:cstheme="minorHAnsi"/>
          <w:szCs w:val="22"/>
          <w:lang w:val="en-GB"/>
        </w:rPr>
      </w:pPr>
      <w:r w:rsidRPr="00A34060">
        <w:rPr>
          <w:rFonts w:cstheme="minorHAnsi"/>
          <w:szCs w:val="22"/>
          <w:lang w:val="en-GB"/>
        </w:rPr>
        <w:fldChar w:fldCharType="end"/>
      </w:r>
    </w:p>
    <w:sectPr w:rsidR="00116A27" w:rsidRPr="00A34060" w:rsidSect="004C425C">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3B73BE" w14:textId="77777777" w:rsidR="00803D0F" w:rsidRDefault="00803D0F" w:rsidP="00D54289">
      <w:r>
        <w:separator/>
      </w:r>
    </w:p>
  </w:endnote>
  <w:endnote w:type="continuationSeparator" w:id="0">
    <w:p w14:paraId="06FA529D" w14:textId="77777777" w:rsidR="00803D0F" w:rsidRDefault="00803D0F" w:rsidP="00D54289">
      <w:r>
        <w:continuationSeparator/>
      </w:r>
    </w:p>
  </w:endnote>
  <w:endnote w:type="continuationNotice" w:id="1">
    <w:p w14:paraId="4E72CD57" w14:textId="77777777" w:rsidR="00803D0F" w:rsidRDefault="00803D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65AC4" w14:textId="77777777" w:rsidR="00CB23F5" w:rsidRDefault="00CB23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2672737"/>
      <w:docPartObj>
        <w:docPartGallery w:val="Page Numbers (Bottom of Page)"/>
        <w:docPartUnique/>
      </w:docPartObj>
    </w:sdtPr>
    <w:sdtEndPr>
      <w:rPr>
        <w:noProof/>
      </w:rPr>
    </w:sdtEndPr>
    <w:sdtContent>
      <w:p w14:paraId="4DDF4460" w14:textId="39C2FFA5" w:rsidR="00D5417E" w:rsidRDefault="00D5417E">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44499C00" w14:textId="77777777" w:rsidR="00D5417E" w:rsidRDefault="00D541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67D27" w14:textId="77777777" w:rsidR="00CB23F5" w:rsidRDefault="00CB23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87855" w14:textId="77777777" w:rsidR="00803D0F" w:rsidRDefault="00803D0F" w:rsidP="00D54289">
      <w:r>
        <w:separator/>
      </w:r>
    </w:p>
  </w:footnote>
  <w:footnote w:type="continuationSeparator" w:id="0">
    <w:p w14:paraId="51C35BC0" w14:textId="77777777" w:rsidR="00803D0F" w:rsidRDefault="00803D0F" w:rsidP="00D54289">
      <w:r>
        <w:continuationSeparator/>
      </w:r>
    </w:p>
  </w:footnote>
  <w:footnote w:type="continuationNotice" w:id="1">
    <w:p w14:paraId="7BDA6C8B" w14:textId="77777777" w:rsidR="00803D0F" w:rsidRDefault="00803D0F"/>
  </w:footnote>
  <w:footnote w:id="2">
    <w:p w14:paraId="33E70E4C" w14:textId="1395B7B5" w:rsidR="00A8640F" w:rsidRDefault="00A8640F">
      <w:pPr>
        <w:pStyle w:val="FootnoteText"/>
      </w:pPr>
      <w:r>
        <w:rPr>
          <w:rStyle w:val="FootnoteReference"/>
        </w:rPr>
        <w:footnoteRef/>
      </w:r>
      <w:r>
        <w:t xml:space="preserve"> World Bank Group geographic regions are used, with countries classified by the World Bank as high-income countries in calendar year 2020 </w:t>
      </w:r>
      <w:r>
        <w:fldChar w:fldCharType="begin" w:fldLock="1"/>
      </w:r>
      <w:r w:rsidR="00BB7850">
        <w:instrText>ADDIN CSL_CITATION {"citationItems":[{"id":"ITEM-1","itemData":{"URL":"http://databank.worldbank.org/data/download/site-content/OGHIST.xlsx","accessed":{"date-parts":[["2021","9","21"]]},"author":[{"dropping-particle":"","family":"The World Bank Group","given":"","non-dropping-particle":"","parse-names":false,"suffix":""}],"id":"ITEM-1","issued":{"date-parts":[["2021"]]},"title":"World Bank Analytical Classifications","type":"webpage"},"uris":["http://www.mendeley.com/documents/?uuid=d90c702e-84c8-416b-ad19-e9080d329ff0"]}],"mendeley":{"formattedCitation":"(19)","plainTextFormattedCitation":"(19)","previouslyFormattedCitation":"(19)"},"properties":{"noteIndex":0},"schema":"https://github.com/citation-style-language/schema/raw/master/csl-citation.json"}</w:instrText>
      </w:r>
      <w:r>
        <w:fldChar w:fldCharType="separate"/>
      </w:r>
      <w:r w:rsidR="00AD4523" w:rsidRPr="00AD4523">
        <w:rPr>
          <w:noProof/>
        </w:rPr>
        <w:t>(19)</w:t>
      </w:r>
      <w:r>
        <w:fldChar w:fldCharType="end"/>
      </w:r>
      <w:r>
        <w:t xml:space="preserve"> grouped separately.</w:t>
      </w:r>
    </w:p>
  </w:footnote>
  <w:footnote w:id="3">
    <w:p w14:paraId="5B474AE3" w14:textId="77777777" w:rsidR="00D5417E" w:rsidRDefault="00D5417E" w:rsidP="00C5721F">
      <w:pPr>
        <w:pStyle w:val="FootnoteText"/>
      </w:pPr>
      <w:r w:rsidRPr="00197A04">
        <w:rPr>
          <w:rStyle w:val="FootnoteReference"/>
        </w:rPr>
        <w:footnoteRef/>
      </w:r>
      <w:r>
        <w:rPr>
          <w:rStyle w:val="FootnoteReference"/>
        </w:rPr>
        <w:footnoteRef/>
      </w:r>
      <w:r>
        <w:t xml:space="preserve"> </w:t>
      </w:r>
      <w:r w:rsidRPr="0035383F">
        <w:t>https://brinda-nutrition.org/about-us/brinda-countries/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D0A1B" w14:textId="77777777" w:rsidR="00CB23F5" w:rsidRDefault="00CB23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4374A" w14:textId="77777777" w:rsidR="00CB23F5" w:rsidRDefault="00CB23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60DDA" w14:textId="77777777" w:rsidR="00CB23F5" w:rsidRDefault="00CB23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0326A"/>
    <w:multiLevelType w:val="hybridMultilevel"/>
    <w:tmpl w:val="D6262E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46061"/>
    <w:multiLevelType w:val="hybridMultilevel"/>
    <w:tmpl w:val="883E33F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96F6759"/>
    <w:multiLevelType w:val="hybridMultilevel"/>
    <w:tmpl w:val="599E5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8F3B99"/>
    <w:multiLevelType w:val="hybridMultilevel"/>
    <w:tmpl w:val="7E2E0F70"/>
    <w:lvl w:ilvl="0" w:tplc="824626C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B0369B"/>
    <w:multiLevelType w:val="hybridMultilevel"/>
    <w:tmpl w:val="14E4CE24"/>
    <w:lvl w:ilvl="0" w:tplc="824626C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5B036F"/>
    <w:multiLevelType w:val="hybridMultilevel"/>
    <w:tmpl w:val="E9980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0010AD"/>
    <w:multiLevelType w:val="hybridMultilevel"/>
    <w:tmpl w:val="D0D2C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2E62DA"/>
    <w:multiLevelType w:val="hybridMultilevel"/>
    <w:tmpl w:val="6D12B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17DA8"/>
    <w:multiLevelType w:val="hybridMultilevel"/>
    <w:tmpl w:val="CB307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2D09E7"/>
    <w:multiLevelType w:val="hybridMultilevel"/>
    <w:tmpl w:val="20D62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D6489A"/>
    <w:multiLevelType w:val="hybridMultilevel"/>
    <w:tmpl w:val="00A87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0C5E5A"/>
    <w:multiLevelType w:val="hybridMultilevel"/>
    <w:tmpl w:val="0092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6E113A"/>
    <w:multiLevelType w:val="hybridMultilevel"/>
    <w:tmpl w:val="1D68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DC0A1E"/>
    <w:multiLevelType w:val="hybridMultilevel"/>
    <w:tmpl w:val="01382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9E626A"/>
    <w:multiLevelType w:val="hybridMultilevel"/>
    <w:tmpl w:val="8EC00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4"/>
  </w:num>
  <w:num w:numId="4">
    <w:abstractNumId w:val="10"/>
  </w:num>
  <w:num w:numId="5">
    <w:abstractNumId w:val="5"/>
  </w:num>
  <w:num w:numId="6">
    <w:abstractNumId w:val="0"/>
  </w:num>
  <w:num w:numId="7">
    <w:abstractNumId w:val="1"/>
    <w:lvlOverride w:ilvl="0">
      <w:startOverride w:val="1"/>
    </w:lvlOverride>
    <w:lvlOverride w:ilvl="1"/>
    <w:lvlOverride w:ilvl="2"/>
    <w:lvlOverride w:ilvl="3"/>
    <w:lvlOverride w:ilvl="4"/>
    <w:lvlOverride w:ilvl="5"/>
    <w:lvlOverride w:ilvl="6"/>
    <w:lvlOverride w:ilvl="7"/>
    <w:lvlOverride w:ilvl="8"/>
  </w:num>
  <w:num w:numId="8">
    <w:abstractNumId w:val="1"/>
  </w:num>
  <w:num w:numId="9">
    <w:abstractNumId w:val="8"/>
  </w:num>
  <w:num w:numId="10">
    <w:abstractNumId w:val="11"/>
  </w:num>
  <w:num w:numId="11">
    <w:abstractNumId w:val="2"/>
  </w:num>
  <w:num w:numId="12">
    <w:abstractNumId w:val="6"/>
  </w:num>
  <w:num w:numId="13">
    <w:abstractNumId w:val="14"/>
  </w:num>
  <w:num w:numId="14">
    <w:abstractNumId w:val="13"/>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1"/>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AF9"/>
    <w:rsid w:val="00000F57"/>
    <w:rsid w:val="000012F4"/>
    <w:rsid w:val="000016DC"/>
    <w:rsid w:val="00001788"/>
    <w:rsid w:val="00002787"/>
    <w:rsid w:val="00003CD9"/>
    <w:rsid w:val="00004770"/>
    <w:rsid w:val="000047E4"/>
    <w:rsid w:val="00004B59"/>
    <w:rsid w:val="00006A34"/>
    <w:rsid w:val="00010BDF"/>
    <w:rsid w:val="0001360B"/>
    <w:rsid w:val="00013680"/>
    <w:rsid w:val="00013F6D"/>
    <w:rsid w:val="0001410C"/>
    <w:rsid w:val="00014635"/>
    <w:rsid w:val="000154B2"/>
    <w:rsid w:val="000157E0"/>
    <w:rsid w:val="000158A2"/>
    <w:rsid w:val="00016834"/>
    <w:rsid w:val="00016C3B"/>
    <w:rsid w:val="00017A14"/>
    <w:rsid w:val="00017BEE"/>
    <w:rsid w:val="00020AA4"/>
    <w:rsid w:val="00022D53"/>
    <w:rsid w:val="00026162"/>
    <w:rsid w:val="000262EB"/>
    <w:rsid w:val="00027048"/>
    <w:rsid w:val="0003045B"/>
    <w:rsid w:val="00032283"/>
    <w:rsid w:val="00032300"/>
    <w:rsid w:val="00032359"/>
    <w:rsid w:val="00032ABA"/>
    <w:rsid w:val="00032D64"/>
    <w:rsid w:val="00033506"/>
    <w:rsid w:val="0003568C"/>
    <w:rsid w:val="0003642E"/>
    <w:rsid w:val="0003671B"/>
    <w:rsid w:val="00036AAD"/>
    <w:rsid w:val="00037254"/>
    <w:rsid w:val="000376A2"/>
    <w:rsid w:val="00040DC9"/>
    <w:rsid w:val="0004240B"/>
    <w:rsid w:val="00043809"/>
    <w:rsid w:val="00043B72"/>
    <w:rsid w:val="00044076"/>
    <w:rsid w:val="00044DF2"/>
    <w:rsid w:val="00045EE3"/>
    <w:rsid w:val="00046A49"/>
    <w:rsid w:val="0004788E"/>
    <w:rsid w:val="00047F71"/>
    <w:rsid w:val="00050AD8"/>
    <w:rsid w:val="000516C4"/>
    <w:rsid w:val="0005183A"/>
    <w:rsid w:val="00051A7C"/>
    <w:rsid w:val="0005585B"/>
    <w:rsid w:val="00056CD1"/>
    <w:rsid w:val="00057A8D"/>
    <w:rsid w:val="00063F77"/>
    <w:rsid w:val="00064BC4"/>
    <w:rsid w:val="00064D9F"/>
    <w:rsid w:val="00065729"/>
    <w:rsid w:val="00065837"/>
    <w:rsid w:val="00065FB6"/>
    <w:rsid w:val="000679B5"/>
    <w:rsid w:val="0007080F"/>
    <w:rsid w:val="00070856"/>
    <w:rsid w:val="0007113C"/>
    <w:rsid w:val="000718F6"/>
    <w:rsid w:val="00071F28"/>
    <w:rsid w:val="00072018"/>
    <w:rsid w:val="0007274C"/>
    <w:rsid w:val="00073660"/>
    <w:rsid w:val="00073D94"/>
    <w:rsid w:val="000751C6"/>
    <w:rsid w:val="00075B4F"/>
    <w:rsid w:val="00076FBB"/>
    <w:rsid w:val="00077550"/>
    <w:rsid w:val="000779E9"/>
    <w:rsid w:val="000806B9"/>
    <w:rsid w:val="0008104E"/>
    <w:rsid w:val="00082A56"/>
    <w:rsid w:val="00084533"/>
    <w:rsid w:val="0008726C"/>
    <w:rsid w:val="00087336"/>
    <w:rsid w:val="00090077"/>
    <w:rsid w:val="00091E4D"/>
    <w:rsid w:val="00092FCB"/>
    <w:rsid w:val="00093F02"/>
    <w:rsid w:val="000942CD"/>
    <w:rsid w:val="000959AF"/>
    <w:rsid w:val="00095B25"/>
    <w:rsid w:val="0009674E"/>
    <w:rsid w:val="00096D55"/>
    <w:rsid w:val="000A105B"/>
    <w:rsid w:val="000A17DB"/>
    <w:rsid w:val="000A1B9A"/>
    <w:rsid w:val="000A2837"/>
    <w:rsid w:val="000A285B"/>
    <w:rsid w:val="000A3C1E"/>
    <w:rsid w:val="000A4948"/>
    <w:rsid w:val="000A5B91"/>
    <w:rsid w:val="000A722F"/>
    <w:rsid w:val="000A7255"/>
    <w:rsid w:val="000A773D"/>
    <w:rsid w:val="000B145D"/>
    <w:rsid w:val="000B21DD"/>
    <w:rsid w:val="000B43A6"/>
    <w:rsid w:val="000B43C9"/>
    <w:rsid w:val="000B4EFC"/>
    <w:rsid w:val="000C009A"/>
    <w:rsid w:val="000C2A94"/>
    <w:rsid w:val="000C2E9F"/>
    <w:rsid w:val="000C3066"/>
    <w:rsid w:val="000C4622"/>
    <w:rsid w:val="000C659D"/>
    <w:rsid w:val="000C675A"/>
    <w:rsid w:val="000C677B"/>
    <w:rsid w:val="000C7527"/>
    <w:rsid w:val="000D0A36"/>
    <w:rsid w:val="000D2CCB"/>
    <w:rsid w:val="000D34BE"/>
    <w:rsid w:val="000D3F17"/>
    <w:rsid w:val="000D5D4D"/>
    <w:rsid w:val="000D655A"/>
    <w:rsid w:val="000D7724"/>
    <w:rsid w:val="000E0579"/>
    <w:rsid w:val="000E1A55"/>
    <w:rsid w:val="000E21EF"/>
    <w:rsid w:val="000E2CCA"/>
    <w:rsid w:val="000E3127"/>
    <w:rsid w:val="000E3720"/>
    <w:rsid w:val="000E3731"/>
    <w:rsid w:val="000E52D2"/>
    <w:rsid w:val="000E54BE"/>
    <w:rsid w:val="000E5EE0"/>
    <w:rsid w:val="000E6EC8"/>
    <w:rsid w:val="000F00CC"/>
    <w:rsid w:val="000F0B91"/>
    <w:rsid w:val="000F0E00"/>
    <w:rsid w:val="000F26E6"/>
    <w:rsid w:val="000F270B"/>
    <w:rsid w:val="000F2EBD"/>
    <w:rsid w:val="000F3E48"/>
    <w:rsid w:val="000F542A"/>
    <w:rsid w:val="000F7FB6"/>
    <w:rsid w:val="001055F2"/>
    <w:rsid w:val="001071EB"/>
    <w:rsid w:val="00110063"/>
    <w:rsid w:val="00111086"/>
    <w:rsid w:val="001127E7"/>
    <w:rsid w:val="001145DA"/>
    <w:rsid w:val="001151F5"/>
    <w:rsid w:val="00116A27"/>
    <w:rsid w:val="00116BA0"/>
    <w:rsid w:val="001202C1"/>
    <w:rsid w:val="001203EF"/>
    <w:rsid w:val="00120A3C"/>
    <w:rsid w:val="00121163"/>
    <w:rsid w:val="001222A7"/>
    <w:rsid w:val="00122606"/>
    <w:rsid w:val="00125EAA"/>
    <w:rsid w:val="00131094"/>
    <w:rsid w:val="00132B86"/>
    <w:rsid w:val="00132E7E"/>
    <w:rsid w:val="001332C0"/>
    <w:rsid w:val="00134A7C"/>
    <w:rsid w:val="00135495"/>
    <w:rsid w:val="0013596A"/>
    <w:rsid w:val="001370A4"/>
    <w:rsid w:val="00137187"/>
    <w:rsid w:val="00137463"/>
    <w:rsid w:val="001410D7"/>
    <w:rsid w:val="00143DD2"/>
    <w:rsid w:val="00143F80"/>
    <w:rsid w:val="00144DFC"/>
    <w:rsid w:val="0014759F"/>
    <w:rsid w:val="001503FB"/>
    <w:rsid w:val="00150CDB"/>
    <w:rsid w:val="0015270D"/>
    <w:rsid w:val="0015357F"/>
    <w:rsid w:val="00153D4B"/>
    <w:rsid w:val="00155324"/>
    <w:rsid w:val="001577F3"/>
    <w:rsid w:val="001600BF"/>
    <w:rsid w:val="001603F1"/>
    <w:rsid w:val="00161B8F"/>
    <w:rsid w:val="00162781"/>
    <w:rsid w:val="0016579C"/>
    <w:rsid w:val="001657CB"/>
    <w:rsid w:val="00165FFB"/>
    <w:rsid w:val="00166210"/>
    <w:rsid w:val="0016635F"/>
    <w:rsid w:val="001700A7"/>
    <w:rsid w:val="0017025A"/>
    <w:rsid w:val="0017041B"/>
    <w:rsid w:val="00170726"/>
    <w:rsid w:val="001725C3"/>
    <w:rsid w:val="00172D5F"/>
    <w:rsid w:val="00173475"/>
    <w:rsid w:val="00173FC9"/>
    <w:rsid w:val="00174872"/>
    <w:rsid w:val="001752C2"/>
    <w:rsid w:val="00176499"/>
    <w:rsid w:val="001768AA"/>
    <w:rsid w:val="00176A0D"/>
    <w:rsid w:val="001805C2"/>
    <w:rsid w:val="00180BBC"/>
    <w:rsid w:val="00181CB1"/>
    <w:rsid w:val="001821D3"/>
    <w:rsid w:val="00182C82"/>
    <w:rsid w:val="00183135"/>
    <w:rsid w:val="001835EC"/>
    <w:rsid w:val="001843BE"/>
    <w:rsid w:val="001866B1"/>
    <w:rsid w:val="0018731D"/>
    <w:rsid w:val="00192104"/>
    <w:rsid w:val="00192354"/>
    <w:rsid w:val="00192797"/>
    <w:rsid w:val="00192D51"/>
    <w:rsid w:val="00192DC1"/>
    <w:rsid w:val="00197A04"/>
    <w:rsid w:val="00197F54"/>
    <w:rsid w:val="001A0EA0"/>
    <w:rsid w:val="001A1AEE"/>
    <w:rsid w:val="001A2C54"/>
    <w:rsid w:val="001A3144"/>
    <w:rsid w:val="001A3AB2"/>
    <w:rsid w:val="001A3EF3"/>
    <w:rsid w:val="001A495D"/>
    <w:rsid w:val="001A537A"/>
    <w:rsid w:val="001A56C1"/>
    <w:rsid w:val="001A664C"/>
    <w:rsid w:val="001A7788"/>
    <w:rsid w:val="001A7EC4"/>
    <w:rsid w:val="001B196A"/>
    <w:rsid w:val="001B2B55"/>
    <w:rsid w:val="001B3868"/>
    <w:rsid w:val="001B46CF"/>
    <w:rsid w:val="001B478C"/>
    <w:rsid w:val="001B47C8"/>
    <w:rsid w:val="001C0877"/>
    <w:rsid w:val="001C0B5B"/>
    <w:rsid w:val="001C27EF"/>
    <w:rsid w:val="001C2E44"/>
    <w:rsid w:val="001C47C2"/>
    <w:rsid w:val="001C4E6A"/>
    <w:rsid w:val="001C53D5"/>
    <w:rsid w:val="001C5FDE"/>
    <w:rsid w:val="001C6590"/>
    <w:rsid w:val="001C725F"/>
    <w:rsid w:val="001C7A0A"/>
    <w:rsid w:val="001D00F3"/>
    <w:rsid w:val="001D3B48"/>
    <w:rsid w:val="001D5289"/>
    <w:rsid w:val="001D7BAB"/>
    <w:rsid w:val="001E1826"/>
    <w:rsid w:val="001E3203"/>
    <w:rsid w:val="001E514F"/>
    <w:rsid w:val="001E55A9"/>
    <w:rsid w:val="001E5E8E"/>
    <w:rsid w:val="001E5FB0"/>
    <w:rsid w:val="001E62C6"/>
    <w:rsid w:val="001E655C"/>
    <w:rsid w:val="001F4869"/>
    <w:rsid w:val="001F6E95"/>
    <w:rsid w:val="001F79A6"/>
    <w:rsid w:val="00201302"/>
    <w:rsid w:val="00201C2E"/>
    <w:rsid w:val="00205D8F"/>
    <w:rsid w:val="00210640"/>
    <w:rsid w:val="00210BF6"/>
    <w:rsid w:val="00211827"/>
    <w:rsid w:val="002125A6"/>
    <w:rsid w:val="002129A2"/>
    <w:rsid w:val="00213D35"/>
    <w:rsid w:val="00214A79"/>
    <w:rsid w:val="00214DD3"/>
    <w:rsid w:val="00215483"/>
    <w:rsid w:val="0021620B"/>
    <w:rsid w:val="00220041"/>
    <w:rsid w:val="00220A9B"/>
    <w:rsid w:val="00224BB1"/>
    <w:rsid w:val="00231817"/>
    <w:rsid w:val="002325FA"/>
    <w:rsid w:val="002327B7"/>
    <w:rsid w:val="002356EA"/>
    <w:rsid w:val="00240388"/>
    <w:rsid w:val="00243507"/>
    <w:rsid w:val="00243AF5"/>
    <w:rsid w:val="0024499C"/>
    <w:rsid w:val="002449BD"/>
    <w:rsid w:val="0024634D"/>
    <w:rsid w:val="00247679"/>
    <w:rsid w:val="00247E77"/>
    <w:rsid w:val="00250A85"/>
    <w:rsid w:val="00250D80"/>
    <w:rsid w:val="0025131F"/>
    <w:rsid w:val="002514E2"/>
    <w:rsid w:val="002547B2"/>
    <w:rsid w:val="0025590E"/>
    <w:rsid w:val="00256648"/>
    <w:rsid w:val="00257917"/>
    <w:rsid w:val="00257FE3"/>
    <w:rsid w:val="002615EB"/>
    <w:rsid w:val="00261B6E"/>
    <w:rsid w:val="0026266B"/>
    <w:rsid w:val="00263F82"/>
    <w:rsid w:val="0026408F"/>
    <w:rsid w:val="0026570D"/>
    <w:rsid w:val="0027163B"/>
    <w:rsid w:val="00274886"/>
    <w:rsid w:val="00274B9F"/>
    <w:rsid w:val="00274CAD"/>
    <w:rsid w:val="00275671"/>
    <w:rsid w:val="00275C90"/>
    <w:rsid w:val="002760C5"/>
    <w:rsid w:val="002774F3"/>
    <w:rsid w:val="00277F6F"/>
    <w:rsid w:val="0028025C"/>
    <w:rsid w:val="002803CF"/>
    <w:rsid w:val="00280A3B"/>
    <w:rsid w:val="002840E1"/>
    <w:rsid w:val="0028490F"/>
    <w:rsid w:val="00285DF9"/>
    <w:rsid w:val="002861FF"/>
    <w:rsid w:val="00286592"/>
    <w:rsid w:val="00286C3F"/>
    <w:rsid w:val="0028732E"/>
    <w:rsid w:val="00290F06"/>
    <w:rsid w:val="00292BA4"/>
    <w:rsid w:val="0029503F"/>
    <w:rsid w:val="00295509"/>
    <w:rsid w:val="002973E1"/>
    <w:rsid w:val="00297B83"/>
    <w:rsid w:val="002A0F05"/>
    <w:rsid w:val="002A1742"/>
    <w:rsid w:val="002A1D4B"/>
    <w:rsid w:val="002A22C4"/>
    <w:rsid w:val="002A3120"/>
    <w:rsid w:val="002A356F"/>
    <w:rsid w:val="002A4196"/>
    <w:rsid w:val="002A4AF9"/>
    <w:rsid w:val="002A5A49"/>
    <w:rsid w:val="002A6529"/>
    <w:rsid w:val="002B333B"/>
    <w:rsid w:val="002B3656"/>
    <w:rsid w:val="002B41FA"/>
    <w:rsid w:val="002B6353"/>
    <w:rsid w:val="002B6D29"/>
    <w:rsid w:val="002B736B"/>
    <w:rsid w:val="002C02F6"/>
    <w:rsid w:val="002C1135"/>
    <w:rsid w:val="002C1D85"/>
    <w:rsid w:val="002C3528"/>
    <w:rsid w:val="002C5C48"/>
    <w:rsid w:val="002C6E32"/>
    <w:rsid w:val="002C7DF2"/>
    <w:rsid w:val="002C7F80"/>
    <w:rsid w:val="002D0D64"/>
    <w:rsid w:val="002D1967"/>
    <w:rsid w:val="002D1B55"/>
    <w:rsid w:val="002D288D"/>
    <w:rsid w:val="002D2CA7"/>
    <w:rsid w:val="002D59CA"/>
    <w:rsid w:val="002D706A"/>
    <w:rsid w:val="002D7840"/>
    <w:rsid w:val="002E1D20"/>
    <w:rsid w:val="002E206B"/>
    <w:rsid w:val="002E2BE7"/>
    <w:rsid w:val="002E34D0"/>
    <w:rsid w:val="002E3D0F"/>
    <w:rsid w:val="002E3EFB"/>
    <w:rsid w:val="002E6C2A"/>
    <w:rsid w:val="002E7551"/>
    <w:rsid w:val="002F0753"/>
    <w:rsid w:val="002F145F"/>
    <w:rsid w:val="002F1C09"/>
    <w:rsid w:val="002F2302"/>
    <w:rsid w:val="002F5D3F"/>
    <w:rsid w:val="002F633B"/>
    <w:rsid w:val="002F6B8E"/>
    <w:rsid w:val="00300051"/>
    <w:rsid w:val="003014CB"/>
    <w:rsid w:val="003026E1"/>
    <w:rsid w:val="00302A3E"/>
    <w:rsid w:val="003071D5"/>
    <w:rsid w:val="00307AFA"/>
    <w:rsid w:val="003115AB"/>
    <w:rsid w:val="00311F3C"/>
    <w:rsid w:val="00313644"/>
    <w:rsid w:val="003144E9"/>
    <w:rsid w:val="003176EE"/>
    <w:rsid w:val="00317D8A"/>
    <w:rsid w:val="00323639"/>
    <w:rsid w:val="0032464A"/>
    <w:rsid w:val="00324B2D"/>
    <w:rsid w:val="00325607"/>
    <w:rsid w:val="00325E3D"/>
    <w:rsid w:val="003301E0"/>
    <w:rsid w:val="00331753"/>
    <w:rsid w:val="0033187B"/>
    <w:rsid w:val="00333159"/>
    <w:rsid w:val="00333CCE"/>
    <w:rsid w:val="00335E9A"/>
    <w:rsid w:val="0033622A"/>
    <w:rsid w:val="00340D4A"/>
    <w:rsid w:val="003430B5"/>
    <w:rsid w:val="00343833"/>
    <w:rsid w:val="0034501F"/>
    <w:rsid w:val="00345229"/>
    <w:rsid w:val="00347C49"/>
    <w:rsid w:val="00351469"/>
    <w:rsid w:val="00352668"/>
    <w:rsid w:val="003528E2"/>
    <w:rsid w:val="0035383F"/>
    <w:rsid w:val="003543C0"/>
    <w:rsid w:val="00354A99"/>
    <w:rsid w:val="00356526"/>
    <w:rsid w:val="003576AD"/>
    <w:rsid w:val="00360267"/>
    <w:rsid w:val="00361766"/>
    <w:rsid w:val="00361AAD"/>
    <w:rsid w:val="00362298"/>
    <w:rsid w:val="00364524"/>
    <w:rsid w:val="00364BF7"/>
    <w:rsid w:val="00364E67"/>
    <w:rsid w:val="00365472"/>
    <w:rsid w:val="00365B68"/>
    <w:rsid w:val="00366E89"/>
    <w:rsid w:val="00370FD4"/>
    <w:rsid w:val="00371C07"/>
    <w:rsid w:val="00373990"/>
    <w:rsid w:val="00376333"/>
    <w:rsid w:val="00376B6B"/>
    <w:rsid w:val="003774B0"/>
    <w:rsid w:val="00380225"/>
    <w:rsid w:val="00380344"/>
    <w:rsid w:val="00381112"/>
    <w:rsid w:val="003821C2"/>
    <w:rsid w:val="00382A86"/>
    <w:rsid w:val="003833D9"/>
    <w:rsid w:val="0038345D"/>
    <w:rsid w:val="00384BCB"/>
    <w:rsid w:val="00386A08"/>
    <w:rsid w:val="0039057B"/>
    <w:rsid w:val="00390595"/>
    <w:rsid w:val="00390A84"/>
    <w:rsid w:val="00391B09"/>
    <w:rsid w:val="00392183"/>
    <w:rsid w:val="00394000"/>
    <w:rsid w:val="00394909"/>
    <w:rsid w:val="00394AB8"/>
    <w:rsid w:val="00394E2F"/>
    <w:rsid w:val="003A1445"/>
    <w:rsid w:val="003A251F"/>
    <w:rsid w:val="003A4FA5"/>
    <w:rsid w:val="003A5471"/>
    <w:rsid w:val="003A56FB"/>
    <w:rsid w:val="003A737D"/>
    <w:rsid w:val="003A789F"/>
    <w:rsid w:val="003B0E5E"/>
    <w:rsid w:val="003B1418"/>
    <w:rsid w:val="003B1D58"/>
    <w:rsid w:val="003B27C7"/>
    <w:rsid w:val="003B300F"/>
    <w:rsid w:val="003B3F53"/>
    <w:rsid w:val="003B54CB"/>
    <w:rsid w:val="003B5BF7"/>
    <w:rsid w:val="003B7810"/>
    <w:rsid w:val="003B787D"/>
    <w:rsid w:val="003C004A"/>
    <w:rsid w:val="003C2B3E"/>
    <w:rsid w:val="003C5CFF"/>
    <w:rsid w:val="003C683B"/>
    <w:rsid w:val="003D08A7"/>
    <w:rsid w:val="003D0FA4"/>
    <w:rsid w:val="003D10AB"/>
    <w:rsid w:val="003D192E"/>
    <w:rsid w:val="003D1982"/>
    <w:rsid w:val="003D2FBB"/>
    <w:rsid w:val="003D5AC2"/>
    <w:rsid w:val="003D634C"/>
    <w:rsid w:val="003D6CBE"/>
    <w:rsid w:val="003E0422"/>
    <w:rsid w:val="003E0D25"/>
    <w:rsid w:val="003E198B"/>
    <w:rsid w:val="003E346F"/>
    <w:rsid w:val="003F012E"/>
    <w:rsid w:val="003F0DCF"/>
    <w:rsid w:val="003F1952"/>
    <w:rsid w:val="003F1BAD"/>
    <w:rsid w:val="003F2439"/>
    <w:rsid w:val="003F26A0"/>
    <w:rsid w:val="003F3BD2"/>
    <w:rsid w:val="003F61DE"/>
    <w:rsid w:val="004011AB"/>
    <w:rsid w:val="00401410"/>
    <w:rsid w:val="00403FD8"/>
    <w:rsid w:val="0040463F"/>
    <w:rsid w:val="00405A2F"/>
    <w:rsid w:val="00405D2D"/>
    <w:rsid w:val="00406093"/>
    <w:rsid w:val="00406E5A"/>
    <w:rsid w:val="0041044D"/>
    <w:rsid w:val="00411057"/>
    <w:rsid w:val="00411F0E"/>
    <w:rsid w:val="0041294E"/>
    <w:rsid w:val="00412E65"/>
    <w:rsid w:val="00414155"/>
    <w:rsid w:val="00414E42"/>
    <w:rsid w:val="00421861"/>
    <w:rsid w:val="004239EA"/>
    <w:rsid w:val="00425407"/>
    <w:rsid w:val="00427FA8"/>
    <w:rsid w:val="00432D85"/>
    <w:rsid w:val="00433684"/>
    <w:rsid w:val="00433FDE"/>
    <w:rsid w:val="004341C8"/>
    <w:rsid w:val="0043535B"/>
    <w:rsid w:val="00435DA6"/>
    <w:rsid w:val="00435E59"/>
    <w:rsid w:val="00435EC5"/>
    <w:rsid w:val="004411B5"/>
    <w:rsid w:val="004411EB"/>
    <w:rsid w:val="004429EA"/>
    <w:rsid w:val="00442BAB"/>
    <w:rsid w:val="00443157"/>
    <w:rsid w:val="00443340"/>
    <w:rsid w:val="00445969"/>
    <w:rsid w:val="004461EB"/>
    <w:rsid w:val="00446516"/>
    <w:rsid w:val="00446CE6"/>
    <w:rsid w:val="004475D9"/>
    <w:rsid w:val="00451A0F"/>
    <w:rsid w:val="00456696"/>
    <w:rsid w:val="00464962"/>
    <w:rsid w:val="00466782"/>
    <w:rsid w:val="004668B2"/>
    <w:rsid w:val="00470891"/>
    <w:rsid w:val="00470A51"/>
    <w:rsid w:val="00472EF7"/>
    <w:rsid w:val="004735DE"/>
    <w:rsid w:val="00473976"/>
    <w:rsid w:val="00473CB5"/>
    <w:rsid w:val="00475D36"/>
    <w:rsid w:val="0047652B"/>
    <w:rsid w:val="00477AB9"/>
    <w:rsid w:val="004800EC"/>
    <w:rsid w:val="00480142"/>
    <w:rsid w:val="0048037B"/>
    <w:rsid w:val="00480472"/>
    <w:rsid w:val="00480F5E"/>
    <w:rsid w:val="00481B9F"/>
    <w:rsid w:val="00481D58"/>
    <w:rsid w:val="0048634C"/>
    <w:rsid w:val="00486C2C"/>
    <w:rsid w:val="00490BF0"/>
    <w:rsid w:val="00491E45"/>
    <w:rsid w:val="00494231"/>
    <w:rsid w:val="00494686"/>
    <w:rsid w:val="00494949"/>
    <w:rsid w:val="00495247"/>
    <w:rsid w:val="004978FB"/>
    <w:rsid w:val="004A2521"/>
    <w:rsid w:val="004A54B3"/>
    <w:rsid w:val="004A5D8F"/>
    <w:rsid w:val="004A69E2"/>
    <w:rsid w:val="004A7DBE"/>
    <w:rsid w:val="004B003A"/>
    <w:rsid w:val="004B1FCD"/>
    <w:rsid w:val="004B20F0"/>
    <w:rsid w:val="004B4271"/>
    <w:rsid w:val="004B61DA"/>
    <w:rsid w:val="004B6CF5"/>
    <w:rsid w:val="004C03B3"/>
    <w:rsid w:val="004C1CD2"/>
    <w:rsid w:val="004C3FEF"/>
    <w:rsid w:val="004C425C"/>
    <w:rsid w:val="004C450D"/>
    <w:rsid w:val="004C4D39"/>
    <w:rsid w:val="004C53C9"/>
    <w:rsid w:val="004D236A"/>
    <w:rsid w:val="004D2459"/>
    <w:rsid w:val="004D4C0A"/>
    <w:rsid w:val="004D7BAA"/>
    <w:rsid w:val="004E00E3"/>
    <w:rsid w:val="004E0A75"/>
    <w:rsid w:val="004E1BB9"/>
    <w:rsid w:val="004E1EF5"/>
    <w:rsid w:val="004E306F"/>
    <w:rsid w:val="004E47DD"/>
    <w:rsid w:val="004E740F"/>
    <w:rsid w:val="004E7DFA"/>
    <w:rsid w:val="004F0590"/>
    <w:rsid w:val="004F0EE7"/>
    <w:rsid w:val="004F1539"/>
    <w:rsid w:val="004F1AD3"/>
    <w:rsid w:val="004F2528"/>
    <w:rsid w:val="004F28E5"/>
    <w:rsid w:val="004F29F2"/>
    <w:rsid w:val="004F6D34"/>
    <w:rsid w:val="0050055A"/>
    <w:rsid w:val="00502C8F"/>
    <w:rsid w:val="00502F05"/>
    <w:rsid w:val="00503A7C"/>
    <w:rsid w:val="00505921"/>
    <w:rsid w:val="0050629B"/>
    <w:rsid w:val="005073F3"/>
    <w:rsid w:val="005077D7"/>
    <w:rsid w:val="00511689"/>
    <w:rsid w:val="00514348"/>
    <w:rsid w:val="0051438B"/>
    <w:rsid w:val="00515E20"/>
    <w:rsid w:val="005160A0"/>
    <w:rsid w:val="00516A4E"/>
    <w:rsid w:val="00516F0A"/>
    <w:rsid w:val="00517E92"/>
    <w:rsid w:val="00520E63"/>
    <w:rsid w:val="005214B7"/>
    <w:rsid w:val="00522B14"/>
    <w:rsid w:val="00522F03"/>
    <w:rsid w:val="00523023"/>
    <w:rsid w:val="00524044"/>
    <w:rsid w:val="00525787"/>
    <w:rsid w:val="005278F1"/>
    <w:rsid w:val="0052DBE2"/>
    <w:rsid w:val="00530B69"/>
    <w:rsid w:val="0053215D"/>
    <w:rsid w:val="005347DE"/>
    <w:rsid w:val="0053514E"/>
    <w:rsid w:val="00535A92"/>
    <w:rsid w:val="0054177D"/>
    <w:rsid w:val="00541AF2"/>
    <w:rsid w:val="00541F3A"/>
    <w:rsid w:val="0054267D"/>
    <w:rsid w:val="00545FF0"/>
    <w:rsid w:val="00546225"/>
    <w:rsid w:val="00546832"/>
    <w:rsid w:val="0054767F"/>
    <w:rsid w:val="005505E2"/>
    <w:rsid w:val="005518A2"/>
    <w:rsid w:val="005521DE"/>
    <w:rsid w:val="00553B96"/>
    <w:rsid w:val="0055457E"/>
    <w:rsid w:val="00555117"/>
    <w:rsid w:val="0055528F"/>
    <w:rsid w:val="00557975"/>
    <w:rsid w:val="00560BD6"/>
    <w:rsid w:val="00561F0C"/>
    <w:rsid w:val="005643DC"/>
    <w:rsid w:val="00564A7B"/>
    <w:rsid w:val="00565BB8"/>
    <w:rsid w:val="00566441"/>
    <w:rsid w:val="00567CD0"/>
    <w:rsid w:val="00567D06"/>
    <w:rsid w:val="005710ED"/>
    <w:rsid w:val="00571668"/>
    <w:rsid w:val="00571C6E"/>
    <w:rsid w:val="00571EB5"/>
    <w:rsid w:val="00571F62"/>
    <w:rsid w:val="005733DE"/>
    <w:rsid w:val="00574552"/>
    <w:rsid w:val="005758E9"/>
    <w:rsid w:val="0057662E"/>
    <w:rsid w:val="00577092"/>
    <w:rsid w:val="00580C20"/>
    <w:rsid w:val="00581616"/>
    <w:rsid w:val="005819A0"/>
    <w:rsid w:val="00584DA5"/>
    <w:rsid w:val="005877C2"/>
    <w:rsid w:val="00587A42"/>
    <w:rsid w:val="00587FEA"/>
    <w:rsid w:val="005930F2"/>
    <w:rsid w:val="0059452A"/>
    <w:rsid w:val="005964DE"/>
    <w:rsid w:val="00597E51"/>
    <w:rsid w:val="005A1303"/>
    <w:rsid w:val="005A2BDB"/>
    <w:rsid w:val="005A3938"/>
    <w:rsid w:val="005A4EC1"/>
    <w:rsid w:val="005A60F8"/>
    <w:rsid w:val="005A6D55"/>
    <w:rsid w:val="005A712B"/>
    <w:rsid w:val="005B1112"/>
    <w:rsid w:val="005B1A68"/>
    <w:rsid w:val="005B1E0E"/>
    <w:rsid w:val="005B3834"/>
    <w:rsid w:val="005B6848"/>
    <w:rsid w:val="005C22B5"/>
    <w:rsid w:val="005C4C46"/>
    <w:rsid w:val="005C59C1"/>
    <w:rsid w:val="005C6030"/>
    <w:rsid w:val="005C6889"/>
    <w:rsid w:val="005D074F"/>
    <w:rsid w:val="005D08A7"/>
    <w:rsid w:val="005D1108"/>
    <w:rsid w:val="005D16D1"/>
    <w:rsid w:val="005D20E1"/>
    <w:rsid w:val="005D388F"/>
    <w:rsid w:val="005D4EE6"/>
    <w:rsid w:val="005D50C3"/>
    <w:rsid w:val="005D728F"/>
    <w:rsid w:val="005E15D3"/>
    <w:rsid w:val="005E3756"/>
    <w:rsid w:val="005E3CA0"/>
    <w:rsid w:val="005E417E"/>
    <w:rsid w:val="005E444E"/>
    <w:rsid w:val="005E47AE"/>
    <w:rsid w:val="005E4B64"/>
    <w:rsid w:val="005E5798"/>
    <w:rsid w:val="005E60EF"/>
    <w:rsid w:val="005E612C"/>
    <w:rsid w:val="005E726C"/>
    <w:rsid w:val="005F1777"/>
    <w:rsid w:val="005F17B7"/>
    <w:rsid w:val="005F1BC8"/>
    <w:rsid w:val="005F1DC0"/>
    <w:rsid w:val="005F3095"/>
    <w:rsid w:val="005F47EA"/>
    <w:rsid w:val="005F76B2"/>
    <w:rsid w:val="0060179A"/>
    <w:rsid w:val="006031C4"/>
    <w:rsid w:val="00603598"/>
    <w:rsid w:val="00603F86"/>
    <w:rsid w:val="00604FB8"/>
    <w:rsid w:val="00607BBB"/>
    <w:rsid w:val="006102D1"/>
    <w:rsid w:val="00612579"/>
    <w:rsid w:val="00613390"/>
    <w:rsid w:val="006166C3"/>
    <w:rsid w:val="006174F4"/>
    <w:rsid w:val="006178C2"/>
    <w:rsid w:val="00620080"/>
    <w:rsid w:val="00621961"/>
    <w:rsid w:val="00621FEF"/>
    <w:rsid w:val="006222E9"/>
    <w:rsid w:val="00622D64"/>
    <w:rsid w:val="00622E8D"/>
    <w:rsid w:val="0062585E"/>
    <w:rsid w:val="00626D40"/>
    <w:rsid w:val="0062746B"/>
    <w:rsid w:val="0063074E"/>
    <w:rsid w:val="00630CC6"/>
    <w:rsid w:val="00633AB7"/>
    <w:rsid w:val="00635589"/>
    <w:rsid w:val="00635752"/>
    <w:rsid w:val="00635B40"/>
    <w:rsid w:val="00641845"/>
    <w:rsid w:val="00641A41"/>
    <w:rsid w:val="006429C5"/>
    <w:rsid w:val="00642EE2"/>
    <w:rsid w:val="00643C10"/>
    <w:rsid w:val="00644810"/>
    <w:rsid w:val="00645152"/>
    <w:rsid w:val="0064651C"/>
    <w:rsid w:val="0065046F"/>
    <w:rsid w:val="00650F2E"/>
    <w:rsid w:val="00651F6F"/>
    <w:rsid w:val="00652235"/>
    <w:rsid w:val="0065226C"/>
    <w:rsid w:val="0065278E"/>
    <w:rsid w:val="006545B3"/>
    <w:rsid w:val="00654F17"/>
    <w:rsid w:val="00655B6D"/>
    <w:rsid w:val="00656321"/>
    <w:rsid w:val="006568D3"/>
    <w:rsid w:val="00656D56"/>
    <w:rsid w:val="00656F23"/>
    <w:rsid w:val="006600B2"/>
    <w:rsid w:val="0066139F"/>
    <w:rsid w:val="0066149E"/>
    <w:rsid w:val="00661CDE"/>
    <w:rsid w:val="00661F18"/>
    <w:rsid w:val="006624F1"/>
    <w:rsid w:val="00662730"/>
    <w:rsid w:val="006642BE"/>
    <w:rsid w:val="006713FD"/>
    <w:rsid w:val="00672888"/>
    <w:rsid w:val="0067343F"/>
    <w:rsid w:val="00675E01"/>
    <w:rsid w:val="006769B0"/>
    <w:rsid w:val="00677AD2"/>
    <w:rsid w:val="006807A7"/>
    <w:rsid w:val="0068135B"/>
    <w:rsid w:val="006821D5"/>
    <w:rsid w:val="0068335C"/>
    <w:rsid w:val="0068400E"/>
    <w:rsid w:val="00684CD2"/>
    <w:rsid w:val="00685314"/>
    <w:rsid w:val="00685D2F"/>
    <w:rsid w:val="00685D96"/>
    <w:rsid w:val="00685FB8"/>
    <w:rsid w:val="006870DC"/>
    <w:rsid w:val="00687C12"/>
    <w:rsid w:val="00690091"/>
    <w:rsid w:val="00691C6A"/>
    <w:rsid w:val="00692B41"/>
    <w:rsid w:val="00694FDE"/>
    <w:rsid w:val="006A02D5"/>
    <w:rsid w:val="006A074B"/>
    <w:rsid w:val="006A0B83"/>
    <w:rsid w:val="006A10C2"/>
    <w:rsid w:val="006A36A7"/>
    <w:rsid w:val="006A5C53"/>
    <w:rsid w:val="006A71B6"/>
    <w:rsid w:val="006B0E02"/>
    <w:rsid w:val="006B2330"/>
    <w:rsid w:val="006B2D8B"/>
    <w:rsid w:val="006B3839"/>
    <w:rsid w:val="006B3ACF"/>
    <w:rsid w:val="006B40EF"/>
    <w:rsid w:val="006B646F"/>
    <w:rsid w:val="006C1BEA"/>
    <w:rsid w:val="006C1E19"/>
    <w:rsid w:val="006C2B05"/>
    <w:rsid w:val="006C34E2"/>
    <w:rsid w:val="006C35B5"/>
    <w:rsid w:val="006C35BB"/>
    <w:rsid w:val="006C7755"/>
    <w:rsid w:val="006D06E1"/>
    <w:rsid w:val="006D0703"/>
    <w:rsid w:val="006D1AE5"/>
    <w:rsid w:val="006D4E87"/>
    <w:rsid w:val="006D5711"/>
    <w:rsid w:val="006D5A37"/>
    <w:rsid w:val="006E022A"/>
    <w:rsid w:val="006E0C23"/>
    <w:rsid w:val="006E3931"/>
    <w:rsid w:val="006E3AF6"/>
    <w:rsid w:val="006E436D"/>
    <w:rsid w:val="006E48C8"/>
    <w:rsid w:val="006E4D3C"/>
    <w:rsid w:val="006E6885"/>
    <w:rsid w:val="006E6F32"/>
    <w:rsid w:val="006F0A46"/>
    <w:rsid w:val="006F0EC5"/>
    <w:rsid w:val="006F0F3C"/>
    <w:rsid w:val="006F1FC9"/>
    <w:rsid w:val="006F2584"/>
    <w:rsid w:val="006F2AA6"/>
    <w:rsid w:val="006F2CED"/>
    <w:rsid w:val="006F356A"/>
    <w:rsid w:val="006F35A7"/>
    <w:rsid w:val="006F5415"/>
    <w:rsid w:val="006F595D"/>
    <w:rsid w:val="006F7A06"/>
    <w:rsid w:val="006F7ADD"/>
    <w:rsid w:val="007004A9"/>
    <w:rsid w:val="007016A3"/>
    <w:rsid w:val="00702B6E"/>
    <w:rsid w:val="00703724"/>
    <w:rsid w:val="00704F11"/>
    <w:rsid w:val="00705C38"/>
    <w:rsid w:val="00710B56"/>
    <w:rsid w:val="007131FB"/>
    <w:rsid w:val="00713BAF"/>
    <w:rsid w:val="0071418D"/>
    <w:rsid w:val="0071515D"/>
    <w:rsid w:val="007159E5"/>
    <w:rsid w:val="00717E57"/>
    <w:rsid w:val="00723E1B"/>
    <w:rsid w:val="00724E72"/>
    <w:rsid w:val="00724EBB"/>
    <w:rsid w:val="00724F54"/>
    <w:rsid w:val="007250A5"/>
    <w:rsid w:val="007254B9"/>
    <w:rsid w:val="00725925"/>
    <w:rsid w:val="00725F98"/>
    <w:rsid w:val="007304CC"/>
    <w:rsid w:val="0073119A"/>
    <w:rsid w:val="00734333"/>
    <w:rsid w:val="007344EE"/>
    <w:rsid w:val="00740F9C"/>
    <w:rsid w:val="00741812"/>
    <w:rsid w:val="00741C03"/>
    <w:rsid w:val="00741FE2"/>
    <w:rsid w:val="00742184"/>
    <w:rsid w:val="00742AAF"/>
    <w:rsid w:val="00744D6D"/>
    <w:rsid w:val="007455FA"/>
    <w:rsid w:val="007462B2"/>
    <w:rsid w:val="00746842"/>
    <w:rsid w:val="00746B1C"/>
    <w:rsid w:val="00746C7A"/>
    <w:rsid w:val="007475D3"/>
    <w:rsid w:val="00747922"/>
    <w:rsid w:val="00750253"/>
    <w:rsid w:val="00750AB4"/>
    <w:rsid w:val="00751615"/>
    <w:rsid w:val="007517B8"/>
    <w:rsid w:val="00751F6B"/>
    <w:rsid w:val="00752471"/>
    <w:rsid w:val="007534D5"/>
    <w:rsid w:val="00753B10"/>
    <w:rsid w:val="00755224"/>
    <w:rsid w:val="00755265"/>
    <w:rsid w:val="0075670B"/>
    <w:rsid w:val="0076027B"/>
    <w:rsid w:val="00761A07"/>
    <w:rsid w:val="00761E8A"/>
    <w:rsid w:val="00762383"/>
    <w:rsid w:val="00762B69"/>
    <w:rsid w:val="00762FEF"/>
    <w:rsid w:val="0076382E"/>
    <w:rsid w:val="007643D9"/>
    <w:rsid w:val="00764DE1"/>
    <w:rsid w:val="0076731A"/>
    <w:rsid w:val="007709F3"/>
    <w:rsid w:val="00774FA2"/>
    <w:rsid w:val="00775C16"/>
    <w:rsid w:val="007776C8"/>
    <w:rsid w:val="00780760"/>
    <w:rsid w:val="00782C1C"/>
    <w:rsid w:val="00782CE8"/>
    <w:rsid w:val="007835EF"/>
    <w:rsid w:val="00784634"/>
    <w:rsid w:val="00785C46"/>
    <w:rsid w:val="00787C20"/>
    <w:rsid w:val="007902A7"/>
    <w:rsid w:val="007914A1"/>
    <w:rsid w:val="00791B9F"/>
    <w:rsid w:val="007925F2"/>
    <w:rsid w:val="00792B6B"/>
    <w:rsid w:val="0079465D"/>
    <w:rsid w:val="00795757"/>
    <w:rsid w:val="007964FF"/>
    <w:rsid w:val="0079685D"/>
    <w:rsid w:val="00797183"/>
    <w:rsid w:val="00797267"/>
    <w:rsid w:val="007977A0"/>
    <w:rsid w:val="007A0120"/>
    <w:rsid w:val="007A19BB"/>
    <w:rsid w:val="007A53EC"/>
    <w:rsid w:val="007A76E8"/>
    <w:rsid w:val="007B0A73"/>
    <w:rsid w:val="007B1F02"/>
    <w:rsid w:val="007B2B49"/>
    <w:rsid w:val="007B2C86"/>
    <w:rsid w:val="007B3E9F"/>
    <w:rsid w:val="007B4044"/>
    <w:rsid w:val="007B55BE"/>
    <w:rsid w:val="007B6548"/>
    <w:rsid w:val="007C1EBF"/>
    <w:rsid w:val="007C28F9"/>
    <w:rsid w:val="007C2DBC"/>
    <w:rsid w:val="007C50E9"/>
    <w:rsid w:val="007C696B"/>
    <w:rsid w:val="007C71AD"/>
    <w:rsid w:val="007D005E"/>
    <w:rsid w:val="007D0379"/>
    <w:rsid w:val="007D122F"/>
    <w:rsid w:val="007D182D"/>
    <w:rsid w:val="007D1BB8"/>
    <w:rsid w:val="007D200D"/>
    <w:rsid w:val="007D3091"/>
    <w:rsid w:val="007D49FF"/>
    <w:rsid w:val="007D4AC9"/>
    <w:rsid w:val="007E0D16"/>
    <w:rsid w:val="007E2CE7"/>
    <w:rsid w:val="007E31E0"/>
    <w:rsid w:val="007E3509"/>
    <w:rsid w:val="007E47ED"/>
    <w:rsid w:val="007E576C"/>
    <w:rsid w:val="007E6CCA"/>
    <w:rsid w:val="007F0A13"/>
    <w:rsid w:val="007F1020"/>
    <w:rsid w:val="007F231A"/>
    <w:rsid w:val="007F2B22"/>
    <w:rsid w:val="007F4EF8"/>
    <w:rsid w:val="007F5FBA"/>
    <w:rsid w:val="007F6D46"/>
    <w:rsid w:val="00800473"/>
    <w:rsid w:val="00800E1B"/>
    <w:rsid w:val="008013B5"/>
    <w:rsid w:val="008015C9"/>
    <w:rsid w:val="00801FBA"/>
    <w:rsid w:val="00802AA4"/>
    <w:rsid w:val="00803D0F"/>
    <w:rsid w:val="008053B9"/>
    <w:rsid w:val="008054AC"/>
    <w:rsid w:val="0081369A"/>
    <w:rsid w:val="00813D3F"/>
    <w:rsid w:val="00813D4D"/>
    <w:rsid w:val="00814311"/>
    <w:rsid w:val="008148F8"/>
    <w:rsid w:val="008153B9"/>
    <w:rsid w:val="00816390"/>
    <w:rsid w:val="0081697C"/>
    <w:rsid w:val="00816E96"/>
    <w:rsid w:val="00821F2D"/>
    <w:rsid w:val="00825DC0"/>
    <w:rsid w:val="00826F44"/>
    <w:rsid w:val="008307B8"/>
    <w:rsid w:val="00831FC0"/>
    <w:rsid w:val="00833B9E"/>
    <w:rsid w:val="00834F37"/>
    <w:rsid w:val="00837D30"/>
    <w:rsid w:val="0084041D"/>
    <w:rsid w:val="008404BF"/>
    <w:rsid w:val="00842F56"/>
    <w:rsid w:val="008434D7"/>
    <w:rsid w:val="00843568"/>
    <w:rsid w:val="0084445B"/>
    <w:rsid w:val="00844744"/>
    <w:rsid w:val="00844BAB"/>
    <w:rsid w:val="00844D51"/>
    <w:rsid w:val="00846DCA"/>
    <w:rsid w:val="0085127A"/>
    <w:rsid w:val="00851802"/>
    <w:rsid w:val="00852E4C"/>
    <w:rsid w:val="00854C2C"/>
    <w:rsid w:val="00854E2D"/>
    <w:rsid w:val="00855773"/>
    <w:rsid w:val="008559E8"/>
    <w:rsid w:val="0085635A"/>
    <w:rsid w:val="00856EA1"/>
    <w:rsid w:val="00857CC8"/>
    <w:rsid w:val="00857D45"/>
    <w:rsid w:val="00860B72"/>
    <w:rsid w:val="00861D40"/>
    <w:rsid w:val="00863F99"/>
    <w:rsid w:val="00864F79"/>
    <w:rsid w:val="008669A5"/>
    <w:rsid w:val="00867817"/>
    <w:rsid w:val="00872883"/>
    <w:rsid w:val="00874D4F"/>
    <w:rsid w:val="008751B3"/>
    <w:rsid w:val="00875EC6"/>
    <w:rsid w:val="008814D1"/>
    <w:rsid w:val="00884256"/>
    <w:rsid w:val="00884DD1"/>
    <w:rsid w:val="00885918"/>
    <w:rsid w:val="008865E4"/>
    <w:rsid w:val="0089100F"/>
    <w:rsid w:val="00891A76"/>
    <w:rsid w:val="00893D1B"/>
    <w:rsid w:val="0089421F"/>
    <w:rsid w:val="00894502"/>
    <w:rsid w:val="00895C2B"/>
    <w:rsid w:val="00897B3D"/>
    <w:rsid w:val="008A0DE6"/>
    <w:rsid w:val="008A161B"/>
    <w:rsid w:val="008A3B02"/>
    <w:rsid w:val="008A51A6"/>
    <w:rsid w:val="008A702A"/>
    <w:rsid w:val="008A7537"/>
    <w:rsid w:val="008B230B"/>
    <w:rsid w:val="008B3AB7"/>
    <w:rsid w:val="008B5713"/>
    <w:rsid w:val="008B586C"/>
    <w:rsid w:val="008B6565"/>
    <w:rsid w:val="008B6CA7"/>
    <w:rsid w:val="008B7E11"/>
    <w:rsid w:val="008B7F44"/>
    <w:rsid w:val="008C02E7"/>
    <w:rsid w:val="008C0B9C"/>
    <w:rsid w:val="008C0E6B"/>
    <w:rsid w:val="008C2927"/>
    <w:rsid w:val="008C315B"/>
    <w:rsid w:val="008C42CF"/>
    <w:rsid w:val="008C65E2"/>
    <w:rsid w:val="008C691F"/>
    <w:rsid w:val="008C7A9C"/>
    <w:rsid w:val="008D063C"/>
    <w:rsid w:val="008D174B"/>
    <w:rsid w:val="008D5755"/>
    <w:rsid w:val="008D6572"/>
    <w:rsid w:val="008D6D3C"/>
    <w:rsid w:val="008E53D5"/>
    <w:rsid w:val="008E5C47"/>
    <w:rsid w:val="008E791F"/>
    <w:rsid w:val="008F11C5"/>
    <w:rsid w:val="008F1326"/>
    <w:rsid w:val="008F238D"/>
    <w:rsid w:val="008F28F7"/>
    <w:rsid w:val="008F3472"/>
    <w:rsid w:val="008F5996"/>
    <w:rsid w:val="008F5D20"/>
    <w:rsid w:val="008F69CC"/>
    <w:rsid w:val="008F7056"/>
    <w:rsid w:val="00900098"/>
    <w:rsid w:val="0090028D"/>
    <w:rsid w:val="009007BE"/>
    <w:rsid w:val="00901C53"/>
    <w:rsid w:val="00902CAD"/>
    <w:rsid w:val="00905796"/>
    <w:rsid w:val="00905AA2"/>
    <w:rsid w:val="00906A16"/>
    <w:rsid w:val="009106AD"/>
    <w:rsid w:val="00914245"/>
    <w:rsid w:val="0091440F"/>
    <w:rsid w:val="00914895"/>
    <w:rsid w:val="00915067"/>
    <w:rsid w:val="009161B7"/>
    <w:rsid w:val="00916C43"/>
    <w:rsid w:val="00917E38"/>
    <w:rsid w:val="009204B1"/>
    <w:rsid w:val="00920593"/>
    <w:rsid w:val="00920F43"/>
    <w:rsid w:val="00922695"/>
    <w:rsid w:val="00922DBA"/>
    <w:rsid w:val="00922DFA"/>
    <w:rsid w:val="00923476"/>
    <w:rsid w:val="00923DAC"/>
    <w:rsid w:val="00923EAC"/>
    <w:rsid w:val="00924B56"/>
    <w:rsid w:val="00925E02"/>
    <w:rsid w:val="00925F7E"/>
    <w:rsid w:val="00926E4C"/>
    <w:rsid w:val="00930494"/>
    <w:rsid w:val="00930778"/>
    <w:rsid w:val="00930B6E"/>
    <w:rsid w:val="00932326"/>
    <w:rsid w:val="009324CA"/>
    <w:rsid w:val="009329BC"/>
    <w:rsid w:val="009338AD"/>
    <w:rsid w:val="00940AAB"/>
    <w:rsid w:val="00940E90"/>
    <w:rsid w:val="00942067"/>
    <w:rsid w:val="0094346B"/>
    <w:rsid w:val="00945058"/>
    <w:rsid w:val="0094541B"/>
    <w:rsid w:val="00945762"/>
    <w:rsid w:val="00946146"/>
    <w:rsid w:val="00946276"/>
    <w:rsid w:val="00954B17"/>
    <w:rsid w:val="009567CE"/>
    <w:rsid w:val="00956AC3"/>
    <w:rsid w:val="00956BA1"/>
    <w:rsid w:val="0095726B"/>
    <w:rsid w:val="00960D97"/>
    <w:rsid w:val="00961425"/>
    <w:rsid w:val="009616CF"/>
    <w:rsid w:val="00962380"/>
    <w:rsid w:val="00963B05"/>
    <w:rsid w:val="00963D9A"/>
    <w:rsid w:val="0096465D"/>
    <w:rsid w:val="0096549F"/>
    <w:rsid w:val="00965B78"/>
    <w:rsid w:val="00965C46"/>
    <w:rsid w:val="0097195C"/>
    <w:rsid w:val="009731BC"/>
    <w:rsid w:val="00974482"/>
    <w:rsid w:val="0097729F"/>
    <w:rsid w:val="009822A4"/>
    <w:rsid w:val="00984F6B"/>
    <w:rsid w:val="00985A71"/>
    <w:rsid w:val="00987831"/>
    <w:rsid w:val="00991497"/>
    <w:rsid w:val="00992EAD"/>
    <w:rsid w:val="00997750"/>
    <w:rsid w:val="00997A71"/>
    <w:rsid w:val="009A0A86"/>
    <w:rsid w:val="009A1512"/>
    <w:rsid w:val="009A4003"/>
    <w:rsid w:val="009A43EF"/>
    <w:rsid w:val="009A48F2"/>
    <w:rsid w:val="009A4C93"/>
    <w:rsid w:val="009A53AC"/>
    <w:rsid w:val="009A56A0"/>
    <w:rsid w:val="009A7FA1"/>
    <w:rsid w:val="009B13F8"/>
    <w:rsid w:val="009B19AE"/>
    <w:rsid w:val="009B2697"/>
    <w:rsid w:val="009B341F"/>
    <w:rsid w:val="009B3705"/>
    <w:rsid w:val="009B44DC"/>
    <w:rsid w:val="009B545D"/>
    <w:rsid w:val="009B605F"/>
    <w:rsid w:val="009C31E8"/>
    <w:rsid w:val="009C387B"/>
    <w:rsid w:val="009C3B0F"/>
    <w:rsid w:val="009C541D"/>
    <w:rsid w:val="009C5C25"/>
    <w:rsid w:val="009C5E0D"/>
    <w:rsid w:val="009C6BA9"/>
    <w:rsid w:val="009C6BCB"/>
    <w:rsid w:val="009C719A"/>
    <w:rsid w:val="009D0182"/>
    <w:rsid w:val="009D02F6"/>
    <w:rsid w:val="009D0509"/>
    <w:rsid w:val="009D1007"/>
    <w:rsid w:val="009D170B"/>
    <w:rsid w:val="009D1CF5"/>
    <w:rsid w:val="009D24CA"/>
    <w:rsid w:val="009D4688"/>
    <w:rsid w:val="009D4F95"/>
    <w:rsid w:val="009D5222"/>
    <w:rsid w:val="009D6777"/>
    <w:rsid w:val="009D744A"/>
    <w:rsid w:val="009D7CB6"/>
    <w:rsid w:val="009E0848"/>
    <w:rsid w:val="009E0F8E"/>
    <w:rsid w:val="009E209E"/>
    <w:rsid w:val="009E3691"/>
    <w:rsid w:val="009E42EB"/>
    <w:rsid w:val="009E4AF7"/>
    <w:rsid w:val="009E4EA0"/>
    <w:rsid w:val="009E75CB"/>
    <w:rsid w:val="009E77E8"/>
    <w:rsid w:val="009F0D66"/>
    <w:rsid w:val="009F13D2"/>
    <w:rsid w:val="009F27E1"/>
    <w:rsid w:val="009F469D"/>
    <w:rsid w:val="009F556F"/>
    <w:rsid w:val="009F6626"/>
    <w:rsid w:val="009F6F86"/>
    <w:rsid w:val="009F7538"/>
    <w:rsid w:val="009F78AE"/>
    <w:rsid w:val="00A00DB8"/>
    <w:rsid w:val="00A010E3"/>
    <w:rsid w:val="00A01E3C"/>
    <w:rsid w:val="00A027F8"/>
    <w:rsid w:val="00A04D30"/>
    <w:rsid w:val="00A062EF"/>
    <w:rsid w:val="00A1009B"/>
    <w:rsid w:val="00A104B9"/>
    <w:rsid w:val="00A10A29"/>
    <w:rsid w:val="00A10EF8"/>
    <w:rsid w:val="00A11D4E"/>
    <w:rsid w:val="00A12A6E"/>
    <w:rsid w:val="00A13502"/>
    <w:rsid w:val="00A16CBC"/>
    <w:rsid w:val="00A16F4D"/>
    <w:rsid w:val="00A1767F"/>
    <w:rsid w:val="00A17D6C"/>
    <w:rsid w:val="00A207D2"/>
    <w:rsid w:val="00A20D74"/>
    <w:rsid w:val="00A20DB3"/>
    <w:rsid w:val="00A2133F"/>
    <w:rsid w:val="00A22129"/>
    <w:rsid w:val="00A233A6"/>
    <w:rsid w:val="00A23A6D"/>
    <w:rsid w:val="00A24611"/>
    <w:rsid w:val="00A25A95"/>
    <w:rsid w:val="00A33546"/>
    <w:rsid w:val="00A33842"/>
    <w:rsid w:val="00A34010"/>
    <w:rsid w:val="00A34060"/>
    <w:rsid w:val="00A370B1"/>
    <w:rsid w:val="00A37197"/>
    <w:rsid w:val="00A37D79"/>
    <w:rsid w:val="00A40C3B"/>
    <w:rsid w:val="00A42BBF"/>
    <w:rsid w:val="00A42CFE"/>
    <w:rsid w:val="00A43666"/>
    <w:rsid w:val="00A4388B"/>
    <w:rsid w:val="00A44205"/>
    <w:rsid w:val="00A44DD6"/>
    <w:rsid w:val="00A459FB"/>
    <w:rsid w:val="00A47BAC"/>
    <w:rsid w:val="00A5035E"/>
    <w:rsid w:val="00A51B0B"/>
    <w:rsid w:val="00A51D71"/>
    <w:rsid w:val="00A5380A"/>
    <w:rsid w:val="00A54AAB"/>
    <w:rsid w:val="00A55195"/>
    <w:rsid w:val="00A55906"/>
    <w:rsid w:val="00A56282"/>
    <w:rsid w:val="00A57BCF"/>
    <w:rsid w:val="00A57EBC"/>
    <w:rsid w:val="00A60E32"/>
    <w:rsid w:val="00A611C5"/>
    <w:rsid w:val="00A61685"/>
    <w:rsid w:val="00A61ADB"/>
    <w:rsid w:val="00A62D4A"/>
    <w:rsid w:val="00A62F62"/>
    <w:rsid w:val="00A65BB1"/>
    <w:rsid w:val="00A66E9C"/>
    <w:rsid w:val="00A674FB"/>
    <w:rsid w:val="00A7116E"/>
    <w:rsid w:val="00A726CD"/>
    <w:rsid w:val="00A73497"/>
    <w:rsid w:val="00A766E2"/>
    <w:rsid w:val="00A76CF9"/>
    <w:rsid w:val="00A77FA8"/>
    <w:rsid w:val="00A80107"/>
    <w:rsid w:val="00A80CE5"/>
    <w:rsid w:val="00A810FE"/>
    <w:rsid w:val="00A8168D"/>
    <w:rsid w:val="00A8219C"/>
    <w:rsid w:val="00A82C64"/>
    <w:rsid w:val="00A86060"/>
    <w:rsid w:val="00A8640F"/>
    <w:rsid w:val="00A86898"/>
    <w:rsid w:val="00A9120E"/>
    <w:rsid w:val="00A91D48"/>
    <w:rsid w:val="00A921F6"/>
    <w:rsid w:val="00A92CE9"/>
    <w:rsid w:val="00A9374E"/>
    <w:rsid w:val="00A938F6"/>
    <w:rsid w:val="00A94A83"/>
    <w:rsid w:val="00A94AB9"/>
    <w:rsid w:val="00A94B8E"/>
    <w:rsid w:val="00A9585F"/>
    <w:rsid w:val="00A959A0"/>
    <w:rsid w:val="00A95A21"/>
    <w:rsid w:val="00A968C8"/>
    <w:rsid w:val="00A977B4"/>
    <w:rsid w:val="00AA0006"/>
    <w:rsid w:val="00AA0847"/>
    <w:rsid w:val="00AA23B4"/>
    <w:rsid w:val="00AA34C8"/>
    <w:rsid w:val="00AA3F97"/>
    <w:rsid w:val="00AA5357"/>
    <w:rsid w:val="00AA7D9C"/>
    <w:rsid w:val="00AA7DD8"/>
    <w:rsid w:val="00AB045A"/>
    <w:rsid w:val="00AB119B"/>
    <w:rsid w:val="00AB2DCE"/>
    <w:rsid w:val="00AB3D0E"/>
    <w:rsid w:val="00AB3EEC"/>
    <w:rsid w:val="00AB5359"/>
    <w:rsid w:val="00AB5AC5"/>
    <w:rsid w:val="00AB5E06"/>
    <w:rsid w:val="00AB66E5"/>
    <w:rsid w:val="00AB6A4C"/>
    <w:rsid w:val="00AC35EE"/>
    <w:rsid w:val="00AC4054"/>
    <w:rsid w:val="00AC5930"/>
    <w:rsid w:val="00AC5C7A"/>
    <w:rsid w:val="00AC6D5E"/>
    <w:rsid w:val="00AC7C6E"/>
    <w:rsid w:val="00AD1140"/>
    <w:rsid w:val="00AD12F2"/>
    <w:rsid w:val="00AD14CA"/>
    <w:rsid w:val="00AD1EB4"/>
    <w:rsid w:val="00AD28A2"/>
    <w:rsid w:val="00AD2DD8"/>
    <w:rsid w:val="00AD2E67"/>
    <w:rsid w:val="00AD4523"/>
    <w:rsid w:val="00AD6487"/>
    <w:rsid w:val="00AD66E0"/>
    <w:rsid w:val="00AD7BB4"/>
    <w:rsid w:val="00AE026F"/>
    <w:rsid w:val="00AE14AC"/>
    <w:rsid w:val="00AE1ABE"/>
    <w:rsid w:val="00AE3ACA"/>
    <w:rsid w:val="00AE3FC3"/>
    <w:rsid w:val="00AE495C"/>
    <w:rsid w:val="00AE5133"/>
    <w:rsid w:val="00AE544C"/>
    <w:rsid w:val="00AE7593"/>
    <w:rsid w:val="00AF1304"/>
    <w:rsid w:val="00AF1960"/>
    <w:rsid w:val="00AF257F"/>
    <w:rsid w:val="00AF43AE"/>
    <w:rsid w:val="00AF47C4"/>
    <w:rsid w:val="00AF554A"/>
    <w:rsid w:val="00AF575B"/>
    <w:rsid w:val="00AF6967"/>
    <w:rsid w:val="00AF7542"/>
    <w:rsid w:val="00AF7F83"/>
    <w:rsid w:val="00B006CB"/>
    <w:rsid w:val="00B009B2"/>
    <w:rsid w:val="00B015CB"/>
    <w:rsid w:val="00B0242C"/>
    <w:rsid w:val="00B036D5"/>
    <w:rsid w:val="00B0397A"/>
    <w:rsid w:val="00B04699"/>
    <w:rsid w:val="00B05E9C"/>
    <w:rsid w:val="00B061F2"/>
    <w:rsid w:val="00B0632A"/>
    <w:rsid w:val="00B06816"/>
    <w:rsid w:val="00B11718"/>
    <w:rsid w:val="00B12A46"/>
    <w:rsid w:val="00B168BE"/>
    <w:rsid w:val="00B20933"/>
    <w:rsid w:val="00B249D7"/>
    <w:rsid w:val="00B2556F"/>
    <w:rsid w:val="00B272AD"/>
    <w:rsid w:val="00B275FA"/>
    <w:rsid w:val="00B30B37"/>
    <w:rsid w:val="00B3170B"/>
    <w:rsid w:val="00B32772"/>
    <w:rsid w:val="00B35ECD"/>
    <w:rsid w:val="00B37919"/>
    <w:rsid w:val="00B37C5E"/>
    <w:rsid w:val="00B37F55"/>
    <w:rsid w:val="00B4042B"/>
    <w:rsid w:val="00B4043A"/>
    <w:rsid w:val="00B41A21"/>
    <w:rsid w:val="00B43440"/>
    <w:rsid w:val="00B43A47"/>
    <w:rsid w:val="00B45413"/>
    <w:rsid w:val="00B45B97"/>
    <w:rsid w:val="00B54C34"/>
    <w:rsid w:val="00B57C88"/>
    <w:rsid w:val="00B57E43"/>
    <w:rsid w:val="00B60861"/>
    <w:rsid w:val="00B60971"/>
    <w:rsid w:val="00B60E89"/>
    <w:rsid w:val="00B60F97"/>
    <w:rsid w:val="00B614E5"/>
    <w:rsid w:val="00B61660"/>
    <w:rsid w:val="00B627B9"/>
    <w:rsid w:val="00B62E74"/>
    <w:rsid w:val="00B63128"/>
    <w:rsid w:val="00B64121"/>
    <w:rsid w:val="00B64BA6"/>
    <w:rsid w:val="00B65073"/>
    <w:rsid w:val="00B667DE"/>
    <w:rsid w:val="00B67ABD"/>
    <w:rsid w:val="00B719CF"/>
    <w:rsid w:val="00B773E8"/>
    <w:rsid w:val="00B77CB8"/>
    <w:rsid w:val="00B80657"/>
    <w:rsid w:val="00B809C0"/>
    <w:rsid w:val="00B82405"/>
    <w:rsid w:val="00B82DC4"/>
    <w:rsid w:val="00B83CA0"/>
    <w:rsid w:val="00B84A77"/>
    <w:rsid w:val="00B86284"/>
    <w:rsid w:val="00B86CE4"/>
    <w:rsid w:val="00B877DF"/>
    <w:rsid w:val="00B905C0"/>
    <w:rsid w:val="00B90CF9"/>
    <w:rsid w:val="00B91733"/>
    <w:rsid w:val="00B962BC"/>
    <w:rsid w:val="00B9776A"/>
    <w:rsid w:val="00B97DA1"/>
    <w:rsid w:val="00B97F7C"/>
    <w:rsid w:val="00BA1BE1"/>
    <w:rsid w:val="00BA45F9"/>
    <w:rsid w:val="00BA47F5"/>
    <w:rsid w:val="00BA6D5C"/>
    <w:rsid w:val="00BA6D75"/>
    <w:rsid w:val="00BB1AA8"/>
    <w:rsid w:val="00BB3A67"/>
    <w:rsid w:val="00BB4A9F"/>
    <w:rsid w:val="00BB537E"/>
    <w:rsid w:val="00BB546B"/>
    <w:rsid w:val="00BB7850"/>
    <w:rsid w:val="00BB7F1E"/>
    <w:rsid w:val="00BC0C41"/>
    <w:rsid w:val="00BC204A"/>
    <w:rsid w:val="00BC3118"/>
    <w:rsid w:val="00BC3D04"/>
    <w:rsid w:val="00BC4572"/>
    <w:rsid w:val="00BC46FE"/>
    <w:rsid w:val="00BC493E"/>
    <w:rsid w:val="00BC5B57"/>
    <w:rsid w:val="00BC66F1"/>
    <w:rsid w:val="00BC6B3D"/>
    <w:rsid w:val="00BD0948"/>
    <w:rsid w:val="00BD099E"/>
    <w:rsid w:val="00BD10B8"/>
    <w:rsid w:val="00BD118A"/>
    <w:rsid w:val="00BD12C3"/>
    <w:rsid w:val="00BD4278"/>
    <w:rsid w:val="00BD4EBC"/>
    <w:rsid w:val="00BD6DE4"/>
    <w:rsid w:val="00BD766A"/>
    <w:rsid w:val="00BD7A8D"/>
    <w:rsid w:val="00BE355B"/>
    <w:rsid w:val="00BE3F33"/>
    <w:rsid w:val="00BE5991"/>
    <w:rsid w:val="00BE750F"/>
    <w:rsid w:val="00BF0C20"/>
    <w:rsid w:val="00BF110D"/>
    <w:rsid w:val="00BF114E"/>
    <w:rsid w:val="00BF1B8F"/>
    <w:rsid w:val="00BF2CA8"/>
    <w:rsid w:val="00BF3270"/>
    <w:rsid w:val="00BF3CFF"/>
    <w:rsid w:val="00BF536D"/>
    <w:rsid w:val="00BF5B17"/>
    <w:rsid w:val="00BF7273"/>
    <w:rsid w:val="00BF757D"/>
    <w:rsid w:val="00C02108"/>
    <w:rsid w:val="00C03FEC"/>
    <w:rsid w:val="00C04440"/>
    <w:rsid w:val="00C065F9"/>
    <w:rsid w:val="00C10047"/>
    <w:rsid w:val="00C11FA4"/>
    <w:rsid w:val="00C124C4"/>
    <w:rsid w:val="00C1323E"/>
    <w:rsid w:val="00C13548"/>
    <w:rsid w:val="00C13818"/>
    <w:rsid w:val="00C14F6D"/>
    <w:rsid w:val="00C15804"/>
    <w:rsid w:val="00C2156A"/>
    <w:rsid w:val="00C22B62"/>
    <w:rsid w:val="00C22F05"/>
    <w:rsid w:val="00C23C49"/>
    <w:rsid w:val="00C269BE"/>
    <w:rsid w:val="00C2743D"/>
    <w:rsid w:val="00C31A10"/>
    <w:rsid w:val="00C34E28"/>
    <w:rsid w:val="00C3652A"/>
    <w:rsid w:val="00C418A9"/>
    <w:rsid w:val="00C41F34"/>
    <w:rsid w:val="00C42EBE"/>
    <w:rsid w:val="00C433D0"/>
    <w:rsid w:val="00C4451F"/>
    <w:rsid w:val="00C44EBF"/>
    <w:rsid w:val="00C464F8"/>
    <w:rsid w:val="00C473D5"/>
    <w:rsid w:val="00C47972"/>
    <w:rsid w:val="00C5016A"/>
    <w:rsid w:val="00C527D0"/>
    <w:rsid w:val="00C52F6B"/>
    <w:rsid w:val="00C53D41"/>
    <w:rsid w:val="00C53F8C"/>
    <w:rsid w:val="00C56394"/>
    <w:rsid w:val="00C5721F"/>
    <w:rsid w:val="00C57362"/>
    <w:rsid w:val="00C602A2"/>
    <w:rsid w:val="00C61664"/>
    <w:rsid w:val="00C61E23"/>
    <w:rsid w:val="00C61FD2"/>
    <w:rsid w:val="00C623EA"/>
    <w:rsid w:val="00C6281D"/>
    <w:rsid w:val="00C62E2F"/>
    <w:rsid w:val="00C62FEF"/>
    <w:rsid w:val="00C63B6A"/>
    <w:rsid w:val="00C63CC0"/>
    <w:rsid w:val="00C63DF6"/>
    <w:rsid w:val="00C650FA"/>
    <w:rsid w:val="00C66382"/>
    <w:rsid w:val="00C6797F"/>
    <w:rsid w:val="00C67A13"/>
    <w:rsid w:val="00C70937"/>
    <w:rsid w:val="00C70A04"/>
    <w:rsid w:val="00C71570"/>
    <w:rsid w:val="00C73BCA"/>
    <w:rsid w:val="00C74166"/>
    <w:rsid w:val="00C7550F"/>
    <w:rsid w:val="00C7555F"/>
    <w:rsid w:val="00C81C44"/>
    <w:rsid w:val="00C81F4D"/>
    <w:rsid w:val="00C8323E"/>
    <w:rsid w:val="00C86AE9"/>
    <w:rsid w:val="00C877E4"/>
    <w:rsid w:val="00C879B8"/>
    <w:rsid w:val="00C916CD"/>
    <w:rsid w:val="00C930C8"/>
    <w:rsid w:val="00C93416"/>
    <w:rsid w:val="00C93700"/>
    <w:rsid w:val="00C94FBC"/>
    <w:rsid w:val="00C95413"/>
    <w:rsid w:val="00C956F6"/>
    <w:rsid w:val="00C96203"/>
    <w:rsid w:val="00CA2090"/>
    <w:rsid w:val="00CA253F"/>
    <w:rsid w:val="00CA2C9E"/>
    <w:rsid w:val="00CA3872"/>
    <w:rsid w:val="00CA5400"/>
    <w:rsid w:val="00CA6970"/>
    <w:rsid w:val="00CA6B14"/>
    <w:rsid w:val="00CA6C92"/>
    <w:rsid w:val="00CA7144"/>
    <w:rsid w:val="00CA7DB8"/>
    <w:rsid w:val="00CB23F5"/>
    <w:rsid w:val="00CB38FC"/>
    <w:rsid w:val="00CB43BA"/>
    <w:rsid w:val="00CB45D8"/>
    <w:rsid w:val="00CB5573"/>
    <w:rsid w:val="00CB6C41"/>
    <w:rsid w:val="00CC0128"/>
    <w:rsid w:val="00CC1E6E"/>
    <w:rsid w:val="00CC36AB"/>
    <w:rsid w:val="00CC425E"/>
    <w:rsid w:val="00CC6594"/>
    <w:rsid w:val="00CD0360"/>
    <w:rsid w:val="00CD0FD5"/>
    <w:rsid w:val="00CD138B"/>
    <w:rsid w:val="00CD139B"/>
    <w:rsid w:val="00CD1732"/>
    <w:rsid w:val="00CD2019"/>
    <w:rsid w:val="00CD4077"/>
    <w:rsid w:val="00CD6448"/>
    <w:rsid w:val="00CE01AC"/>
    <w:rsid w:val="00CE08AB"/>
    <w:rsid w:val="00CE0AC9"/>
    <w:rsid w:val="00CE104B"/>
    <w:rsid w:val="00CE2FAD"/>
    <w:rsid w:val="00CE7052"/>
    <w:rsid w:val="00CE752D"/>
    <w:rsid w:val="00CE7572"/>
    <w:rsid w:val="00CE7A46"/>
    <w:rsid w:val="00CE7C06"/>
    <w:rsid w:val="00CE7D6C"/>
    <w:rsid w:val="00CF04D3"/>
    <w:rsid w:val="00CF0B41"/>
    <w:rsid w:val="00CF38BB"/>
    <w:rsid w:val="00CF44DF"/>
    <w:rsid w:val="00CF5965"/>
    <w:rsid w:val="00CF5C39"/>
    <w:rsid w:val="00CF60F7"/>
    <w:rsid w:val="00CF79B4"/>
    <w:rsid w:val="00D01A96"/>
    <w:rsid w:val="00D01B23"/>
    <w:rsid w:val="00D01B7E"/>
    <w:rsid w:val="00D01ED4"/>
    <w:rsid w:val="00D01F0A"/>
    <w:rsid w:val="00D024EE"/>
    <w:rsid w:val="00D04903"/>
    <w:rsid w:val="00D04EB0"/>
    <w:rsid w:val="00D054F7"/>
    <w:rsid w:val="00D06601"/>
    <w:rsid w:val="00D07741"/>
    <w:rsid w:val="00D1037F"/>
    <w:rsid w:val="00D1045C"/>
    <w:rsid w:val="00D117DF"/>
    <w:rsid w:val="00D11DCB"/>
    <w:rsid w:val="00D1252E"/>
    <w:rsid w:val="00D12ACC"/>
    <w:rsid w:val="00D12FE8"/>
    <w:rsid w:val="00D164C6"/>
    <w:rsid w:val="00D20BD7"/>
    <w:rsid w:val="00D23FB9"/>
    <w:rsid w:val="00D24173"/>
    <w:rsid w:val="00D25F96"/>
    <w:rsid w:val="00D314F6"/>
    <w:rsid w:val="00D33447"/>
    <w:rsid w:val="00D3365B"/>
    <w:rsid w:val="00D34725"/>
    <w:rsid w:val="00D359F9"/>
    <w:rsid w:val="00D360F1"/>
    <w:rsid w:val="00D3675B"/>
    <w:rsid w:val="00D37F53"/>
    <w:rsid w:val="00D401FB"/>
    <w:rsid w:val="00D41105"/>
    <w:rsid w:val="00D42653"/>
    <w:rsid w:val="00D427A6"/>
    <w:rsid w:val="00D42E56"/>
    <w:rsid w:val="00D430B8"/>
    <w:rsid w:val="00D434E4"/>
    <w:rsid w:val="00D44A71"/>
    <w:rsid w:val="00D44F3B"/>
    <w:rsid w:val="00D45588"/>
    <w:rsid w:val="00D45A7B"/>
    <w:rsid w:val="00D46BF1"/>
    <w:rsid w:val="00D474A7"/>
    <w:rsid w:val="00D504DE"/>
    <w:rsid w:val="00D50E5C"/>
    <w:rsid w:val="00D51EC6"/>
    <w:rsid w:val="00D536DB"/>
    <w:rsid w:val="00D539C8"/>
    <w:rsid w:val="00D5417E"/>
    <w:rsid w:val="00D541B0"/>
    <w:rsid w:val="00D54289"/>
    <w:rsid w:val="00D56381"/>
    <w:rsid w:val="00D5690C"/>
    <w:rsid w:val="00D60A45"/>
    <w:rsid w:val="00D60E76"/>
    <w:rsid w:val="00D60E8D"/>
    <w:rsid w:val="00D6224B"/>
    <w:rsid w:val="00D6544A"/>
    <w:rsid w:val="00D65CB6"/>
    <w:rsid w:val="00D65F01"/>
    <w:rsid w:val="00D663F8"/>
    <w:rsid w:val="00D664E8"/>
    <w:rsid w:val="00D72129"/>
    <w:rsid w:val="00D723FD"/>
    <w:rsid w:val="00D73D28"/>
    <w:rsid w:val="00D74684"/>
    <w:rsid w:val="00D74F53"/>
    <w:rsid w:val="00D76447"/>
    <w:rsid w:val="00D801A7"/>
    <w:rsid w:val="00D81477"/>
    <w:rsid w:val="00D84534"/>
    <w:rsid w:val="00D84873"/>
    <w:rsid w:val="00D86A5D"/>
    <w:rsid w:val="00D87EDA"/>
    <w:rsid w:val="00D909C1"/>
    <w:rsid w:val="00D92991"/>
    <w:rsid w:val="00D93D09"/>
    <w:rsid w:val="00D93D8A"/>
    <w:rsid w:val="00D94AFF"/>
    <w:rsid w:val="00D94BDF"/>
    <w:rsid w:val="00D95B38"/>
    <w:rsid w:val="00D95FE7"/>
    <w:rsid w:val="00D97882"/>
    <w:rsid w:val="00DA10AA"/>
    <w:rsid w:val="00DA2DD7"/>
    <w:rsid w:val="00DA42B2"/>
    <w:rsid w:val="00DA4342"/>
    <w:rsid w:val="00DA5F4E"/>
    <w:rsid w:val="00DB045D"/>
    <w:rsid w:val="00DB09DC"/>
    <w:rsid w:val="00DB10B4"/>
    <w:rsid w:val="00DB1EDD"/>
    <w:rsid w:val="00DB2E66"/>
    <w:rsid w:val="00DB3FB3"/>
    <w:rsid w:val="00DB455E"/>
    <w:rsid w:val="00DB484D"/>
    <w:rsid w:val="00DB4A98"/>
    <w:rsid w:val="00DB4B0C"/>
    <w:rsid w:val="00DB7CD9"/>
    <w:rsid w:val="00DB7EC1"/>
    <w:rsid w:val="00DC0ACF"/>
    <w:rsid w:val="00DC12AD"/>
    <w:rsid w:val="00DC277F"/>
    <w:rsid w:val="00DC2C3F"/>
    <w:rsid w:val="00DC2F93"/>
    <w:rsid w:val="00DC4459"/>
    <w:rsid w:val="00DC449D"/>
    <w:rsid w:val="00DC4795"/>
    <w:rsid w:val="00DC4B79"/>
    <w:rsid w:val="00DC7043"/>
    <w:rsid w:val="00DC71DD"/>
    <w:rsid w:val="00DD13BE"/>
    <w:rsid w:val="00DD18E5"/>
    <w:rsid w:val="00DD29F5"/>
    <w:rsid w:val="00DD650E"/>
    <w:rsid w:val="00DD6588"/>
    <w:rsid w:val="00DD67B4"/>
    <w:rsid w:val="00DD708B"/>
    <w:rsid w:val="00DD72B7"/>
    <w:rsid w:val="00DE0346"/>
    <w:rsid w:val="00DE158A"/>
    <w:rsid w:val="00DE17F4"/>
    <w:rsid w:val="00DE1A35"/>
    <w:rsid w:val="00DE4339"/>
    <w:rsid w:val="00DE4ECF"/>
    <w:rsid w:val="00DE5C28"/>
    <w:rsid w:val="00DE713D"/>
    <w:rsid w:val="00DE77F5"/>
    <w:rsid w:val="00DE7F00"/>
    <w:rsid w:val="00DF11D6"/>
    <w:rsid w:val="00DF166A"/>
    <w:rsid w:val="00DF1DA9"/>
    <w:rsid w:val="00DF2DF6"/>
    <w:rsid w:val="00DF6096"/>
    <w:rsid w:val="00DF769B"/>
    <w:rsid w:val="00E00997"/>
    <w:rsid w:val="00E00E84"/>
    <w:rsid w:val="00E017EA"/>
    <w:rsid w:val="00E0279D"/>
    <w:rsid w:val="00E05398"/>
    <w:rsid w:val="00E066AB"/>
    <w:rsid w:val="00E0774B"/>
    <w:rsid w:val="00E07E88"/>
    <w:rsid w:val="00E10509"/>
    <w:rsid w:val="00E119E3"/>
    <w:rsid w:val="00E125E9"/>
    <w:rsid w:val="00E127D1"/>
    <w:rsid w:val="00E149AC"/>
    <w:rsid w:val="00E14FFB"/>
    <w:rsid w:val="00E16739"/>
    <w:rsid w:val="00E21787"/>
    <w:rsid w:val="00E22596"/>
    <w:rsid w:val="00E2440F"/>
    <w:rsid w:val="00E251D6"/>
    <w:rsid w:val="00E253BC"/>
    <w:rsid w:val="00E25A5A"/>
    <w:rsid w:val="00E30A79"/>
    <w:rsid w:val="00E3218E"/>
    <w:rsid w:val="00E32699"/>
    <w:rsid w:val="00E3407C"/>
    <w:rsid w:val="00E365D6"/>
    <w:rsid w:val="00E37C8B"/>
    <w:rsid w:val="00E40127"/>
    <w:rsid w:val="00E41EB6"/>
    <w:rsid w:val="00E41EF7"/>
    <w:rsid w:val="00E43413"/>
    <w:rsid w:val="00E4455C"/>
    <w:rsid w:val="00E446C2"/>
    <w:rsid w:val="00E44BAC"/>
    <w:rsid w:val="00E44C66"/>
    <w:rsid w:val="00E45C00"/>
    <w:rsid w:val="00E479CF"/>
    <w:rsid w:val="00E52455"/>
    <w:rsid w:val="00E52F2B"/>
    <w:rsid w:val="00E52F4C"/>
    <w:rsid w:val="00E53A6B"/>
    <w:rsid w:val="00E53BA0"/>
    <w:rsid w:val="00E55357"/>
    <w:rsid w:val="00E561A7"/>
    <w:rsid w:val="00E56410"/>
    <w:rsid w:val="00E5675F"/>
    <w:rsid w:val="00E6049B"/>
    <w:rsid w:val="00E605DE"/>
    <w:rsid w:val="00E6079F"/>
    <w:rsid w:val="00E62D09"/>
    <w:rsid w:val="00E62F6E"/>
    <w:rsid w:val="00E649C3"/>
    <w:rsid w:val="00E67B51"/>
    <w:rsid w:val="00E70E52"/>
    <w:rsid w:val="00E7122F"/>
    <w:rsid w:val="00E7244C"/>
    <w:rsid w:val="00E736B5"/>
    <w:rsid w:val="00E73E04"/>
    <w:rsid w:val="00E74D03"/>
    <w:rsid w:val="00E753B2"/>
    <w:rsid w:val="00E77B06"/>
    <w:rsid w:val="00E8016B"/>
    <w:rsid w:val="00E8043A"/>
    <w:rsid w:val="00E816B4"/>
    <w:rsid w:val="00E825C6"/>
    <w:rsid w:val="00E82EFD"/>
    <w:rsid w:val="00E8530E"/>
    <w:rsid w:val="00E85E01"/>
    <w:rsid w:val="00E86CFC"/>
    <w:rsid w:val="00E873FA"/>
    <w:rsid w:val="00E87650"/>
    <w:rsid w:val="00E87936"/>
    <w:rsid w:val="00E90422"/>
    <w:rsid w:val="00E90736"/>
    <w:rsid w:val="00E90BA4"/>
    <w:rsid w:val="00E973D9"/>
    <w:rsid w:val="00E978F7"/>
    <w:rsid w:val="00E97DB9"/>
    <w:rsid w:val="00EA12C9"/>
    <w:rsid w:val="00EA17AA"/>
    <w:rsid w:val="00EA1CC4"/>
    <w:rsid w:val="00EA23A0"/>
    <w:rsid w:val="00EA2768"/>
    <w:rsid w:val="00EA5675"/>
    <w:rsid w:val="00EA5B4E"/>
    <w:rsid w:val="00EA5F2E"/>
    <w:rsid w:val="00EA6B6B"/>
    <w:rsid w:val="00EB06AF"/>
    <w:rsid w:val="00EB0780"/>
    <w:rsid w:val="00EB0A29"/>
    <w:rsid w:val="00EB0B65"/>
    <w:rsid w:val="00EB26AE"/>
    <w:rsid w:val="00EB40E5"/>
    <w:rsid w:val="00EB543A"/>
    <w:rsid w:val="00EB5930"/>
    <w:rsid w:val="00EB6988"/>
    <w:rsid w:val="00EB7A64"/>
    <w:rsid w:val="00EB7FFD"/>
    <w:rsid w:val="00EC0284"/>
    <w:rsid w:val="00EC08C9"/>
    <w:rsid w:val="00EC18D0"/>
    <w:rsid w:val="00EC1F1B"/>
    <w:rsid w:val="00EC2213"/>
    <w:rsid w:val="00EC28A7"/>
    <w:rsid w:val="00EC41BF"/>
    <w:rsid w:val="00EC5C27"/>
    <w:rsid w:val="00EC73EB"/>
    <w:rsid w:val="00EC7B30"/>
    <w:rsid w:val="00ED1597"/>
    <w:rsid w:val="00ED1C96"/>
    <w:rsid w:val="00ED3084"/>
    <w:rsid w:val="00ED31CC"/>
    <w:rsid w:val="00ED44CB"/>
    <w:rsid w:val="00ED5358"/>
    <w:rsid w:val="00ED6C10"/>
    <w:rsid w:val="00ED7C4B"/>
    <w:rsid w:val="00EE1339"/>
    <w:rsid w:val="00EE187E"/>
    <w:rsid w:val="00EE238E"/>
    <w:rsid w:val="00EE2582"/>
    <w:rsid w:val="00EE3731"/>
    <w:rsid w:val="00EE381A"/>
    <w:rsid w:val="00EE3C8B"/>
    <w:rsid w:val="00EE3DD9"/>
    <w:rsid w:val="00EE5165"/>
    <w:rsid w:val="00EE56E6"/>
    <w:rsid w:val="00EE583B"/>
    <w:rsid w:val="00EE6B83"/>
    <w:rsid w:val="00EE7D7E"/>
    <w:rsid w:val="00EF02B9"/>
    <w:rsid w:val="00EF087E"/>
    <w:rsid w:val="00EF0F3A"/>
    <w:rsid w:val="00EF38E6"/>
    <w:rsid w:val="00EF4527"/>
    <w:rsid w:val="00EF4814"/>
    <w:rsid w:val="00EF4991"/>
    <w:rsid w:val="00EF585D"/>
    <w:rsid w:val="00EF5EE7"/>
    <w:rsid w:val="00EF69AB"/>
    <w:rsid w:val="00EF7907"/>
    <w:rsid w:val="00EF7A6D"/>
    <w:rsid w:val="00EF7FA0"/>
    <w:rsid w:val="00F00B30"/>
    <w:rsid w:val="00F00FDA"/>
    <w:rsid w:val="00F01352"/>
    <w:rsid w:val="00F0228C"/>
    <w:rsid w:val="00F02639"/>
    <w:rsid w:val="00F03224"/>
    <w:rsid w:val="00F032E8"/>
    <w:rsid w:val="00F03540"/>
    <w:rsid w:val="00F035A9"/>
    <w:rsid w:val="00F035CF"/>
    <w:rsid w:val="00F03647"/>
    <w:rsid w:val="00F039DB"/>
    <w:rsid w:val="00F03FCE"/>
    <w:rsid w:val="00F04B3A"/>
    <w:rsid w:val="00F050F1"/>
    <w:rsid w:val="00F0695C"/>
    <w:rsid w:val="00F06996"/>
    <w:rsid w:val="00F10CB0"/>
    <w:rsid w:val="00F122A1"/>
    <w:rsid w:val="00F151C0"/>
    <w:rsid w:val="00F1599A"/>
    <w:rsid w:val="00F15AC1"/>
    <w:rsid w:val="00F15B3E"/>
    <w:rsid w:val="00F167E9"/>
    <w:rsid w:val="00F168C0"/>
    <w:rsid w:val="00F175B0"/>
    <w:rsid w:val="00F20821"/>
    <w:rsid w:val="00F21143"/>
    <w:rsid w:val="00F2122D"/>
    <w:rsid w:val="00F225A2"/>
    <w:rsid w:val="00F225A3"/>
    <w:rsid w:val="00F2287D"/>
    <w:rsid w:val="00F27774"/>
    <w:rsid w:val="00F308DB"/>
    <w:rsid w:val="00F30BB1"/>
    <w:rsid w:val="00F317B4"/>
    <w:rsid w:val="00F328D5"/>
    <w:rsid w:val="00F32A96"/>
    <w:rsid w:val="00F3588D"/>
    <w:rsid w:val="00F36736"/>
    <w:rsid w:val="00F4012F"/>
    <w:rsid w:val="00F41CEA"/>
    <w:rsid w:val="00F42C51"/>
    <w:rsid w:val="00F43D9F"/>
    <w:rsid w:val="00F43F18"/>
    <w:rsid w:val="00F442E9"/>
    <w:rsid w:val="00F44C4F"/>
    <w:rsid w:val="00F44EF7"/>
    <w:rsid w:val="00F460F5"/>
    <w:rsid w:val="00F466C8"/>
    <w:rsid w:val="00F4750A"/>
    <w:rsid w:val="00F47F86"/>
    <w:rsid w:val="00F50795"/>
    <w:rsid w:val="00F51C80"/>
    <w:rsid w:val="00F53232"/>
    <w:rsid w:val="00F53DCB"/>
    <w:rsid w:val="00F57C93"/>
    <w:rsid w:val="00F601A2"/>
    <w:rsid w:val="00F62791"/>
    <w:rsid w:val="00F642F0"/>
    <w:rsid w:val="00F666CD"/>
    <w:rsid w:val="00F67352"/>
    <w:rsid w:val="00F709D9"/>
    <w:rsid w:val="00F73FCA"/>
    <w:rsid w:val="00F765F4"/>
    <w:rsid w:val="00F76C57"/>
    <w:rsid w:val="00F77D00"/>
    <w:rsid w:val="00F77F79"/>
    <w:rsid w:val="00F81540"/>
    <w:rsid w:val="00F81BAE"/>
    <w:rsid w:val="00F831B8"/>
    <w:rsid w:val="00F8384C"/>
    <w:rsid w:val="00F84EDE"/>
    <w:rsid w:val="00F87F89"/>
    <w:rsid w:val="00F90B6A"/>
    <w:rsid w:val="00F91100"/>
    <w:rsid w:val="00F92084"/>
    <w:rsid w:val="00F9216A"/>
    <w:rsid w:val="00F93E4F"/>
    <w:rsid w:val="00F9431D"/>
    <w:rsid w:val="00F94531"/>
    <w:rsid w:val="00F94627"/>
    <w:rsid w:val="00F94EC4"/>
    <w:rsid w:val="00F95A50"/>
    <w:rsid w:val="00F96778"/>
    <w:rsid w:val="00F97F55"/>
    <w:rsid w:val="00FA10C5"/>
    <w:rsid w:val="00FA22E9"/>
    <w:rsid w:val="00FA31A7"/>
    <w:rsid w:val="00FA3261"/>
    <w:rsid w:val="00FA7413"/>
    <w:rsid w:val="00FB0F8E"/>
    <w:rsid w:val="00FB11BF"/>
    <w:rsid w:val="00FB1E2C"/>
    <w:rsid w:val="00FB21E6"/>
    <w:rsid w:val="00FB2995"/>
    <w:rsid w:val="00FB2C9D"/>
    <w:rsid w:val="00FB2CF6"/>
    <w:rsid w:val="00FB3237"/>
    <w:rsid w:val="00FB5EE8"/>
    <w:rsid w:val="00FB6642"/>
    <w:rsid w:val="00FB71BF"/>
    <w:rsid w:val="00FC109E"/>
    <w:rsid w:val="00FC4E82"/>
    <w:rsid w:val="00FC5CA7"/>
    <w:rsid w:val="00FD0B3D"/>
    <w:rsid w:val="00FD265B"/>
    <w:rsid w:val="00FD492C"/>
    <w:rsid w:val="00FD4F9C"/>
    <w:rsid w:val="00FD5309"/>
    <w:rsid w:val="00FD6436"/>
    <w:rsid w:val="00FD64A5"/>
    <w:rsid w:val="00FE0344"/>
    <w:rsid w:val="00FE0C36"/>
    <w:rsid w:val="00FE1179"/>
    <w:rsid w:val="00FE119D"/>
    <w:rsid w:val="00FE18C9"/>
    <w:rsid w:val="00FE1ED1"/>
    <w:rsid w:val="00FE4C71"/>
    <w:rsid w:val="00FE5532"/>
    <w:rsid w:val="00FE672F"/>
    <w:rsid w:val="00FF0948"/>
    <w:rsid w:val="00FF0D6E"/>
    <w:rsid w:val="00FF10C4"/>
    <w:rsid w:val="00FF1C62"/>
    <w:rsid w:val="00FF2E59"/>
    <w:rsid w:val="00FF323E"/>
    <w:rsid w:val="00FF3EB9"/>
    <w:rsid w:val="00FF4A7A"/>
    <w:rsid w:val="00FF67AD"/>
    <w:rsid w:val="01853382"/>
    <w:rsid w:val="03C7B32C"/>
    <w:rsid w:val="091B64EC"/>
    <w:rsid w:val="094E788C"/>
    <w:rsid w:val="0AB08898"/>
    <w:rsid w:val="0AB844CD"/>
    <w:rsid w:val="0CE3FCF2"/>
    <w:rsid w:val="0D746C22"/>
    <w:rsid w:val="0E69F6E1"/>
    <w:rsid w:val="10650DBC"/>
    <w:rsid w:val="10DF41A2"/>
    <w:rsid w:val="11608450"/>
    <w:rsid w:val="12D49A4E"/>
    <w:rsid w:val="13BD3938"/>
    <w:rsid w:val="14402C93"/>
    <w:rsid w:val="15DDDC20"/>
    <w:rsid w:val="16240B09"/>
    <w:rsid w:val="167508C6"/>
    <w:rsid w:val="16843DAF"/>
    <w:rsid w:val="1779AC81"/>
    <w:rsid w:val="1CF150EE"/>
    <w:rsid w:val="1DE54494"/>
    <w:rsid w:val="1E8AEF52"/>
    <w:rsid w:val="1F684016"/>
    <w:rsid w:val="2073D561"/>
    <w:rsid w:val="21659FB8"/>
    <w:rsid w:val="220D7AB1"/>
    <w:rsid w:val="2210887C"/>
    <w:rsid w:val="2272CDA0"/>
    <w:rsid w:val="25975C61"/>
    <w:rsid w:val="25D59BDD"/>
    <w:rsid w:val="26D6E215"/>
    <w:rsid w:val="2AE98DD6"/>
    <w:rsid w:val="2B76E248"/>
    <w:rsid w:val="2C0044F1"/>
    <w:rsid w:val="2D231673"/>
    <w:rsid w:val="2DB27F20"/>
    <w:rsid w:val="2E46FE16"/>
    <w:rsid w:val="2EA76A51"/>
    <w:rsid w:val="2FF135E1"/>
    <w:rsid w:val="30D96DCC"/>
    <w:rsid w:val="344C37B4"/>
    <w:rsid w:val="35E80815"/>
    <w:rsid w:val="384192DA"/>
    <w:rsid w:val="393DBEA7"/>
    <w:rsid w:val="3B1CE7C1"/>
    <w:rsid w:val="3C12CA4D"/>
    <w:rsid w:val="3CC2702C"/>
    <w:rsid w:val="3F4E2097"/>
    <w:rsid w:val="3F93C68E"/>
    <w:rsid w:val="4230A769"/>
    <w:rsid w:val="43FEF7DE"/>
    <w:rsid w:val="45532919"/>
    <w:rsid w:val="45E75426"/>
    <w:rsid w:val="462DCA24"/>
    <w:rsid w:val="488DBF33"/>
    <w:rsid w:val="491CA444"/>
    <w:rsid w:val="4AD45CF0"/>
    <w:rsid w:val="4D613056"/>
    <w:rsid w:val="507FD910"/>
    <w:rsid w:val="546A2B92"/>
    <w:rsid w:val="5851C748"/>
    <w:rsid w:val="594294A3"/>
    <w:rsid w:val="59BB6DC3"/>
    <w:rsid w:val="59F46E13"/>
    <w:rsid w:val="5D177AB3"/>
    <w:rsid w:val="5E654E4E"/>
    <w:rsid w:val="5EAF4E51"/>
    <w:rsid w:val="5FBD21D3"/>
    <w:rsid w:val="61CC3741"/>
    <w:rsid w:val="61F709FA"/>
    <w:rsid w:val="62E197DA"/>
    <w:rsid w:val="663BFB9E"/>
    <w:rsid w:val="6A6E1BBD"/>
    <w:rsid w:val="6BF0C3C1"/>
    <w:rsid w:val="6DD3C951"/>
    <w:rsid w:val="6E83C445"/>
    <w:rsid w:val="709AB578"/>
    <w:rsid w:val="71BB6507"/>
    <w:rsid w:val="73225B46"/>
    <w:rsid w:val="73FBD5A6"/>
    <w:rsid w:val="75767DA1"/>
    <w:rsid w:val="77DEF930"/>
    <w:rsid w:val="7ABA39DF"/>
    <w:rsid w:val="7E80BFB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330CC"/>
  <w15:docId w15:val="{FCF14BC2-7258-4120-935A-411EF92A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060"/>
    <w:pPr>
      <w:spacing w:after="0" w:line="360" w:lineRule="auto"/>
    </w:pPr>
    <w:rPr>
      <w:rFonts w:eastAsia="Times New Roman" w:cs="Times New Roman"/>
      <w:szCs w:val="20"/>
      <w:lang w:val="en-US"/>
    </w:rPr>
  </w:style>
  <w:style w:type="paragraph" w:styleId="Heading1">
    <w:name w:val="heading 1"/>
    <w:basedOn w:val="Normal"/>
    <w:next w:val="Normal"/>
    <w:link w:val="Heading1Char"/>
    <w:uiPriority w:val="9"/>
    <w:qFormat/>
    <w:rsid w:val="00905796"/>
    <w:pPr>
      <w:keepNext/>
      <w:keepLines/>
      <w:spacing w:before="240"/>
      <w:outlineLvl w:val="0"/>
    </w:pPr>
    <w:rPr>
      <w:rFonts w:eastAsiaTheme="majorEastAsia" w:cstheme="minorHAnsi"/>
      <w:b/>
      <w:color w:val="365F91" w:themeColor="accent1" w:themeShade="BF"/>
      <w:sz w:val="32"/>
      <w:szCs w:val="32"/>
    </w:rPr>
  </w:style>
  <w:style w:type="paragraph" w:styleId="Heading2">
    <w:name w:val="heading 2"/>
    <w:basedOn w:val="Normal"/>
    <w:next w:val="Normal"/>
    <w:link w:val="Heading2Char"/>
    <w:uiPriority w:val="9"/>
    <w:unhideWhenUsed/>
    <w:qFormat/>
    <w:rsid w:val="00905796"/>
    <w:pPr>
      <w:keepNext/>
      <w:keepLines/>
      <w:autoSpaceDE w:val="0"/>
      <w:autoSpaceDN w:val="0"/>
      <w:adjustRightInd w:val="0"/>
      <w:spacing w:before="240" w:line="201" w:lineRule="atLeast"/>
      <w:outlineLvl w:val="1"/>
    </w:pPr>
    <w:rPr>
      <w:rFonts w:eastAsiaTheme="majorEastAsia" w:cstheme="minorHAnsi"/>
      <w:b/>
      <w:i/>
      <w:color w:val="365F91" w:themeColor="accent1" w:themeShade="BF"/>
      <w:sz w:val="26"/>
      <w:szCs w:val="26"/>
      <w:lang w:val="en-GB"/>
    </w:rPr>
  </w:style>
  <w:style w:type="paragraph" w:styleId="Heading3">
    <w:name w:val="heading 3"/>
    <w:basedOn w:val="Normal"/>
    <w:next w:val="Normal"/>
    <w:link w:val="Heading3Char"/>
    <w:uiPriority w:val="9"/>
    <w:unhideWhenUsed/>
    <w:qFormat/>
    <w:rsid w:val="00A34060"/>
    <w:pPr>
      <w:keepNext/>
      <w:keepLines/>
      <w:spacing w:before="40"/>
      <w:outlineLvl w:val="2"/>
    </w:pPr>
    <w:rPr>
      <w:rFonts w:eastAsiaTheme="majorEastAsia"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A4AF9"/>
    <w:rPr>
      <w:color w:val="0000FF" w:themeColor="hyperlink"/>
      <w:u w:val="single"/>
    </w:rPr>
  </w:style>
  <w:style w:type="paragraph" w:styleId="BalloonText">
    <w:name w:val="Balloon Text"/>
    <w:basedOn w:val="Normal"/>
    <w:link w:val="BalloonTextChar"/>
    <w:uiPriority w:val="99"/>
    <w:semiHidden/>
    <w:unhideWhenUsed/>
    <w:rsid w:val="002A4AF9"/>
    <w:rPr>
      <w:rFonts w:ascii="Tahoma" w:hAnsi="Tahoma" w:cs="Tahoma"/>
      <w:sz w:val="16"/>
      <w:szCs w:val="16"/>
    </w:rPr>
  </w:style>
  <w:style w:type="character" w:customStyle="1" w:styleId="BalloonTextChar">
    <w:name w:val="Balloon Text Char"/>
    <w:basedOn w:val="DefaultParagraphFont"/>
    <w:link w:val="BalloonText"/>
    <w:uiPriority w:val="99"/>
    <w:semiHidden/>
    <w:rsid w:val="002A4AF9"/>
    <w:rPr>
      <w:rFonts w:ascii="Tahoma" w:eastAsia="Times New Roman" w:hAnsi="Tahoma" w:cs="Tahoma"/>
      <w:sz w:val="16"/>
      <w:szCs w:val="16"/>
      <w:lang w:val="en-US"/>
    </w:rPr>
  </w:style>
  <w:style w:type="paragraph" w:styleId="ListParagraph">
    <w:name w:val="List Paragraph"/>
    <w:basedOn w:val="Normal"/>
    <w:uiPriority w:val="34"/>
    <w:qFormat/>
    <w:rsid w:val="002A4AF9"/>
    <w:pPr>
      <w:ind w:left="720"/>
      <w:contextualSpacing/>
    </w:pPr>
  </w:style>
  <w:style w:type="character" w:styleId="CommentReference">
    <w:name w:val="annotation reference"/>
    <w:basedOn w:val="DefaultParagraphFont"/>
    <w:uiPriority w:val="99"/>
    <w:semiHidden/>
    <w:unhideWhenUsed/>
    <w:rsid w:val="00E816B4"/>
    <w:rPr>
      <w:sz w:val="16"/>
      <w:szCs w:val="16"/>
    </w:rPr>
  </w:style>
  <w:style w:type="paragraph" w:styleId="CommentText">
    <w:name w:val="annotation text"/>
    <w:basedOn w:val="Normal"/>
    <w:link w:val="CommentTextChar"/>
    <w:uiPriority w:val="99"/>
    <w:unhideWhenUsed/>
    <w:rsid w:val="00E816B4"/>
    <w:rPr>
      <w:sz w:val="20"/>
    </w:rPr>
  </w:style>
  <w:style w:type="character" w:customStyle="1" w:styleId="CommentTextChar">
    <w:name w:val="Comment Text Char"/>
    <w:basedOn w:val="DefaultParagraphFont"/>
    <w:link w:val="CommentText"/>
    <w:uiPriority w:val="99"/>
    <w:rsid w:val="00E816B4"/>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E816B4"/>
    <w:rPr>
      <w:b/>
      <w:bCs/>
    </w:rPr>
  </w:style>
  <w:style w:type="character" w:customStyle="1" w:styleId="CommentSubjectChar">
    <w:name w:val="Comment Subject Char"/>
    <w:basedOn w:val="CommentTextChar"/>
    <w:link w:val="CommentSubject"/>
    <w:uiPriority w:val="99"/>
    <w:semiHidden/>
    <w:rsid w:val="00E816B4"/>
    <w:rPr>
      <w:rFonts w:ascii="Times New Roman" w:eastAsia="Times New Roman" w:hAnsi="Times New Roman" w:cs="Times New Roman"/>
      <w:b/>
      <w:bCs/>
      <w:sz w:val="20"/>
      <w:szCs w:val="20"/>
      <w:lang w:val="en-US"/>
    </w:rPr>
  </w:style>
  <w:style w:type="paragraph" w:styleId="FootnoteText">
    <w:name w:val="footnote text"/>
    <w:basedOn w:val="Normal"/>
    <w:link w:val="FootnoteTextChar"/>
    <w:unhideWhenUsed/>
    <w:rsid w:val="00D54289"/>
    <w:rPr>
      <w:sz w:val="20"/>
    </w:rPr>
  </w:style>
  <w:style w:type="character" w:customStyle="1" w:styleId="FootnoteTextChar">
    <w:name w:val="Footnote Text Char"/>
    <w:basedOn w:val="DefaultParagraphFont"/>
    <w:link w:val="FootnoteText"/>
    <w:rsid w:val="00D54289"/>
    <w:rPr>
      <w:rFonts w:ascii="Times New Roman" w:eastAsia="Times New Roman" w:hAnsi="Times New Roman" w:cs="Times New Roman"/>
      <w:sz w:val="20"/>
      <w:szCs w:val="20"/>
      <w:lang w:val="en-US"/>
    </w:rPr>
  </w:style>
  <w:style w:type="character" w:styleId="FootnoteReference">
    <w:name w:val="footnote reference"/>
    <w:basedOn w:val="DefaultParagraphFont"/>
    <w:unhideWhenUsed/>
    <w:rsid w:val="00D54289"/>
    <w:rPr>
      <w:vertAlign w:val="superscript"/>
    </w:rPr>
  </w:style>
  <w:style w:type="character" w:customStyle="1" w:styleId="Heading2Char">
    <w:name w:val="Heading 2 Char"/>
    <w:basedOn w:val="DefaultParagraphFont"/>
    <w:link w:val="Heading2"/>
    <w:uiPriority w:val="9"/>
    <w:rsid w:val="00905796"/>
    <w:rPr>
      <w:rFonts w:eastAsiaTheme="majorEastAsia" w:cstheme="minorHAnsi"/>
      <w:b/>
      <w:i/>
      <w:color w:val="365F91" w:themeColor="accent1" w:themeShade="BF"/>
      <w:sz w:val="26"/>
      <w:szCs w:val="26"/>
    </w:rPr>
  </w:style>
  <w:style w:type="paragraph" w:styleId="BodyText">
    <w:name w:val="Body Text"/>
    <w:basedOn w:val="Normal"/>
    <w:link w:val="BodyTextChar"/>
    <w:uiPriority w:val="99"/>
    <w:unhideWhenUsed/>
    <w:rsid w:val="00925E02"/>
    <w:pPr>
      <w:autoSpaceDE w:val="0"/>
      <w:autoSpaceDN w:val="0"/>
      <w:adjustRightInd w:val="0"/>
      <w:spacing w:before="100" w:after="120" w:line="201" w:lineRule="atLeast"/>
    </w:pPr>
    <w:rPr>
      <w:rFonts w:eastAsia="SimSun" w:cstheme="minorHAnsi"/>
      <w:szCs w:val="22"/>
      <w:lang w:val="en-GB"/>
    </w:rPr>
  </w:style>
  <w:style w:type="character" w:customStyle="1" w:styleId="BodyTextChar">
    <w:name w:val="Body Text Char"/>
    <w:basedOn w:val="DefaultParagraphFont"/>
    <w:link w:val="BodyText"/>
    <w:uiPriority w:val="99"/>
    <w:rsid w:val="00925E02"/>
    <w:rPr>
      <w:rFonts w:eastAsia="SimSun" w:cstheme="minorHAnsi"/>
    </w:rPr>
  </w:style>
  <w:style w:type="character" w:customStyle="1" w:styleId="Heading1Char">
    <w:name w:val="Heading 1 Char"/>
    <w:basedOn w:val="DefaultParagraphFont"/>
    <w:link w:val="Heading1"/>
    <w:uiPriority w:val="9"/>
    <w:rsid w:val="00905796"/>
    <w:rPr>
      <w:rFonts w:eastAsiaTheme="majorEastAsia" w:cstheme="minorHAnsi"/>
      <w:b/>
      <w:color w:val="365F91" w:themeColor="accent1" w:themeShade="BF"/>
      <w:sz w:val="32"/>
      <w:szCs w:val="32"/>
      <w:lang w:val="en-US"/>
    </w:rPr>
  </w:style>
  <w:style w:type="paragraph" w:styleId="Title">
    <w:name w:val="Title"/>
    <w:basedOn w:val="Normal"/>
    <w:next w:val="Normal"/>
    <w:link w:val="TitleChar"/>
    <w:uiPriority w:val="10"/>
    <w:qFormat/>
    <w:rsid w:val="00144DF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DFC"/>
    <w:rPr>
      <w:rFonts w:asciiTheme="majorHAnsi" w:eastAsiaTheme="majorEastAsia" w:hAnsiTheme="majorHAnsi" w:cstheme="majorBidi"/>
      <w:spacing w:val="-10"/>
      <w:kern w:val="28"/>
      <w:sz w:val="56"/>
      <w:szCs w:val="56"/>
      <w:lang w:val="en-US"/>
    </w:rPr>
  </w:style>
  <w:style w:type="character" w:styleId="Strong">
    <w:name w:val="Strong"/>
    <w:basedOn w:val="DefaultParagraphFont"/>
    <w:uiPriority w:val="22"/>
    <w:qFormat/>
    <w:rsid w:val="00144DFC"/>
    <w:rPr>
      <w:b/>
      <w:bCs/>
    </w:rPr>
  </w:style>
  <w:style w:type="character" w:styleId="IntenseEmphasis">
    <w:name w:val="Intense Emphasis"/>
    <w:basedOn w:val="DefaultParagraphFont"/>
    <w:uiPriority w:val="21"/>
    <w:qFormat/>
    <w:rsid w:val="005F3095"/>
    <w:rPr>
      <w:i/>
      <w:iCs/>
      <w:color w:val="4F81BD" w:themeColor="accent1"/>
    </w:rPr>
  </w:style>
  <w:style w:type="paragraph" w:styleId="Header">
    <w:name w:val="header"/>
    <w:basedOn w:val="Normal"/>
    <w:link w:val="HeaderChar"/>
    <w:uiPriority w:val="99"/>
    <w:unhideWhenUsed/>
    <w:rsid w:val="00AC35EE"/>
    <w:pPr>
      <w:tabs>
        <w:tab w:val="center" w:pos="4680"/>
        <w:tab w:val="right" w:pos="9360"/>
      </w:tabs>
    </w:pPr>
  </w:style>
  <w:style w:type="character" w:customStyle="1" w:styleId="HeaderChar">
    <w:name w:val="Header Char"/>
    <w:basedOn w:val="DefaultParagraphFont"/>
    <w:link w:val="Header"/>
    <w:uiPriority w:val="99"/>
    <w:rsid w:val="00AC35EE"/>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AC35EE"/>
    <w:pPr>
      <w:tabs>
        <w:tab w:val="center" w:pos="4680"/>
        <w:tab w:val="right" w:pos="9360"/>
      </w:tabs>
    </w:pPr>
  </w:style>
  <w:style w:type="character" w:customStyle="1" w:styleId="FooterChar">
    <w:name w:val="Footer Char"/>
    <w:basedOn w:val="DefaultParagraphFont"/>
    <w:link w:val="Footer"/>
    <w:uiPriority w:val="99"/>
    <w:rsid w:val="00AC35EE"/>
    <w:rPr>
      <w:rFonts w:ascii="Times New Roman" w:eastAsia="Times New Roman" w:hAnsi="Times New Roman" w:cs="Times New Roman"/>
      <w:sz w:val="24"/>
      <w:szCs w:val="20"/>
      <w:lang w:val="en-US"/>
    </w:rPr>
  </w:style>
  <w:style w:type="paragraph" w:styleId="TOCHeading">
    <w:name w:val="TOC Heading"/>
    <w:basedOn w:val="Heading1"/>
    <w:next w:val="Normal"/>
    <w:uiPriority w:val="39"/>
    <w:unhideWhenUsed/>
    <w:qFormat/>
    <w:rsid w:val="006222E9"/>
    <w:pPr>
      <w:spacing w:line="259" w:lineRule="auto"/>
      <w:outlineLvl w:val="9"/>
    </w:pPr>
    <w:rPr>
      <w:lang w:eastAsia="en-US"/>
    </w:rPr>
  </w:style>
  <w:style w:type="paragraph" w:styleId="TOC1">
    <w:name w:val="toc 1"/>
    <w:basedOn w:val="Normal"/>
    <w:next w:val="Normal"/>
    <w:autoRedefine/>
    <w:uiPriority w:val="39"/>
    <w:unhideWhenUsed/>
    <w:rsid w:val="006222E9"/>
    <w:pPr>
      <w:spacing w:after="100"/>
    </w:pPr>
  </w:style>
  <w:style w:type="paragraph" w:styleId="TOC2">
    <w:name w:val="toc 2"/>
    <w:basedOn w:val="Normal"/>
    <w:next w:val="Normal"/>
    <w:autoRedefine/>
    <w:uiPriority w:val="39"/>
    <w:unhideWhenUsed/>
    <w:rsid w:val="006222E9"/>
    <w:pPr>
      <w:spacing w:after="100"/>
      <w:ind w:left="240"/>
    </w:pPr>
  </w:style>
  <w:style w:type="table" w:styleId="LightGrid">
    <w:name w:val="Light Grid"/>
    <w:basedOn w:val="TableNormal"/>
    <w:uiPriority w:val="62"/>
    <w:semiHidden/>
    <w:unhideWhenUsed/>
    <w:rsid w:val="00725F98"/>
    <w:pPr>
      <w:spacing w:after="0" w:line="240" w:lineRule="auto"/>
    </w:p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laceholderText">
    <w:name w:val="Placeholder Text"/>
    <w:basedOn w:val="DefaultParagraphFont"/>
    <w:uiPriority w:val="99"/>
    <w:semiHidden/>
    <w:rsid w:val="00D01A96"/>
    <w:rPr>
      <w:color w:val="808080"/>
    </w:rPr>
  </w:style>
  <w:style w:type="character" w:customStyle="1" w:styleId="Heading3Char">
    <w:name w:val="Heading 3 Char"/>
    <w:basedOn w:val="DefaultParagraphFont"/>
    <w:link w:val="Heading3"/>
    <w:uiPriority w:val="9"/>
    <w:rsid w:val="00A34060"/>
    <w:rPr>
      <w:rFonts w:eastAsiaTheme="majorEastAsia" w:cstheme="majorBidi"/>
      <w:color w:val="243F60" w:themeColor="accent1" w:themeShade="7F"/>
      <w:szCs w:val="24"/>
      <w:lang w:val="en-US"/>
    </w:rPr>
  </w:style>
  <w:style w:type="paragraph" w:styleId="TOC3">
    <w:name w:val="toc 3"/>
    <w:basedOn w:val="Normal"/>
    <w:next w:val="Normal"/>
    <w:autoRedefine/>
    <w:uiPriority w:val="39"/>
    <w:unhideWhenUsed/>
    <w:rsid w:val="00864F79"/>
    <w:pPr>
      <w:tabs>
        <w:tab w:val="right" w:leader="dot" w:pos="9736"/>
      </w:tabs>
      <w:spacing w:after="100"/>
      <w:ind w:left="480"/>
    </w:pPr>
  </w:style>
  <w:style w:type="table" w:styleId="PlainTable2">
    <w:name w:val="Plain Table 2"/>
    <w:basedOn w:val="TableNormal"/>
    <w:uiPriority w:val="42"/>
    <w:rsid w:val="000A725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EndnoteReference">
    <w:name w:val="endnote reference"/>
    <w:basedOn w:val="DefaultParagraphFont"/>
    <w:uiPriority w:val="99"/>
    <w:semiHidden/>
    <w:unhideWhenUsed/>
    <w:rsid w:val="00197A04"/>
    <w:rPr>
      <w:vertAlign w:val="superscript"/>
    </w:rPr>
  </w:style>
  <w:style w:type="paragraph" w:styleId="NormalWeb">
    <w:name w:val="Normal (Web)"/>
    <w:basedOn w:val="Normal"/>
    <w:uiPriority w:val="99"/>
    <w:semiHidden/>
    <w:unhideWhenUsed/>
    <w:rsid w:val="002F2302"/>
    <w:pPr>
      <w:spacing w:before="100" w:beforeAutospacing="1" w:after="100" w:afterAutospacing="1" w:line="240" w:lineRule="auto"/>
    </w:pPr>
    <w:rPr>
      <w:rFonts w:ascii="Times New Roman" w:hAnsi="Times New Roman"/>
      <w:sz w:val="24"/>
      <w:szCs w:val="24"/>
      <w:lang w:eastAsia="en-US"/>
    </w:rPr>
  </w:style>
  <w:style w:type="paragraph" w:styleId="Revision">
    <w:name w:val="Revision"/>
    <w:hidden/>
    <w:uiPriority w:val="99"/>
    <w:semiHidden/>
    <w:rsid w:val="001127E7"/>
    <w:pPr>
      <w:spacing w:after="0" w:line="240" w:lineRule="auto"/>
    </w:pPr>
    <w:rPr>
      <w:rFonts w:eastAsia="Times New Roman" w:cs="Times New Roman"/>
      <w:szCs w:val="20"/>
      <w:lang w:val="en-US"/>
    </w:rPr>
  </w:style>
  <w:style w:type="character" w:customStyle="1" w:styleId="cf01">
    <w:name w:val="cf01"/>
    <w:basedOn w:val="DefaultParagraphFont"/>
    <w:rsid w:val="00D6224B"/>
    <w:rPr>
      <w:rFonts w:ascii="Segoe UI" w:hAnsi="Segoe UI" w:cs="Segoe UI" w:hint="default"/>
      <w:sz w:val="18"/>
      <w:szCs w:val="18"/>
    </w:rPr>
  </w:style>
  <w:style w:type="character" w:styleId="UnresolvedMention">
    <w:name w:val="Unresolved Mention"/>
    <w:basedOn w:val="DefaultParagraphFont"/>
    <w:uiPriority w:val="99"/>
    <w:semiHidden/>
    <w:unhideWhenUsed/>
    <w:rsid w:val="009150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917992">
      <w:bodyDiv w:val="1"/>
      <w:marLeft w:val="0"/>
      <w:marRight w:val="0"/>
      <w:marTop w:val="0"/>
      <w:marBottom w:val="0"/>
      <w:divBdr>
        <w:top w:val="none" w:sz="0" w:space="0" w:color="auto"/>
        <w:left w:val="none" w:sz="0" w:space="0" w:color="auto"/>
        <w:bottom w:val="none" w:sz="0" w:space="0" w:color="auto"/>
        <w:right w:val="none" w:sz="0" w:space="0" w:color="auto"/>
      </w:divBdr>
    </w:div>
    <w:div w:id="512844687">
      <w:bodyDiv w:val="1"/>
      <w:marLeft w:val="0"/>
      <w:marRight w:val="0"/>
      <w:marTop w:val="0"/>
      <w:marBottom w:val="0"/>
      <w:divBdr>
        <w:top w:val="none" w:sz="0" w:space="0" w:color="auto"/>
        <w:left w:val="none" w:sz="0" w:space="0" w:color="auto"/>
        <w:bottom w:val="none" w:sz="0" w:space="0" w:color="auto"/>
        <w:right w:val="none" w:sz="0" w:space="0" w:color="auto"/>
      </w:divBdr>
    </w:div>
    <w:div w:id="610284445">
      <w:bodyDiv w:val="1"/>
      <w:marLeft w:val="0"/>
      <w:marRight w:val="0"/>
      <w:marTop w:val="0"/>
      <w:marBottom w:val="0"/>
      <w:divBdr>
        <w:top w:val="none" w:sz="0" w:space="0" w:color="auto"/>
        <w:left w:val="none" w:sz="0" w:space="0" w:color="auto"/>
        <w:bottom w:val="none" w:sz="0" w:space="0" w:color="auto"/>
        <w:right w:val="none" w:sz="0" w:space="0" w:color="auto"/>
      </w:divBdr>
      <w:divsChild>
        <w:div w:id="82772906">
          <w:marLeft w:val="0"/>
          <w:marRight w:val="0"/>
          <w:marTop w:val="0"/>
          <w:marBottom w:val="0"/>
          <w:divBdr>
            <w:top w:val="none" w:sz="0" w:space="0" w:color="auto"/>
            <w:left w:val="none" w:sz="0" w:space="0" w:color="auto"/>
            <w:bottom w:val="none" w:sz="0" w:space="0" w:color="auto"/>
            <w:right w:val="none" w:sz="0" w:space="0" w:color="auto"/>
          </w:divBdr>
        </w:div>
        <w:div w:id="193856871">
          <w:marLeft w:val="0"/>
          <w:marRight w:val="0"/>
          <w:marTop w:val="0"/>
          <w:marBottom w:val="0"/>
          <w:divBdr>
            <w:top w:val="none" w:sz="0" w:space="0" w:color="auto"/>
            <w:left w:val="none" w:sz="0" w:space="0" w:color="auto"/>
            <w:bottom w:val="none" w:sz="0" w:space="0" w:color="auto"/>
            <w:right w:val="none" w:sz="0" w:space="0" w:color="auto"/>
          </w:divBdr>
        </w:div>
        <w:div w:id="251623366">
          <w:marLeft w:val="0"/>
          <w:marRight w:val="0"/>
          <w:marTop w:val="0"/>
          <w:marBottom w:val="0"/>
          <w:divBdr>
            <w:top w:val="none" w:sz="0" w:space="0" w:color="auto"/>
            <w:left w:val="none" w:sz="0" w:space="0" w:color="auto"/>
            <w:bottom w:val="none" w:sz="0" w:space="0" w:color="auto"/>
            <w:right w:val="none" w:sz="0" w:space="0" w:color="auto"/>
          </w:divBdr>
        </w:div>
        <w:div w:id="281618231">
          <w:marLeft w:val="0"/>
          <w:marRight w:val="0"/>
          <w:marTop w:val="0"/>
          <w:marBottom w:val="0"/>
          <w:divBdr>
            <w:top w:val="none" w:sz="0" w:space="0" w:color="auto"/>
            <w:left w:val="none" w:sz="0" w:space="0" w:color="auto"/>
            <w:bottom w:val="none" w:sz="0" w:space="0" w:color="auto"/>
            <w:right w:val="none" w:sz="0" w:space="0" w:color="auto"/>
          </w:divBdr>
        </w:div>
        <w:div w:id="376319662">
          <w:marLeft w:val="0"/>
          <w:marRight w:val="0"/>
          <w:marTop w:val="0"/>
          <w:marBottom w:val="0"/>
          <w:divBdr>
            <w:top w:val="none" w:sz="0" w:space="0" w:color="auto"/>
            <w:left w:val="none" w:sz="0" w:space="0" w:color="auto"/>
            <w:bottom w:val="none" w:sz="0" w:space="0" w:color="auto"/>
            <w:right w:val="none" w:sz="0" w:space="0" w:color="auto"/>
          </w:divBdr>
        </w:div>
        <w:div w:id="653946197">
          <w:marLeft w:val="0"/>
          <w:marRight w:val="0"/>
          <w:marTop w:val="0"/>
          <w:marBottom w:val="0"/>
          <w:divBdr>
            <w:top w:val="none" w:sz="0" w:space="0" w:color="auto"/>
            <w:left w:val="none" w:sz="0" w:space="0" w:color="auto"/>
            <w:bottom w:val="none" w:sz="0" w:space="0" w:color="auto"/>
            <w:right w:val="none" w:sz="0" w:space="0" w:color="auto"/>
          </w:divBdr>
        </w:div>
        <w:div w:id="685208959">
          <w:marLeft w:val="0"/>
          <w:marRight w:val="0"/>
          <w:marTop w:val="0"/>
          <w:marBottom w:val="0"/>
          <w:divBdr>
            <w:top w:val="none" w:sz="0" w:space="0" w:color="auto"/>
            <w:left w:val="none" w:sz="0" w:space="0" w:color="auto"/>
            <w:bottom w:val="none" w:sz="0" w:space="0" w:color="auto"/>
            <w:right w:val="none" w:sz="0" w:space="0" w:color="auto"/>
          </w:divBdr>
        </w:div>
        <w:div w:id="770590893">
          <w:marLeft w:val="0"/>
          <w:marRight w:val="0"/>
          <w:marTop w:val="0"/>
          <w:marBottom w:val="0"/>
          <w:divBdr>
            <w:top w:val="none" w:sz="0" w:space="0" w:color="auto"/>
            <w:left w:val="none" w:sz="0" w:space="0" w:color="auto"/>
            <w:bottom w:val="none" w:sz="0" w:space="0" w:color="auto"/>
            <w:right w:val="none" w:sz="0" w:space="0" w:color="auto"/>
          </w:divBdr>
        </w:div>
        <w:div w:id="864174879">
          <w:marLeft w:val="0"/>
          <w:marRight w:val="0"/>
          <w:marTop w:val="0"/>
          <w:marBottom w:val="0"/>
          <w:divBdr>
            <w:top w:val="none" w:sz="0" w:space="0" w:color="auto"/>
            <w:left w:val="none" w:sz="0" w:space="0" w:color="auto"/>
            <w:bottom w:val="none" w:sz="0" w:space="0" w:color="auto"/>
            <w:right w:val="none" w:sz="0" w:space="0" w:color="auto"/>
          </w:divBdr>
        </w:div>
        <w:div w:id="1000281376">
          <w:marLeft w:val="0"/>
          <w:marRight w:val="0"/>
          <w:marTop w:val="0"/>
          <w:marBottom w:val="0"/>
          <w:divBdr>
            <w:top w:val="none" w:sz="0" w:space="0" w:color="auto"/>
            <w:left w:val="none" w:sz="0" w:space="0" w:color="auto"/>
            <w:bottom w:val="none" w:sz="0" w:space="0" w:color="auto"/>
            <w:right w:val="none" w:sz="0" w:space="0" w:color="auto"/>
          </w:divBdr>
        </w:div>
        <w:div w:id="1165315355">
          <w:marLeft w:val="0"/>
          <w:marRight w:val="0"/>
          <w:marTop w:val="0"/>
          <w:marBottom w:val="0"/>
          <w:divBdr>
            <w:top w:val="none" w:sz="0" w:space="0" w:color="auto"/>
            <w:left w:val="none" w:sz="0" w:space="0" w:color="auto"/>
            <w:bottom w:val="none" w:sz="0" w:space="0" w:color="auto"/>
            <w:right w:val="none" w:sz="0" w:space="0" w:color="auto"/>
          </w:divBdr>
        </w:div>
        <w:div w:id="1439370778">
          <w:marLeft w:val="0"/>
          <w:marRight w:val="0"/>
          <w:marTop w:val="0"/>
          <w:marBottom w:val="0"/>
          <w:divBdr>
            <w:top w:val="none" w:sz="0" w:space="0" w:color="auto"/>
            <w:left w:val="none" w:sz="0" w:space="0" w:color="auto"/>
            <w:bottom w:val="none" w:sz="0" w:space="0" w:color="auto"/>
            <w:right w:val="none" w:sz="0" w:space="0" w:color="auto"/>
          </w:divBdr>
        </w:div>
        <w:div w:id="1613244315">
          <w:marLeft w:val="0"/>
          <w:marRight w:val="0"/>
          <w:marTop w:val="0"/>
          <w:marBottom w:val="0"/>
          <w:divBdr>
            <w:top w:val="none" w:sz="0" w:space="0" w:color="auto"/>
            <w:left w:val="none" w:sz="0" w:space="0" w:color="auto"/>
            <w:bottom w:val="none" w:sz="0" w:space="0" w:color="auto"/>
            <w:right w:val="none" w:sz="0" w:space="0" w:color="auto"/>
          </w:divBdr>
        </w:div>
        <w:div w:id="1750275128">
          <w:marLeft w:val="0"/>
          <w:marRight w:val="0"/>
          <w:marTop w:val="0"/>
          <w:marBottom w:val="0"/>
          <w:divBdr>
            <w:top w:val="none" w:sz="0" w:space="0" w:color="auto"/>
            <w:left w:val="none" w:sz="0" w:space="0" w:color="auto"/>
            <w:bottom w:val="none" w:sz="0" w:space="0" w:color="auto"/>
            <w:right w:val="none" w:sz="0" w:space="0" w:color="auto"/>
          </w:divBdr>
        </w:div>
        <w:div w:id="1785071434">
          <w:marLeft w:val="0"/>
          <w:marRight w:val="0"/>
          <w:marTop w:val="0"/>
          <w:marBottom w:val="0"/>
          <w:divBdr>
            <w:top w:val="none" w:sz="0" w:space="0" w:color="auto"/>
            <w:left w:val="none" w:sz="0" w:space="0" w:color="auto"/>
            <w:bottom w:val="none" w:sz="0" w:space="0" w:color="auto"/>
            <w:right w:val="none" w:sz="0" w:space="0" w:color="auto"/>
          </w:divBdr>
        </w:div>
        <w:div w:id="1825849728">
          <w:marLeft w:val="0"/>
          <w:marRight w:val="0"/>
          <w:marTop w:val="0"/>
          <w:marBottom w:val="0"/>
          <w:divBdr>
            <w:top w:val="none" w:sz="0" w:space="0" w:color="auto"/>
            <w:left w:val="none" w:sz="0" w:space="0" w:color="auto"/>
            <w:bottom w:val="none" w:sz="0" w:space="0" w:color="auto"/>
            <w:right w:val="none" w:sz="0" w:space="0" w:color="auto"/>
          </w:divBdr>
        </w:div>
        <w:div w:id="2139372334">
          <w:marLeft w:val="0"/>
          <w:marRight w:val="0"/>
          <w:marTop w:val="0"/>
          <w:marBottom w:val="0"/>
          <w:divBdr>
            <w:top w:val="none" w:sz="0" w:space="0" w:color="auto"/>
            <w:left w:val="none" w:sz="0" w:space="0" w:color="auto"/>
            <w:bottom w:val="none" w:sz="0" w:space="0" w:color="auto"/>
            <w:right w:val="none" w:sz="0" w:space="0" w:color="auto"/>
          </w:divBdr>
        </w:div>
      </w:divsChild>
    </w:div>
    <w:div w:id="737941589">
      <w:bodyDiv w:val="1"/>
      <w:marLeft w:val="0"/>
      <w:marRight w:val="0"/>
      <w:marTop w:val="0"/>
      <w:marBottom w:val="0"/>
      <w:divBdr>
        <w:top w:val="none" w:sz="0" w:space="0" w:color="auto"/>
        <w:left w:val="none" w:sz="0" w:space="0" w:color="auto"/>
        <w:bottom w:val="none" w:sz="0" w:space="0" w:color="auto"/>
        <w:right w:val="none" w:sz="0" w:space="0" w:color="auto"/>
      </w:divBdr>
    </w:div>
    <w:div w:id="773865833">
      <w:bodyDiv w:val="1"/>
      <w:marLeft w:val="0"/>
      <w:marRight w:val="0"/>
      <w:marTop w:val="0"/>
      <w:marBottom w:val="0"/>
      <w:divBdr>
        <w:top w:val="none" w:sz="0" w:space="0" w:color="auto"/>
        <w:left w:val="none" w:sz="0" w:space="0" w:color="auto"/>
        <w:bottom w:val="none" w:sz="0" w:space="0" w:color="auto"/>
        <w:right w:val="none" w:sz="0" w:space="0" w:color="auto"/>
      </w:divBdr>
    </w:div>
    <w:div w:id="804853335">
      <w:bodyDiv w:val="1"/>
      <w:marLeft w:val="0"/>
      <w:marRight w:val="0"/>
      <w:marTop w:val="0"/>
      <w:marBottom w:val="0"/>
      <w:divBdr>
        <w:top w:val="none" w:sz="0" w:space="0" w:color="auto"/>
        <w:left w:val="none" w:sz="0" w:space="0" w:color="auto"/>
        <w:bottom w:val="none" w:sz="0" w:space="0" w:color="auto"/>
        <w:right w:val="none" w:sz="0" w:space="0" w:color="auto"/>
      </w:divBdr>
    </w:div>
    <w:div w:id="894898607">
      <w:bodyDiv w:val="1"/>
      <w:marLeft w:val="0"/>
      <w:marRight w:val="0"/>
      <w:marTop w:val="0"/>
      <w:marBottom w:val="0"/>
      <w:divBdr>
        <w:top w:val="none" w:sz="0" w:space="0" w:color="auto"/>
        <w:left w:val="none" w:sz="0" w:space="0" w:color="auto"/>
        <w:bottom w:val="none" w:sz="0" w:space="0" w:color="auto"/>
        <w:right w:val="none" w:sz="0" w:space="0" w:color="auto"/>
      </w:divBdr>
    </w:div>
    <w:div w:id="898907258">
      <w:bodyDiv w:val="1"/>
      <w:marLeft w:val="0"/>
      <w:marRight w:val="0"/>
      <w:marTop w:val="0"/>
      <w:marBottom w:val="0"/>
      <w:divBdr>
        <w:top w:val="none" w:sz="0" w:space="0" w:color="auto"/>
        <w:left w:val="none" w:sz="0" w:space="0" w:color="auto"/>
        <w:bottom w:val="none" w:sz="0" w:space="0" w:color="auto"/>
        <w:right w:val="none" w:sz="0" w:space="0" w:color="auto"/>
      </w:divBdr>
    </w:div>
    <w:div w:id="1051344590">
      <w:bodyDiv w:val="1"/>
      <w:marLeft w:val="0"/>
      <w:marRight w:val="0"/>
      <w:marTop w:val="0"/>
      <w:marBottom w:val="0"/>
      <w:divBdr>
        <w:top w:val="none" w:sz="0" w:space="0" w:color="auto"/>
        <w:left w:val="none" w:sz="0" w:space="0" w:color="auto"/>
        <w:bottom w:val="none" w:sz="0" w:space="0" w:color="auto"/>
        <w:right w:val="none" w:sz="0" w:space="0" w:color="auto"/>
      </w:divBdr>
    </w:div>
    <w:div w:id="1100839007">
      <w:bodyDiv w:val="1"/>
      <w:marLeft w:val="0"/>
      <w:marRight w:val="0"/>
      <w:marTop w:val="0"/>
      <w:marBottom w:val="0"/>
      <w:divBdr>
        <w:top w:val="none" w:sz="0" w:space="0" w:color="auto"/>
        <w:left w:val="none" w:sz="0" w:space="0" w:color="auto"/>
        <w:bottom w:val="none" w:sz="0" w:space="0" w:color="auto"/>
        <w:right w:val="none" w:sz="0" w:space="0" w:color="auto"/>
      </w:divBdr>
    </w:div>
    <w:div w:id="1207722662">
      <w:bodyDiv w:val="1"/>
      <w:marLeft w:val="0"/>
      <w:marRight w:val="0"/>
      <w:marTop w:val="0"/>
      <w:marBottom w:val="0"/>
      <w:divBdr>
        <w:top w:val="none" w:sz="0" w:space="0" w:color="auto"/>
        <w:left w:val="none" w:sz="0" w:space="0" w:color="auto"/>
        <w:bottom w:val="none" w:sz="0" w:space="0" w:color="auto"/>
        <w:right w:val="none" w:sz="0" w:space="0" w:color="auto"/>
      </w:divBdr>
    </w:div>
    <w:div w:id="1229460823">
      <w:bodyDiv w:val="1"/>
      <w:marLeft w:val="0"/>
      <w:marRight w:val="0"/>
      <w:marTop w:val="0"/>
      <w:marBottom w:val="0"/>
      <w:divBdr>
        <w:top w:val="none" w:sz="0" w:space="0" w:color="auto"/>
        <w:left w:val="none" w:sz="0" w:space="0" w:color="auto"/>
        <w:bottom w:val="none" w:sz="0" w:space="0" w:color="auto"/>
        <w:right w:val="none" w:sz="0" w:space="0" w:color="auto"/>
      </w:divBdr>
    </w:div>
    <w:div w:id="1322192841">
      <w:bodyDiv w:val="1"/>
      <w:marLeft w:val="0"/>
      <w:marRight w:val="0"/>
      <w:marTop w:val="0"/>
      <w:marBottom w:val="0"/>
      <w:divBdr>
        <w:top w:val="none" w:sz="0" w:space="0" w:color="auto"/>
        <w:left w:val="none" w:sz="0" w:space="0" w:color="auto"/>
        <w:bottom w:val="none" w:sz="0" w:space="0" w:color="auto"/>
        <w:right w:val="none" w:sz="0" w:space="0" w:color="auto"/>
      </w:divBdr>
    </w:div>
    <w:div w:id="1339848817">
      <w:bodyDiv w:val="1"/>
      <w:marLeft w:val="0"/>
      <w:marRight w:val="0"/>
      <w:marTop w:val="0"/>
      <w:marBottom w:val="0"/>
      <w:divBdr>
        <w:top w:val="none" w:sz="0" w:space="0" w:color="auto"/>
        <w:left w:val="none" w:sz="0" w:space="0" w:color="auto"/>
        <w:bottom w:val="none" w:sz="0" w:space="0" w:color="auto"/>
        <w:right w:val="none" w:sz="0" w:space="0" w:color="auto"/>
      </w:divBdr>
    </w:div>
    <w:div w:id="1514757280">
      <w:bodyDiv w:val="1"/>
      <w:marLeft w:val="0"/>
      <w:marRight w:val="0"/>
      <w:marTop w:val="0"/>
      <w:marBottom w:val="0"/>
      <w:divBdr>
        <w:top w:val="none" w:sz="0" w:space="0" w:color="auto"/>
        <w:left w:val="none" w:sz="0" w:space="0" w:color="auto"/>
        <w:bottom w:val="none" w:sz="0" w:space="0" w:color="auto"/>
        <w:right w:val="none" w:sz="0" w:space="0" w:color="auto"/>
      </w:divBdr>
    </w:div>
    <w:div w:id="1628848977">
      <w:bodyDiv w:val="1"/>
      <w:marLeft w:val="0"/>
      <w:marRight w:val="0"/>
      <w:marTop w:val="0"/>
      <w:marBottom w:val="0"/>
      <w:divBdr>
        <w:top w:val="none" w:sz="0" w:space="0" w:color="auto"/>
        <w:left w:val="none" w:sz="0" w:space="0" w:color="auto"/>
        <w:bottom w:val="none" w:sz="0" w:space="0" w:color="auto"/>
        <w:right w:val="none" w:sz="0" w:space="0" w:color="auto"/>
      </w:divBdr>
    </w:div>
    <w:div w:id="1640958821">
      <w:bodyDiv w:val="1"/>
      <w:marLeft w:val="0"/>
      <w:marRight w:val="0"/>
      <w:marTop w:val="0"/>
      <w:marBottom w:val="0"/>
      <w:divBdr>
        <w:top w:val="none" w:sz="0" w:space="0" w:color="auto"/>
        <w:left w:val="none" w:sz="0" w:space="0" w:color="auto"/>
        <w:bottom w:val="none" w:sz="0" w:space="0" w:color="auto"/>
        <w:right w:val="none" w:sz="0" w:space="0" w:color="auto"/>
      </w:divBdr>
    </w:div>
    <w:div w:id="1732651708">
      <w:bodyDiv w:val="1"/>
      <w:marLeft w:val="0"/>
      <w:marRight w:val="0"/>
      <w:marTop w:val="0"/>
      <w:marBottom w:val="0"/>
      <w:divBdr>
        <w:top w:val="none" w:sz="0" w:space="0" w:color="auto"/>
        <w:left w:val="none" w:sz="0" w:space="0" w:color="auto"/>
        <w:bottom w:val="none" w:sz="0" w:space="0" w:color="auto"/>
        <w:right w:val="none" w:sz="0" w:space="0" w:color="auto"/>
      </w:divBdr>
    </w:div>
    <w:div w:id="1781414589">
      <w:bodyDiv w:val="1"/>
      <w:marLeft w:val="0"/>
      <w:marRight w:val="0"/>
      <w:marTop w:val="0"/>
      <w:marBottom w:val="0"/>
      <w:divBdr>
        <w:top w:val="none" w:sz="0" w:space="0" w:color="auto"/>
        <w:left w:val="none" w:sz="0" w:space="0" w:color="auto"/>
        <w:bottom w:val="none" w:sz="0" w:space="0" w:color="auto"/>
        <w:right w:val="none" w:sz="0" w:space="0" w:color="auto"/>
      </w:divBdr>
    </w:div>
    <w:div w:id="2057702343">
      <w:bodyDiv w:val="1"/>
      <w:marLeft w:val="0"/>
      <w:marRight w:val="0"/>
      <w:marTop w:val="0"/>
      <w:marBottom w:val="0"/>
      <w:divBdr>
        <w:top w:val="none" w:sz="0" w:space="0" w:color="auto"/>
        <w:left w:val="none" w:sz="0" w:space="0" w:color="auto"/>
        <w:bottom w:val="none" w:sz="0" w:space="0" w:color="auto"/>
        <w:right w:val="none" w:sz="0" w:space="0" w:color="auto"/>
      </w:divBdr>
    </w:div>
    <w:div w:id="213728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6.png"/><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84A4C8916452745AAD91177667FB02F" ma:contentTypeVersion="13" ma:contentTypeDescription="Create a new document." ma:contentTypeScope="" ma:versionID="1db9b0ce8a09a17057b9da59904681ec">
  <xsd:schema xmlns:xsd="http://www.w3.org/2001/XMLSchema" xmlns:xs="http://www.w3.org/2001/XMLSchema" xmlns:p="http://schemas.microsoft.com/office/2006/metadata/properties" xmlns:ns3="ef9bea4a-d054-4e58-a0c2-c6c4503e8e98" xmlns:ns4="c9966233-d46a-4f38-ae21-9eb5e1285037" targetNamespace="http://schemas.microsoft.com/office/2006/metadata/properties" ma:root="true" ma:fieldsID="2443125ee7fa5364967c226ae0a91d25" ns3:_="" ns4:_="">
    <xsd:import namespace="ef9bea4a-d054-4e58-a0c2-c6c4503e8e98"/>
    <xsd:import namespace="c9966233-d46a-4f38-ae21-9eb5e128503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9bea4a-d054-4e58-a0c2-c6c4503e8e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966233-d46a-4f38-ae21-9eb5e128503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65A01D747EF63B4EBEA6B4C529C1A1F9" ma:contentTypeVersion="4" ma:contentTypeDescription="Create a new document." ma:contentTypeScope="" ma:versionID="696ab7da65190a1fa134b18fc4a59428">
  <xsd:schema xmlns:xsd="http://www.w3.org/2001/XMLSchema" xmlns:xs="http://www.w3.org/2001/XMLSchema" xmlns:p="http://schemas.microsoft.com/office/2006/metadata/properties" xmlns:ns2="3d15f2c6-0d78-458b-9299-a7f9ccd2657a" targetNamespace="http://schemas.microsoft.com/office/2006/metadata/properties" ma:root="true" ma:fieldsID="79864b2613cec35c7e6f9afd3e9ac601" ns2:_="">
    <xsd:import namespace="3d15f2c6-0d78-458b-9299-a7f9ccd2657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5f2c6-0d78-458b-9299-a7f9ccd265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9188A3-747A-4FD3-A4ED-9731C9D47584}">
  <ds:schemaRefs>
    <ds:schemaRef ds:uri="http://schemas.openxmlformats.org/officeDocument/2006/bibliography"/>
  </ds:schemaRefs>
</ds:datastoreItem>
</file>

<file path=customXml/itemProps2.xml><?xml version="1.0" encoding="utf-8"?>
<ds:datastoreItem xmlns:ds="http://schemas.openxmlformats.org/officeDocument/2006/customXml" ds:itemID="{CC8E8B7F-BA5B-44DC-8ACA-A19100502CD5}">
  <ds:schemaRefs>
    <ds:schemaRef ds:uri="http://schemas.microsoft.com/sharepoint/v3/contenttype/forms"/>
  </ds:schemaRefs>
</ds:datastoreItem>
</file>

<file path=customXml/itemProps3.xml><?xml version="1.0" encoding="utf-8"?>
<ds:datastoreItem xmlns:ds="http://schemas.openxmlformats.org/officeDocument/2006/customXml" ds:itemID="{E45378E9-64FD-48E4-AD41-9CC00DD80EA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8BD8E7-052C-4483-BADE-7A48C95451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9bea4a-d054-4e58-a0c2-c6c4503e8e98"/>
    <ds:schemaRef ds:uri="c9966233-d46a-4f38-ae21-9eb5e12850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91892D6-0EDA-4794-AD50-48DACEA20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5f2c6-0d78-458b-9299-a7f9ccd265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26618</Words>
  <Characters>151725</Characters>
  <Application>Microsoft Office Word</Application>
  <DocSecurity>0</DocSecurity>
  <Lines>1264</Lines>
  <Paragraphs>355</Paragraphs>
  <ScaleCrop>false</ScaleCrop>
  <Company>World Health Organization</Company>
  <LinksUpToDate>false</LinksUpToDate>
  <CharactersWithSpaces>177988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ROGERS, Lisa</dc:creator>
  <cp:keywords/>
  <cp:lastModifiedBy>Ty Beal</cp:lastModifiedBy>
  <cp:revision>4</cp:revision>
  <cp:lastPrinted>2021-11-17T20:59:00Z</cp:lastPrinted>
  <dcterms:created xsi:type="dcterms:W3CDTF">2022-02-06T02:56:00Z</dcterms:created>
  <dcterms:modified xsi:type="dcterms:W3CDTF">2022-02-07T15:06:00Z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0x01010065A01D747EF63B4EBEA6B4C529C1A1F9</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 6th edition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8th edition</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Document_1">
    <vt:lpwstr>True</vt:lpwstr>
  </property>
  <property fmtid="{D5CDD505-2E9C-101B-9397-08002B2CF9AE}" pid="25" name="Mendeley Unique User Id_1">
    <vt:lpwstr>07025676-c451-393a-9498-aac8c95a4a39</vt:lpwstr>
  </property>
  <property fmtid="{D5CDD505-2E9C-101B-9397-08002B2CF9AE}" pid="26" name="Mendeley Citation Style_1">
    <vt:lpwstr>http://www.zotero.org/styles/vancouver</vt:lpwstr>
  </property>
  <property fmtid="{D5CDD505-2E9C-101B-9397-08002B2CF9AE}" pid="27" name="MSIP_Label_7b94a7b8-f06c-4dfe-bdcc-9b548fd58c31_Enabled">
    <vt:lpwstr>true</vt:lpwstr>
  </property>
  <property fmtid="{D5CDD505-2E9C-101B-9397-08002B2CF9AE}" pid="28" name="MSIP_Label_7b94a7b8-f06c-4dfe-bdcc-9b548fd58c31_SetDate">
    <vt:lpwstr>2022-02-04T20:00:51Z</vt:lpwstr>
  </property>
  <property fmtid="{D5CDD505-2E9C-101B-9397-08002B2CF9AE}" pid="29" name="MSIP_Label_7b94a7b8-f06c-4dfe-bdcc-9b548fd58c31_Method">
    <vt:lpwstr>Privileged</vt:lpwstr>
  </property>
  <property fmtid="{D5CDD505-2E9C-101B-9397-08002B2CF9AE}" pid="30" name="MSIP_Label_7b94a7b8-f06c-4dfe-bdcc-9b548fd58c31_Name">
    <vt:lpwstr>7b94a7b8-f06c-4dfe-bdcc-9b548fd58c31</vt:lpwstr>
  </property>
  <property fmtid="{D5CDD505-2E9C-101B-9397-08002B2CF9AE}" pid="31" name="MSIP_Label_7b94a7b8-f06c-4dfe-bdcc-9b548fd58c31_SiteId">
    <vt:lpwstr>9ce70869-60db-44fd-abe8-d2767077fc8f</vt:lpwstr>
  </property>
  <property fmtid="{D5CDD505-2E9C-101B-9397-08002B2CF9AE}" pid="32" name="MSIP_Label_7b94a7b8-f06c-4dfe-bdcc-9b548fd58c31_ActionId">
    <vt:lpwstr>2dad78f5-0aa6-4d34-b598-ea2011ff0c61</vt:lpwstr>
  </property>
  <property fmtid="{D5CDD505-2E9C-101B-9397-08002B2CF9AE}" pid="33" name="MSIP_Label_7b94a7b8-f06c-4dfe-bdcc-9b548fd58c31_ContentBits">
    <vt:lpwstr>0</vt:lpwstr>
  </property>
</Properties>
</file>