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8A5F49" w14:textId="1C1EBC2A" w:rsidR="00EF409A" w:rsidRDefault="00D84291" w:rsidP="007C5820">
      <w:pPr>
        <w:contextualSpacing w:val="0"/>
        <w:jc w:val="center"/>
        <w:rPr>
          <w:b/>
          <w:sz w:val="20"/>
          <w:szCs w:val="20"/>
        </w:rPr>
      </w:pPr>
      <w:bookmarkStart w:id="0" w:name="_GoBack"/>
      <w:bookmarkEnd w:id="0"/>
      <w:r w:rsidRPr="00A01994">
        <w:rPr>
          <w:b/>
          <w:sz w:val="20"/>
          <w:szCs w:val="20"/>
        </w:rPr>
        <w:t>Can fisheries management reform and sustainable aquaculture development meet projected food and nutrition requirements under climate change?</w:t>
      </w:r>
    </w:p>
    <w:p w14:paraId="4F765586" w14:textId="77777777" w:rsidR="00EF409A" w:rsidRDefault="00211080" w:rsidP="007C5820">
      <w:pPr>
        <w:contextualSpacing w:val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Scope of Work and Budget</w:t>
      </w:r>
    </w:p>
    <w:p w14:paraId="09BBE600" w14:textId="158AC0AE" w:rsidR="00EF409A" w:rsidRDefault="00211080" w:rsidP="007C5820">
      <w:pPr>
        <w:contextualSpacing w:val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The </w:t>
      </w:r>
      <w:r w:rsidR="00372C20">
        <w:rPr>
          <w:b/>
          <w:sz w:val="20"/>
          <w:szCs w:val="20"/>
        </w:rPr>
        <w:t>Environmental Market Solutions Lab</w:t>
      </w:r>
      <w:r>
        <w:rPr>
          <w:b/>
          <w:sz w:val="20"/>
          <w:szCs w:val="20"/>
        </w:rPr>
        <w:t xml:space="preserve"> &amp; The Environmental Defense Fund</w:t>
      </w:r>
    </w:p>
    <w:p w14:paraId="08734C32" w14:textId="77777777" w:rsidR="00EF409A" w:rsidRDefault="00EF409A" w:rsidP="007C5820">
      <w:pPr>
        <w:contextualSpacing w:val="0"/>
        <w:jc w:val="center"/>
        <w:rPr>
          <w:b/>
          <w:sz w:val="20"/>
          <w:szCs w:val="20"/>
        </w:rPr>
      </w:pPr>
    </w:p>
    <w:p w14:paraId="4A3EC480" w14:textId="77777777" w:rsidR="00EF409A" w:rsidRDefault="00211080" w:rsidP="007C5820">
      <w:pPr>
        <w:contextualSpacing w:val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Exhibit A</w:t>
      </w:r>
    </w:p>
    <w:p w14:paraId="65052E07" w14:textId="77777777" w:rsidR="00EF409A" w:rsidRDefault="00211080" w:rsidP="007C5820">
      <w:pPr>
        <w:contextualSpacing w:val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Scope of Work</w:t>
      </w:r>
    </w:p>
    <w:p w14:paraId="12C39FFB" w14:textId="77777777" w:rsidR="00EF409A" w:rsidRDefault="00EF409A" w:rsidP="007C5820">
      <w:pPr>
        <w:contextualSpacing w:val="0"/>
        <w:jc w:val="center"/>
        <w:rPr>
          <w:b/>
          <w:sz w:val="20"/>
          <w:szCs w:val="20"/>
        </w:rPr>
      </w:pPr>
    </w:p>
    <w:p w14:paraId="75DD2710" w14:textId="77777777" w:rsidR="00EF409A" w:rsidRDefault="00211080" w:rsidP="007C5820">
      <w:pPr>
        <w:contextualSpacing w:val="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Project Overview</w:t>
      </w:r>
    </w:p>
    <w:p w14:paraId="0ED554F9" w14:textId="77777777" w:rsidR="001954F1" w:rsidRDefault="007F0F22" w:rsidP="007C5820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Climate change is already reshaping our oceans and the thousands of fisheries they support. </w:t>
      </w:r>
      <w:r w:rsidR="006325AA">
        <w:rPr>
          <w:sz w:val="20"/>
          <w:szCs w:val="20"/>
        </w:rPr>
        <w:t>In 2018, the</w:t>
      </w:r>
      <w:r w:rsidR="00130E16">
        <w:rPr>
          <w:sz w:val="20"/>
          <w:szCs w:val="20"/>
        </w:rPr>
        <w:t xml:space="preserve"> Environmental Market Solutions Lab (emLab) at UC Santa Barbara </w:t>
      </w:r>
      <w:r w:rsidR="006325AA">
        <w:rPr>
          <w:sz w:val="20"/>
          <w:szCs w:val="20"/>
        </w:rPr>
        <w:t xml:space="preserve">published a </w:t>
      </w:r>
      <w:hyperlink r:id="rId5" w:history="1">
        <w:r w:rsidR="006325AA" w:rsidRPr="006325AA">
          <w:rPr>
            <w:rStyle w:val="Hyperlink"/>
            <w:sz w:val="20"/>
            <w:szCs w:val="20"/>
          </w:rPr>
          <w:t>study</w:t>
        </w:r>
      </w:hyperlink>
      <w:r w:rsidR="006325AA">
        <w:rPr>
          <w:sz w:val="20"/>
          <w:szCs w:val="20"/>
        </w:rPr>
        <w:t xml:space="preserve"> that</w:t>
      </w:r>
      <w:r w:rsidR="00DC08C4">
        <w:rPr>
          <w:sz w:val="20"/>
          <w:szCs w:val="20"/>
        </w:rPr>
        <w:t xml:space="preserve"> provided </w:t>
      </w:r>
      <w:r w:rsidR="006325AA">
        <w:rPr>
          <w:sz w:val="20"/>
          <w:szCs w:val="20"/>
        </w:rPr>
        <w:t>novel</w:t>
      </w:r>
      <w:r w:rsidR="00DC08C4">
        <w:rPr>
          <w:sz w:val="20"/>
          <w:szCs w:val="20"/>
        </w:rPr>
        <w:t xml:space="preserve"> projections of </w:t>
      </w:r>
      <w:r>
        <w:rPr>
          <w:sz w:val="20"/>
          <w:szCs w:val="20"/>
        </w:rPr>
        <w:t>climate change</w:t>
      </w:r>
      <w:r w:rsidR="006325AA">
        <w:rPr>
          <w:sz w:val="20"/>
          <w:szCs w:val="20"/>
        </w:rPr>
        <w:t xml:space="preserve"> impacts on global</w:t>
      </w:r>
      <w:r w:rsidR="001954F1">
        <w:rPr>
          <w:sz w:val="20"/>
          <w:szCs w:val="20"/>
        </w:rPr>
        <w:t xml:space="preserve"> fisheries that focused on </w:t>
      </w:r>
      <w:r w:rsidR="006325AA">
        <w:rPr>
          <w:sz w:val="20"/>
          <w:szCs w:val="20"/>
        </w:rPr>
        <w:t>changes in</w:t>
      </w:r>
      <w:r>
        <w:rPr>
          <w:sz w:val="20"/>
          <w:szCs w:val="20"/>
        </w:rPr>
        <w:t xml:space="preserve"> productivity and</w:t>
      </w:r>
      <w:r w:rsidR="006325AA">
        <w:rPr>
          <w:sz w:val="20"/>
          <w:szCs w:val="20"/>
        </w:rPr>
        <w:t xml:space="preserve"> </w:t>
      </w:r>
      <w:r w:rsidR="001954F1">
        <w:rPr>
          <w:sz w:val="20"/>
          <w:szCs w:val="20"/>
        </w:rPr>
        <w:t xml:space="preserve">changes in </w:t>
      </w:r>
      <w:r w:rsidR="006325AA">
        <w:rPr>
          <w:sz w:val="20"/>
          <w:szCs w:val="20"/>
        </w:rPr>
        <w:t>species’ geographic</w:t>
      </w:r>
      <w:r>
        <w:rPr>
          <w:sz w:val="20"/>
          <w:szCs w:val="20"/>
        </w:rPr>
        <w:t xml:space="preserve"> </w:t>
      </w:r>
      <w:r w:rsidR="006325AA">
        <w:rPr>
          <w:sz w:val="20"/>
          <w:szCs w:val="20"/>
        </w:rPr>
        <w:t>ranges</w:t>
      </w:r>
      <w:r w:rsidR="00DC08C4">
        <w:rPr>
          <w:sz w:val="20"/>
          <w:szCs w:val="20"/>
        </w:rPr>
        <w:t xml:space="preserve">. </w:t>
      </w:r>
      <w:r w:rsidR="00415191">
        <w:rPr>
          <w:sz w:val="20"/>
          <w:szCs w:val="20"/>
        </w:rPr>
        <w:t>While the</w:t>
      </w:r>
      <w:r w:rsidR="006325AA">
        <w:rPr>
          <w:sz w:val="20"/>
          <w:szCs w:val="20"/>
        </w:rPr>
        <w:t xml:space="preserve"> results of this study significantly expanded our understanding of possible climate effects on fisheries, the model developed for this work can be paired with</w:t>
      </w:r>
      <w:r w:rsidR="00415191">
        <w:rPr>
          <w:sz w:val="20"/>
          <w:szCs w:val="20"/>
        </w:rPr>
        <w:t xml:space="preserve"> o</w:t>
      </w:r>
      <w:r w:rsidR="006325AA">
        <w:rPr>
          <w:sz w:val="20"/>
          <w:szCs w:val="20"/>
        </w:rPr>
        <w:t xml:space="preserve">ther data streams to answer </w:t>
      </w:r>
      <w:r w:rsidR="00415191">
        <w:rPr>
          <w:sz w:val="20"/>
          <w:szCs w:val="20"/>
        </w:rPr>
        <w:t>further</w:t>
      </w:r>
      <w:r w:rsidR="006325AA">
        <w:rPr>
          <w:sz w:val="20"/>
          <w:szCs w:val="20"/>
        </w:rPr>
        <w:t xml:space="preserve"> questions about the future of </w:t>
      </w:r>
      <w:r w:rsidR="00415191">
        <w:rPr>
          <w:sz w:val="20"/>
          <w:szCs w:val="20"/>
        </w:rPr>
        <w:t xml:space="preserve">global </w:t>
      </w:r>
      <w:r w:rsidR="006325AA">
        <w:rPr>
          <w:sz w:val="20"/>
          <w:szCs w:val="20"/>
        </w:rPr>
        <w:t xml:space="preserve">fisheries. For example, </w:t>
      </w:r>
      <w:r w:rsidR="00415191">
        <w:rPr>
          <w:sz w:val="20"/>
          <w:szCs w:val="20"/>
        </w:rPr>
        <w:t xml:space="preserve">we can use our model </w:t>
      </w:r>
      <w:r w:rsidR="006325AA">
        <w:rPr>
          <w:sz w:val="20"/>
          <w:szCs w:val="20"/>
        </w:rPr>
        <w:t xml:space="preserve">to explore the relationship between climate-driven fisheries changes </w:t>
      </w:r>
      <w:r w:rsidR="00415191">
        <w:rPr>
          <w:sz w:val="20"/>
          <w:szCs w:val="20"/>
        </w:rPr>
        <w:t xml:space="preserve">and </w:t>
      </w:r>
      <w:r w:rsidR="006325AA">
        <w:rPr>
          <w:sz w:val="20"/>
          <w:szCs w:val="20"/>
        </w:rPr>
        <w:t>nutrient availability</w:t>
      </w:r>
      <w:r w:rsidR="00415191">
        <w:rPr>
          <w:sz w:val="20"/>
          <w:szCs w:val="20"/>
        </w:rPr>
        <w:t xml:space="preserve">, and </w:t>
      </w:r>
      <w:r w:rsidR="001E6049">
        <w:rPr>
          <w:sz w:val="20"/>
          <w:szCs w:val="20"/>
        </w:rPr>
        <w:t>assess the potential for various</w:t>
      </w:r>
      <w:r w:rsidR="00415191">
        <w:rPr>
          <w:sz w:val="20"/>
          <w:szCs w:val="20"/>
        </w:rPr>
        <w:t xml:space="preserve"> policy and management </w:t>
      </w:r>
      <w:r w:rsidR="001E6049">
        <w:rPr>
          <w:sz w:val="20"/>
          <w:szCs w:val="20"/>
        </w:rPr>
        <w:t>solutions</w:t>
      </w:r>
      <w:r w:rsidR="00415191">
        <w:rPr>
          <w:sz w:val="20"/>
          <w:szCs w:val="20"/>
        </w:rPr>
        <w:t xml:space="preserve"> </w:t>
      </w:r>
      <w:r w:rsidR="001E6049">
        <w:rPr>
          <w:sz w:val="20"/>
          <w:szCs w:val="20"/>
        </w:rPr>
        <w:t>to</w:t>
      </w:r>
      <w:r w:rsidR="00415191">
        <w:rPr>
          <w:sz w:val="20"/>
          <w:szCs w:val="20"/>
        </w:rPr>
        <w:t xml:space="preserve"> increase countries’ nutrient endowment under climate change. </w:t>
      </w:r>
    </w:p>
    <w:p w14:paraId="3967AC76" w14:textId="77777777" w:rsidR="001954F1" w:rsidRDefault="001954F1" w:rsidP="007C5820">
      <w:pPr>
        <w:contextualSpacing w:val="0"/>
        <w:rPr>
          <w:sz w:val="20"/>
          <w:szCs w:val="20"/>
        </w:rPr>
      </w:pPr>
    </w:p>
    <w:p w14:paraId="5CCD9B46" w14:textId="144571D6" w:rsidR="00415191" w:rsidRDefault="00395D2A" w:rsidP="007C5820">
      <w:pPr>
        <w:contextualSpacing w:val="0"/>
        <w:rPr>
          <w:sz w:val="20"/>
          <w:szCs w:val="20"/>
        </w:rPr>
      </w:pPr>
      <w:r w:rsidRPr="00A01994">
        <w:rPr>
          <w:sz w:val="20"/>
          <w:szCs w:val="20"/>
        </w:rPr>
        <w:t xml:space="preserve">However, </w:t>
      </w:r>
      <w:r w:rsidR="005E5E38" w:rsidRPr="00A01994">
        <w:rPr>
          <w:sz w:val="20"/>
          <w:szCs w:val="20"/>
        </w:rPr>
        <w:t>in many tropical developing countries</w:t>
      </w:r>
      <w:r w:rsidRPr="00A01994">
        <w:rPr>
          <w:sz w:val="20"/>
          <w:szCs w:val="20"/>
        </w:rPr>
        <w:t xml:space="preserve">, even the best climate-adaptive fisheries reforms will be insufficient to maintain </w:t>
      </w:r>
      <w:r w:rsidR="009463BC" w:rsidRPr="00A01994">
        <w:rPr>
          <w:sz w:val="20"/>
          <w:szCs w:val="20"/>
        </w:rPr>
        <w:t xml:space="preserve">current </w:t>
      </w:r>
      <w:r w:rsidRPr="00A01994">
        <w:rPr>
          <w:sz w:val="20"/>
          <w:szCs w:val="20"/>
        </w:rPr>
        <w:t xml:space="preserve">catch and profits under climate change. In these countries, the development of sustainable marine aquaculture may be able to compensate for losses in capture fisheries. Although </w:t>
      </w:r>
      <w:r w:rsidR="006E0B4E" w:rsidRPr="00A01994">
        <w:rPr>
          <w:sz w:val="20"/>
          <w:szCs w:val="20"/>
        </w:rPr>
        <w:t>research</w:t>
      </w:r>
      <w:r w:rsidRPr="00A01994">
        <w:rPr>
          <w:sz w:val="20"/>
          <w:szCs w:val="20"/>
        </w:rPr>
        <w:t xml:space="preserve"> by emLab colleagues has mapped the global biological potential for marine aquaculture </w:t>
      </w:r>
      <w:r w:rsidR="006E0B4E" w:rsidRPr="00A01994">
        <w:rPr>
          <w:sz w:val="20"/>
          <w:szCs w:val="20"/>
        </w:rPr>
        <w:t xml:space="preserve">presently </w:t>
      </w:r>
      <w:r w:rsidRPr="00A01994">
        <w:rPr>
          <w:sz w:val="20"/>
          <w:szCs w:val="20"/>
        </w:rPr>
        <w:t xml:space="preserve">(Gentry et al. 2017) and under climate change (Froehlich et al. 2018), this work </w:t>
      </w:r>
      <w:r w:rsidR="00785037" w:rsidRPr="00A01994">
        <w:rPr>
          <w:sz w:val="20"/>
          <w:szCs w:val="20"/>
        </w:rPr>
        <w:t xml:space="preserve">did </w:t>
      </w:r>
      <w:r w:rsidRPr="00A01994">
        <w:rPr>
          <w:sz w:val="20"/>
          <w:szCs w:val="20"/>
        </w:rPr>
        <w:t>not account for the economic feasibility of such expansions or feed limitations in finfish aquaculture.</w:t>
      </w:r>
    </w:p>
    <w:p w14:paraId="38E624E4" w14:textId="77777777" w:rsidR="00415191" w:rsidRDefault="00415191" w:rsidP="007C5820">
      <w:pPr>
        <w:contextualSpacing w:val="0"/>
        <w:rPr>
          <w:sz w:val="20"/>
          <w:szCs w:val="20"/>
        </w:rPr>
      </w:pPr>
    </w:p>
    <w:p w14:paraId="5CE62742" w14:textId="3867B7F6" w:rsidR="00EF409A" w:rsidRDefault="00AE55BD" w:rsidP="007C5820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For the purpose of this project, we will conduct two related analyses </w:t>
      </w:r>
      <w:r w:rsidR="001E6049">
        <w:rPr>
          <w:sz w:val="20"/>
          <w:szCs w:val="20"/>
        </w:rPr>
        <w:t>that will (1) yield</w:t>
      </w:r>
      <w:r>
        <w:rPr>
          <w:sz w:val="20"/>
          <w:szCs w:val="20"/>
        </w:rPr>
        <w:t xml:space="preserve"> new insights </w:t>
      </w:r>
      <w:r w:rsidR="001E6049">
        <w:rPr>
          <w:sz w:val="20"/>
          <w:szCs w:val="20"/>
        </w:rPr>
        <w:t>on</w:t>
      </w:r>
      <w:r>
        <w:rPr>
          <w:sz w:val="20"/>
          <w:szCs w:val="20"/>
        </w:rPr>
        <w:t xml:space="preserve"> </w:t>
      </w:r>
      <w:r w:rsidR="001E6049">
        <w:rPr>
          <w:sz w:val="20"/>
          <w:szCs w:val="20"/>
        </w:rPr>
        <w:t xml:space="preserve">fisheries implications of </w:t>
      </w:r>
      <w:r>
        <w:rPr>
          <w:sz w:val="20"/>
          <w:szCs w:val="20"/>
        </w:rPr>
        <w:t xml:space="preserve">climate </w:t>
      </w:r>
      <w:r w:rsidR="001E6049">
        <w:rPr>
          <w:sz w:val="20"/>
          <w:szCs w:val="20"/>
        </w:rPr>
        <w:t>change</w:t>
      </w:r>
      <w:r>
        <w:rPr>
          <w:sz w:val="20"/>
          <w:szCs w:val="20"/>
        </w:rPr>
        <w:t>, and</w:t>
      </w:r>
      <w:r w:rsidR="001E6049">
        <w:rPr>
          <w:sz w:val="20"/>
          <w:szCs w:val="20"/>
        </w:rPr>
        <w:t xml:space="preserve"> (2) help us</w:t>
      </w:r>
      <w:r>
        <w:rPr>
          <w:sz w:val="20"/>
          <w:szCs w:val="20"/>
        </w:rPr>
        <w:t xml:space="preserve"> identify optimal management strategies </w:t>
      </w:r>
      <w:r w:rsidR="001E6049">
        <w:rPr>
          <w:sz w:val="20"/>
          <w:szCs w:val="20"/>
        </w:rPr>
        <w:t>for ensuring</w:t>
      </w:r>
      <w:r>
        <w:rPr>
          <w:sz w:val="20"/>
          <w:szCs w:val="20"/>
        </w:rPr>
        <w:t xml:space="preserve"> global fisheries deliver food security and economic benefits to communities around the world, particularly those </w:t>
      </w:r>
      <w:r w:rsidR="001E6049">
        <w:rPr>
          <w:sz w:val="20"/>
          <w:szCs w:val="20"/>
        </w:rPr>
        <w:t>that are the most</w:t>
      </w:r>
      <w:r>
        <w:rPr>
          <w:sz w:val="20"/>
          <w:szCs w:val="20"/>
        </w:rPr>
        <w:t xml:space="preserve"> vulnerable to climate change. </w:t>
      </w:r>
      <w:r w:rsidR="001E6049">
        <w:rPr>
          <w:sz w:val="20"/>
          <w:szCs w:val="20"/>
        </w:rPr>
        <w:t xml:space="preserve">Below is </w:t>
      </w:r>
      <w:r w:rsidR="00A01994">
        <w:rPr>
          <w:sz w:val="20"/>
          <w:szCs w:val="20"/>
        </w:rPr>
        <w:t>a description</w:t>
      </w:r>
      <w:r w:rsidR="001E6049">
        <w:rPr>
          <w:sz w:val="20"/>
          <w:szCs w:val="20"/>
        </w:rPr>
        <w:t xml:space="preserve"> of the two workstreams</w:t>
      </w:r>
      <w:r w:rsidR="00211080">
        <w:rPr>
          <w:sz w:val="20"/>
          <w:szCs w:val="20"/>
        </w:rPr>
        <w:t>:</w:t>
      </w:r>
      <w:r w:rsidR="001E6049">
        <w:rPr>
          <w:sz w:val="20"/>
          <w:szCs w:val="20"/>
        </w:rPr>
        <w:t xml:space="preserve"> </w:t>
      </w:r>
    </w:p>
    <w:p w14:paraId="047CF781" w14:textId="77777777" w:rsidR="00EF409A" w:rsidRDefault="00EF409A" w:rsidP="007C5820">
      <w:pPr>
        <w:contextualSpacing w:val="0"/>
        <w:rPr>
          <w:sz w:val="20"/>
          <w:szCs w:val="20"/>
        </w:rPr>
      </w:pPr>
    </w:p>
    <w:p w14:paraId="34C55321" w14:textId="02331870" w:rsidR="007B4829" w:rsidRPr="007B4829" w:rsidRDefault="005B0777" w:rsidP="007C5820">
      <w:pPr>
        <w:contextualSpacing w:val="0"/>
        <w:rPr>
          <w:i/>
          <w:sz w:val="20"/>
          <w:szCs w:val="20"/>
        </w:rPr>
      </w:pPr>
      <w:r w:rsidRPr="00AB7539">
        <w:rPr>
          <w:i/>
          <w:sz w:val="20"/>
          <w:szCs w:val="20"/>
        </w:rPr>
        <w:t>Workstream #</w:t>
      </w:r>
      <w:r w:rsidR="00211080" w:rsidRPr="00AB7539">
        <w:rPr>
          <w:i/>
          <w:sz w:val="20"/>
          <w:szCs w:val="20"/>
        </w:rPr>
        <w:t xml:space="preserve">1 - </w:t>
      </w:r>
      <w:r w:rsidR="007B4829" w:rsidRPr="00AB7539">
        <w:rPr>
          <w:i/>
          <w:sz w:val="20"/>
          <w:szCs w:val="20"/>
        </w:rPr>
        <w:t>Understanding</w:t>
      </w:r>
      <w:r w:rsidR="007B4829" w:rsidRPr="007B4829">
        <w:rPr>
          <w:rFonts w:eastAsia="Times New Roman"/>
          <w:i/>
          <w:iCs/>
          <w:color w:val="222222"/>
          <w:sz w:val="20"/>
          <w:szCs w:val="20"/>
          <w:shd w:val="clear" w:color="auto" w:fill="FFFFFF"/>
          <w:lang w:val="en-US"/>
        </w:rPr>
        <w:t xml:space="preserve"> the</w:t>
      </w:r>
      <w:r w:rsidR="00E97846">
        <w:rPr>
          <w:rFonts w:eastAsia="Times New Roman"/>
          <w:i/>
          <w:iCs/>
          <w:color w:val="222222"/>
          <w:sz w:val="20"/>
          <w:szCs w:val="20"/>
          <w:shd w:val="clear" w:color="auto" w:fill="FFFFFF"/>
          <w:lang w:val="en-US"/>
        </w:rPr>
        <w:t xml:space="preserve"> fisheries</w:t>
      </w:r>
      <w:r w:rsidR="007B4829" w:rsidRPr="007B4829">
        <w:rPr>
          <w:rFonts w:eastAsia="Times New Roman"/>
          <w:i/>
          <w:iCs/>
          <w:color w:val="222222"/>
          <w:sz w:val="20"/>
          <w:szCs w:val="20"/>
          <w:shd w:val="clear" w:color="auto" w:fill="FFFFFF"/>
          <w:lang w:val="en-US"/>
        </w:rPr>
        <w:t xml:space="preserve"> imp</w:t>
      </w:r>
      <w:r w:rsidR="00E97846">
        <w:rPr>
          <w:rFonts w:eastAsia="Times New Roman"/>
          <w:i/>
          <w:iCs/>
          <w:color w:val="222222"/>
          <w:sz w:val="20"/>
          <w:szCs w:val="20"/>
          <w:shd w:val="clear" w:color="auto" w:fill="FFFFFF"/>
          <w:lang w:val="en-US"/>
        </w:rPr>
        <w:t xml:space="preserve">lications of climate change </w:t>
      </w:r>
      <w:r w:rsidR="007B4829" w:rsidRPr="007B4829">
        <w:rPr>
          <w:rFonts w:eastAsia="Times New Roman"/>
          <w:i/>
          <w:iCs/>
          <w:color w:val="222222"/>
          <w:sz w:val="20"/>
          <w:szCs w:val="20"/>
          <w:shd w:val="clear" w:color="auto" w:fill="FFFFFF"/>
          <w:lang w:val="en-US"/>
        </w:rPr>
        <w:t>with respect to food and nutrition security</w:t>
      </w:r>
    </w:p>
    <w:p w14:paraId="1112E172" w14:textId="5C53FAC1" w:rsidR="007B4829" w:rsidRPr="007B4829" w:rsidRDefault="007B4829" w:rsidP="007C5820">
      <w:pPr>
        <w:numPr>
          <w:ilvl w:val="0"/>
          <w:numId w:val="5"/>
        </w:numPr>
        <w:shd w:val="clear" w:color="auto" w:fill="FFFFFF"/>
        <w:contextualSpacing w:val="0"/>
        <w:rPr>
          <w:rFonts w:eastAsia="Times New Roman"/>
          <w:color w:val="222222"/>
          <w:sz w:val="20"/>
          <w:szCs w:val="20"/>
          <w:lang w:val="en-US"/>
        </w:rPr>
      </w:pPr>
      <w:r w:rsidRPr="007B4829">
        <w:rPr>
          <w:rFonts w:eastAsia="Times New Roman"/>
          <w:color w:val="222222"/>
          <w:sz w:val="20"/>
          <w:szCs w:val="20"/>
          <w:lang w:val="en-US"/>
        </w:rPr>
        <w:t xml:space="preserve">Use </w:t>
      </w:r>
      <w:r w:rsidR="00CC46E6">
        <w:rPr>
          <w:rFonts w:eastAsia="Times New Roman"/>
          <w:color w:val="222222"/>
          <w:sz w:val="20"/>
          <w:szCs w:val="20"/>
          <w:lang w:val="en-US"/>
        </w:rPr>
        <w:t>emLab’s</w:t>
      </w:r>
      <w:r w:rsidRPr="007B4829">
        <w:rPr>
          <w:rFonts w:eastAsia="Times New Roman"/>
          <w:color w:val="222222"/>
          <w:sz w:val="20"/>
          <w:szCs w:val="20"/>
          <w:lang w:val="en-US"/>
        </w:rPr>
        <w:t xml:space="preserve"> </w:t>
      </w:r>
      <w:hyperlink r:id="rId6" w:history="1">
        <w:r w:rsidRPr="004C3F21">
          <w:rPr>
            <w:rStyle w:val="Hyperlink"/>
            <w:rFonts w:eastAsia="Times New Roman"/>
            <w:sz w:val="20"/>
            <w:szCs w:val="20"/>
            <w:lang w:val="en-US"/>
          </w:rPr>
          <w:t>global</w:t>
        </w:r>
        <w:r w:rsidR="00CC46E6" w:rsidRPr="004C3F21">
          <w:rPr>
            <w:rStyle w:val="Hyperlink"/>
            <w:rFonts w:eastAsia="Times New Roman"/>
            <w:sz w:val="20"/>
            <w:szCs w:val="20"/>
            <w:lang w:val="en-US"/>
          </w:rPr>
          <w:t xml:space="preserve"> climate </w:t>
        </w:r>
        <w:r w:rsidRPr="004C3F21">
          <w:rPr>
            <w:rStyle w:val="Hyperlink"/>
            <w:rFonts w:eastAsia="Times New Roman"/>
            <w:sz w:val="20"/>
            <w:szCs w:val="20"/>
            <w:lang w:val="en-US"/>
          </w:rPr>
          <w:t>model</w:t>
        </w:r>
      </w:hyperlink>
      <w:r w:rsidRPr="007B4829">
        <w:rPr>
          <w:rFonts w:eastAsia="Times New Roman"/>
          <w:color w:val="222222"/>
          <w:sz w:val="20"/>
          <w:szCs w:val="20"/>
          <w:lang w:val="en-US"/>
        </w:rPr>
        <w:t xml:space="preserve"> and available data on nutrition content</w:t>
      </w:r>
      <w:r w:rsidR="004C3F21">
        <w:rPr>
          <w:rFonts w:eastAsia="Times New Roman"/>
          <w:color w:val="222222"/>
          <w:sz w:val="20"/>
          <w:szCs w:val="20"/>
          <w:lang w:val="en-US"/>
        </w:rPr>
        <w:t xml:space="preserve"> of fisheries products from Dr. Chris Golden at Harvard University</w:t>
      </w:r>
      <w:r w:rsidRPr="007B4829">
        <w:rPr>
          <w:rFonts w:eastAsia="Times New Roman"/>
          <w:color w:val="222222"/>
          <w:sz w:val="20"/>
          <w:szCs w:val="20"/>
          <w:lang w:val="en-US"/>
        </w:rPr>
        <w:t xml:space="preserve"> to analyze </w:t>
      </w:r>
      <w:r w:rsidR="004C3F21">
        <w:rPr>
          <w:rFonts w:eastAsia="Times New Roman"/>
          <w:color w:val="222222"/>
          <w:sz w:val="20"/>
          <w:szCs w:val="20"/>
          <w:lang w:val="en-US"/>
        </w:rPr>
        <w:t>the effects of</w:t>
      </w:r>
      <w:r w:rsidRPr="007B4829">
        <w:rPr>
          <w:rFonts w:eastAsia="Times New Roman"/>
          <w:color w:val="222222"/>
          <w:sz w:val="20"/>
          <w:szCs w:val="20"/>
          <w:lang w:val="en-US"/>
        </w:rPr>
        <w:t xml:space="preserve"> climate change </w:t>
      </w:r>
      <w:r w:rsidR="004C3F21">
        <w:rPr>
          <w:rFonts w:eastAsia="Times New Roman"/>
          <w:color w:val="222222"/>
          <w:sz w:val="20"/>
          <w:szCs w:val="20"/>
          <w:lang w:val="en-US"/>
        </w:rPr>
        <w:t>on</w:t>
      </w:r>
      <w:r w:rsidRPr="007B4829">
        <w:rPr>
          <w:rFonts w:eastAsia="Times New Roman"/>
          <w:color w:val="222222"/>
          <w:sz w:val="20"/>
          <w:szCs w:val="20"/>
          <w:lang w:val="en-US"/>
        </w:rPr>
        <w:t xml:space="preserve"> nutrient endowments from the sea</w:t>
      </w:r>
      <w:r w:rsidR="004C3F21">
        <w:rPr>
          <w:rFonts w:eastAsia="Times New Roman"/>
          <w:color w:val="222222"/>
          <w:sz w:val="20"/>
          <w:szCs w:val="20"/>
          <w:lang w:val="en-US"/>
        </w:rPr>
        <w:t xml:space="preserve"> at the country-level</w:t>
      </w:r>
      <w:r w:rsidRPr="007B4829">
        <w:rPr>
          <w:rFonts w:eastAsia="Times New Roman"/>
          <w:color w:val="222222"/>
          <w:sz w:val="20"/>
          <w:szCs w:val="20"/>
          <w:lang w:val="en-US"/>
        </w:rPr>
        <w:t>.</w:t>
      </w:r>
    </w:p>
    <w:p w14:paraId="79085506" w14:textId="48F82AB2" w:rsidR="00402480" w:rsidRDefault="00E97846" w:rsidP="007C5820">
      <w:pPr>
        <w:numPr>
          <w:ilvl w:val="0"/>
          <w:numId w:val="5"/>
        </w:numPr>
        <w:shd w:val="clear" w:color="auto" w:fill="FFFFFF"/>
        <w:contextualSpacing w:val="0"/>
        <w:rPr>
          <w:rFonts w:eastAsia="Times New Roman"/>
          <w:color w:val="222222"/>
          <w:sz w:val="20"/>
          <w:szCs w:val="20"/>
          <w:lang w:val="en-US"/>
        </w:rPr>
      </w:pPr>
      <w:r>
        <w:rPr>
          <w:rFonts w:eastAsia="Times New Roman"/>
          <w:color w:val="222222"/>
          <w:sz w:val="20"/>
          <w:szCs w:val="20"/>
          <w:lang w:val="en-US"/>
        </w:rPr>
        <w:t>Based on our</w:t>
      </w:r>
      <w:r w:rsidR="007B4829" w:rsidRPr="007B4829">
        <w:rPr>
          <w:rFonts w:eastAsia="Times New Roman"/>
          <w:color w:val="222222"/>
          <w:sz w:val="20"/>
          <w:szCs w:val="20"/>
          <w:lang w:val="en-US"/>
        </w:rPr>
        <w:t xml:space="preserve"> result</w:t>
      </w:r>
      <w:r>
        <w:rPr>
          <w:rFonts w:eastAsia="Times New Roman"/>
          <w:color w:val="222222"/>
          <w:sz w:val="20"/>
          <w:szCs w:val="20"/>
          <w:lang w:val="en-US"/>
        </w:rPr>
        <w:t>s</w:t>
      </w:r>
      <w:r w:rsidR="007B4829" w:rsidRPr="007B4829">
        <w:rPr>
          <w:rFonts w:eastAsia="Times New Roman"/>
          <w:color w:val="222222"/>
          <w:sz w:val="20"/>
          <w:szCs w:val="20"/>
          <w:lang w:val="en-US"/>
        </w:rPr>
        <w:t xml:space="preserve">, consider how fisheries management could </w:t>
      </w:r>
      <w:r w:rsidR="00402480">
        <w:rPr>
          <w:rFonts w:eastAsia="Times New Roman"/>
          <w:color w:val="222222"/>
          <w:sz w:val="20"/>
          <w:szCs w:val="20"/>
          <w:lang w:val="en-US"/>
        </w:rPr>
        <w:t xml:space="preserve">improve nutrient availability and </w:t>
      </w:r>
      <w:r w:rsidR="007B4829" w:rsidRPr="007B4829">
        <w:rPr>
          <w:rFonts w:eastAsia="Times New Roman"/>
          <w:color w:val="222222"/>
          <w:sz w:val="20"/>
          <w:szCs w:val="20"/>
          <w:lang w:val="en-US"/>
        </w:rPr>
        <w:t xml:space="preserve">access to fishery products, particularly </w:t>
      </w:r>
      <w:r w:rsidR="00402480">
        <w:rPr>
          <w:rFonts w:eastAsia="Times New Roman"/>
          <w:color w:val="222222"/>
          <w:sz w:val="20"/>
          <w:szCs w:val="20"/>
          <w:lang w:val="en-US"/>
        </w:rPr>
        <w:t>in communities that are most vulnerable to climate change</w:t>
      </w:r>
      <w:r w:rsidR="007B4829" w:rsidRPr="007B4829">
        <w:rPr>
          <w:rFonts w:eastAsia="Times New Roman"/>
          <w:color w:val="222222"/>
          <w:sz w:val="20"/>
          <w:szCs w:val="20"/>
          <w:lang w:val="en-US"/>
        </w:rPr>
        <w:t xml:space="preserve">. </w:t>
      </w:r>
    </w:p>
    <w:p w14:paraId="1C5F9EB2" w14:textId="7FCEAD7F" w:rsidR="007B4829" w:rsidRPr="007B4829" w:rsidRDefault="00EF76AB" w:rsidP="007C5820">
      <w:pPr>
        <w:numPr>
          <w:ilvl w:val="0"/>
          <w:numId w:val="5"/>
        </w:numPr>
        <w:shd w:val="clear" w:color="auto" w:fill="FFFFFF"/>
        <w:contextualSpacing w:val="0"/>
        <w:rPr>
          <w:rFonts w:eastAsia="Times New Roman"/>
          <w:color w:val="222222"/>
          <w:sz w:val="20"/>
          <w:szCs w:val="20"/>
          <w:lang w:val="en-US"/>
        </w:rPr>
      </w:pPr>
      <w:r>
        <w:rPr>
          <w:rFonts w:eastAsia="Times New Roman"/>
          <w:color w:val="222222"/>
          <w:sz w:val="20"/>
          <w:szCs w:val="20"/>
          <w:lang w:val="en-US"/>
        </w:rPr>
        <w:t>In collaboration with</w:t>
      </w:r>
      <w:r w:rsidR="00552860">
        <w:rPr>
          <w:rFonts w:eastAsia="Times New Roman"/>
          <w:color w:val="222222"/>
          <w:sz w:val="20"/>
          <w:szCs w:val="20"/>
          <w:lang w:val="en-US"/>
        </w:rPr>
        <w:t xml:space="preserve"> EDF and </w:t>
      </w:r>
      <w:r>
        <w:rPr>
          <w:rFonts w:eastAsia="Times New Roman"/>
          <w:color w:val="222222"/>
          <w:sz w:val="20"/>
          <w:szCs w:val="20"/>
          <w:lang w:val="en-US"/>
        </w:rPr>
        <w:t xml:space="preserve">other partners, </w:t>
      </w:r>
      <w:r w:rsidR="00552860">
        <w:rPr>
          <w:rFonts w:eastAsia="Times New Roman"/>
          <w:color w:val="222222"/>
          <w:sz w:val="20"/>
          <w:szCs w:val="20"/>
          <w:lang w:val="en-US"/>
        </w:rPr>
        <w:t xml:space="preserve">explore </w:t>
      </w:r>
      <w:r w:rsidR="007B4829" w:rsidRPr="007B4829">
        <w:rPr>
          <w:rFonts w:eastAsia="Times New Roman"/>
          <w:color w:val="222222"/>
          <w:sz w:val="20"/>
          <w:szCs w:val="20"/>
          <w:lang w:val="en-US"/>
        </w:rPr>
        <w:t>possible policy implications of optimizing management for nutrition outcomes under climate change scenarios.</w:t>
      </w:r>
    </w:p>
    <w:p w14:paraId="2F3C4ED6" w14:textId="4175824E" w:rsidR="007C76F2" w:rsidRDefault="007C76F2" w:rsidP="007C76F2">
      <w:pPr>
        <w:rPr>
          <w:rFonts w:eastAsia="Times New Roman"/>
          <w:color w:val="222222"/>
          <w:sz w:val="20"/>
          <w:szCs w:val="20"/>
          <w:highlight w:val="yellow"/>
          <w:shd w:val="clear" w:color="auto" w:fill="FFFFFF"/>
          <w:lang w:val="en-US"/>
        </w:rPr>
      </w:pPr>
    </w:p>
    <w:p w14:paraId="5414B4D0" w14:textId="649186F6" w:rsidR="007C76F2" w:rsidRPr="00A01994" w:rsidRDefault="007C76F2" w:rsidP="007C76F2">
      <w:pPr>
        <w:rPr>
          <w:rFonts w:eastAsia="Times New Roman"/>
          <w:i/>
          <w:color w:val="222222"/>
          <w:sz w:val="20"/>
          <w:szCs w:val="20"/>
          <w:shd w:val="clear" w:color="auto" w:fill="FFFFFF"/>
          <w:lang w:val="en-US"/>
        </w:rPr>
      </w:pPr>
      <w:r w:rsidRPr="00A01994">
        <w:rPr>
          <w:rFonts w:eastAsia="Times New Roman"/>
          <w:i/>
          <w:color w:val="222222"/>
          <w:sz w:val="20"/>
          <w:szCs w:val="20"/>
          <w:shd w:val="clear" w:color="auto" w:fill="FFFFFF"/>
          <w:lang w:val="en-US"/>
        </w:rPr>
        <w:t>Workstream #2 - Understanding the potential for sustainable aquaculture development to fill gaps in national food and nutrition requirements under climate change, especially in the developing tropics</w:t>
      </w:r>
    </w:p>
    <w:p w14:paraId="3DF3893F" w14:textId="520A4BCD" w:rsidR="007C76F2" w:rsidRPr="00A01994" w:rsidRDefault="00EF76AB" w:rsidP="007C76F2">
      <w:pPr>
        <w:pStyle w:val="ListParagraph"/>
        <w:numPr>
          <w:ilvl w:val="0"/>
          <w:numId w:val="9"/>
        </w:numPr>
        <w:rPr>
          <w:rFonts w:eastAsia="Times New Roman"/>
          <w:i/>
          <w:color w:val="222222"/>
          <w:sz w:val="20"/>
          <w:szCs w:val="20"/>
          <w:shd w:val="clear" w:color="auto" w:fill="FFFFFF"/>
          <w:lang w:val="en-US"/>
        </w:rPr>
      </w:pPr>
      <w:r>
        <w:rPr>
          <w:rFonts w:eastAsia="Times New Roman"/>
          <w:color w:val="222222"/>
          <w:sz w:val="20"/>
          <w:szCs w:val="20"/>
          <w:shd w:val="clear" w:color="auto" w:fill="FFFFFF"/>
          <w:lang w:val="en-US"/>
        </w:rPr>
        <w:t>E</w:t>
      </w:r>
      <w:r w:rsidR="00551AC5" w:rsidRPr="00A01994">
        <w:rPr>
          <w:rFonts w:eastAsia="Times New Roman"/>
          <w:color w:val="222222"/>
          <w:sz w:val="20"/>
          <w:szCs w:val="20"/>
          <w:shd w:val="clear" w:color="auto" w:fill="FFFFFF"/>
          <w:lang w:val="en-US"/>
        </w:rPr>
        <w:t xml:space="preserve">stimate the current and future potential for sustainable marine aquaculture under climate change accounting for </w:t>
      </w:r>
      <w:r w:rsidR="0028551F" w:rsidRPr="00A01994">
        <w:rPr>
          <w:rFonts w:eastAsia="Times New Roman"/>
          <w:color w:val="222222"/>
          <w:sz w:val="20"/>
          <w:szCs w:val="20"/>
          <w:shd w:val="clear" w:color="auto" w:fill="FFFFFF"/>
          <w:lang w:val="en-US"/>
        </w:rPr>
        <w:t>economic feasibility and feed availability.</w:t>
      </w:r>
    </w:p>
    <w:p w14:paraId="6C7D5439" w14:textId="700AC924" w:rsidR="0028551F" w:rsidRPr="00A01994" w:rsidRDefault="00EF76AB" w:rsidP="0028551F">
      <w:pPr>
        <w:pStyle w:val="ListParagraph"/>
        <w:numPr>
          <w:ilvl w:val="1"/>
          <w:numId w:val="9"/>
        </w:numPr>
        <w:rPr>
          <w:rFonts w:eastAsia="Times New Roman"/>
          <w:i/>
          <w:color w:val="222222"/>
          <w:sz w:val="20"/>
          <w:szCs w:val="20"/>
          <w:shd w:val="clear" w:color="auto" w:fill="FFFFFF"/>
          <w:lang w:val="en-US"/>
        </w:rPr>
      </w:pPr>
      <w:r>
        <w:rPr>
          <w:rFonts w:eastAsia="Times New Roman"/>
          <w:color w:val="222222"/>
          <w:sz w:val="20"/>
          <w:szCs w:val="20"/>
          <w:shd w:val="clear" w:color="auto" w:fill="FFFFFF"/>
          <w:lang w:val="en-US"/>
        </w:rPr>
        <w:lastRenderedPageBreak/>
        <w:t>E</w:t>
      </w:r>
      <w:r w:rsidR="00B533F8" w:rsidRPr="00A01994">
        <w:rPr>
          <w:rFonts w:eastAsia="Times New Roman"/>
          <w:color w:val="222222"/>
          <w:sz w:val="20"/>
          <w:szCs w:val="20"/>
          <w:shd w:val="clear" w:color="auto" w:fill="FFFFFF"/>
          <w:lang w:val="en-US"/>
        </w:rPr>
        <w:t>stimate the biological potential for bivalve and finfish aquaculture species under climate change using the methods of Gentry et al. (2017) and Froehlich et al. (2018).</w:t>
      </w:r>
    </w:p>
    <w:p w14:paraId="3C249597" w14:textId="68D369D4" w:rsidR="00B533F8" w:rsidRPr="00A01994" w:rsidRDefault="00EF76AB" w:rsidP="0028551F">
      <w:pPr>
        <w:pStyle w:val="ListParagraph"/>
        <w:numPr>
          <w:ilvl w:val="1"/>
          <w:numId w:val="9"/>
        </w:numPr>
        <w:rPr>
          <w:rFonts w:eastAsia="Times New Roman"/>
          <w:i/>
          <w:color w:val="222222"/>
          <w:sz w:val="20"/>
          <w:szCs w:val="20"/>
          <w:shd w:val="clear" w:color="auto" w:fill="FFFFFF"/>
          <w:lang w:val="en-US"/>
        </w:rPr>
      </w:pPr>
      <w:r>
        <w:rPr>
          <w:rFonts w:eastAsia="Times New Roman"/>
          <w:color w:val="222222"/>
          <w:sz w:val="20"/>
          <w:szCs w:val="20"/>
          <w:shd w:val="clear" w:color="auto" w:fill="FFFFFF"/>
          <w:lang w:val="en-US"/>
        </w:rPr>
        <w:t>R</w:t>
      </w:r>
      <w:r w:rsidR="00B533F8" w:rsidRPr="00A01994">
        <w:rPr>
          <w:rFonts w:eastAsia="Times New Roman"/>
          <w:color w:val="222222"/>
          <w:sz w:val="20"/>
          <w:szCs w:val="20"/>
          <w:shd w:val="clear" w:color="auto" w:fill="FFFFFF"/>
          <w:lang w:val="en-US"/>
        </w:rPr>
        <w:t>efine these methods to account for economic feasibility and feed availability (for finfish aquaculture) using the methods of Free et al. (2019).</w:t>
      </w:r>
    </w:p>
    <w:p w14:paraId="1BB8088A" w14:textId="118FDEAF" w:rsidR="00B533F8" w:rsidRPr="00A01994" w:rsidRDefault="00EF76AB" w:rsidP="0028551F">
      <w:pPr>
        <w:pStyle w:val="ListParagraph"/>
        <w:numPr>
          <w:ilvl w:val="1"/>
          <w:numId w:val="9"/>
        </w:numPr>
        <w:rPr>
          <w:rFonts w:eastAsia="Times New Roman"/>
          <w:i/>
          <w:color w:val="222222"/>
          <w:sz w:val="20"/>
          <w:szCs w:val="20"/>
          <w:shd w:val="clear" w:color="auto" w:fill="FFFFFF"/>
          <w:lang w:val="en-US"/>
        </w:rPr>
      </w:pPr>
      <w:r>
        <w:rPr>
          <w:rFonts w:eastAsia="Times New Roman"/>
          <w:color w:val="222222"/>
          <w:sz w:val="20"/>
          <w:szCs w:val="20"/>
          <w:shd w:val="clear" w:color="auto" w:fill="FFFFFF"/>
          <w:lang w:val="en-US"/>
        </w:rPr>
        <w:t>C</w:t>
      </w:r>
      <w:r w:rsidR="00B533F8" w:rsidRPr="00A01994">
        <w:rPr>
          <w:rFonts w:eastAsia="Times New Roman"/>
          <w:color w:val="222222"/>
          <w:sz w:val="20"/>
          <w:szCs w:val="20"/>
          <w:shd w:val="clear" w:color="auto" w:fill="FFFFFF"/>
          <w:lang w:val="en-US"/>
        </w:rPr>
        <w:t>alculate the food and nutrition potential using edible meat conversions and nutrition content values from Edwards et al. (201</w:t>
      </w:r>
      <w:r w:rsidR="008D7958" w:rsidRPr="00A01994">
        <w:rPr>
          <w:rFonts w:eastAsia="Times New Roman"/>
          <w:color w:val="222222"/>
          <w:sz w:val="20"/>
          <w:szCs w:val="20"/>
          <w:shd w:val="clear" w:color="auto" w:fill="FFFFFF"/>
          <w:lang w:val="en-US"/>
        </w:rPr>
        <w:t>9</w:t>
      </w:r>
      <w:r w:rsidR="00B533F8" w:rsidRPr="00A01994">
        <w:rPr>
          <w:rFonts w:eastAsia="Times New Roman"/>
          <w:color w:val="222222"/>
          <w:sz w:val="20"/>
          <w:szCs w:val="20"/>
          <w:shd w:val="clear" w:color="auto" w:fill="FFFFFF"/>
          <w:lang w:val="en-US"/>
        </w:rPr>
        <w:t>)</w:t>
      </w:r>
      <w:r w:rsidR="008D7958" w:rsidRPr="00A01994">
        <w:rPr>
          <w:rFonts w:eastAsia="Times New Roman"/>
          <w:color w:val="222222"/>
          <w:sz w:val="20"/>
          <w:szCs w:val="20"/>
          <w:shd w:val="clear" w:color="auto" w:fill="FFFFFF"/>
          <w:lang w:val="en-US"/>
        </w:rPr>
        <w:t xml:space="preserve"> and </w:t>
      </w:r>
      <w:proofErr w:type="spellStart"/>
      <w:r w:rsidR="008D7958" w:rsidRPr="00A01994">
        <w:rPr>
          <w:rFonts w:eastAsia="Times New Roman"/>
          <w:color w:val="222222"/>
          <w:sz w:val="20"/>
          <w:szCs w:val="20"/>
          <w:shd w:val="clear" w:color="auto" w:fill="FFFFFF"/>
          <w:lang w:val="en-US"/>
        </w:rPr>
        <w:t>Vaitla</w:t>
      </w:r>
      <w:proofErr w:type="spellEnd"/>
      <w:r w:rsidR="008D7958" w:rsidRPr="00A01994">
        <w:rPr>
          <w:rFonts w:eastAsia="Times New Roman"/>
          <w:color w:val="222222"/>
          <w:sz w:val="20"/>
          <w:szCs w:val="20"/>
          <w:shd w:val="clear" w:color="auto" w:fill="FFFFFF"/>
          <w:lang w:val="en-US"/>
        </w:rPr>
        <w:t xml:space="preserve"> et al. (2018).</w:t>
      </w:r>
    </w:p>
    <w:p w14:paraId="2564767A" w14:textId="612B17AE" w:rsidR="008D7958" w:rsidRPr="00A01994" w:rsidRDefault="00EF76AB" w:rsidP="008D7958">
      <w:pPr>
        <w:pStyle w:val="ListParagraph"/>
        <w:numPr>
          <w:ilvl w:val="0"/>
          <w:numId w:val="9"/>
        </w:numPr>
        <w:rPr>
          <w:rFonts w:eastAsia="Times New Roman"/>
          <w:i/>
          <w:color w:val="222222"/>
          <w:sz w:val="20"/>
          <w:szCs w:val="20"/>
          <w:shd w:val="clear" w:color="auto" w:fill="FFFFFF"/>
          <w:lang w:val="en-US"/>
        </w:rPr>
      </w:pPr>
      <w:r>
        <w:rPr>
          <w:rFonts w:eastAsia="Times New Roman"/>
          <w:color w:val="222222"/>
          <w:sz w:val="20"/>
          <w:szCs w:val="20"/>
          <w:shd w:val="clear" w:color="auto" w:fill="FFFFFF"/>
          <w:lang w:val="en-US"/>
        </w:rPr>
        <w:t>E</w:t>
      </w:r>
      <w:r w:rsidR="00DA4214" w:rsidRPr="00A01994">
        <w:rPr>
          <w:rFonts w:eastAsia="Times New Roman"/>
          <w:color w:val="222222"/>
          <w:sz w:val="20"/>
          <w:szCs w:val="20"/>
          <w:shd w:val="clear" w:color="auto" w:fill="FFFFFF"/>
          <w:lang w:val="en-US"/>
        </w:rPr>
        <w:t>valuate whether country-level gains in food and nutrition from aquaculture can compensate for county-level losses in capture fisheries potential and whether fisheries and aquaculture can meet the food and nutritious requirements projected for 2050.</w:t>
      </w:r>
    </w:p>
    <w:p w14:paraId="55A7B2EE" w14:textId="77777777" w:rsidR="00EF409A" w:rsidRDefault="00EF409A" w:rsidP="007C5820">
      <w:pPr>
        <w:contextualSpacing w:val="0"/>
        <w:rPr>
          <w:sz w:val="20"/>
          <w:szCs w:val="20"/>
        </w:rPr>
      </w:pPr>
    </w:p>
    <w:p w14:paraId="1D882A8E" w14:textId="4BBC4203" w:rsidR="00EF409A" w:rsidRDefault="00211080" w:rsidP="007C5820">
      <w:pPr>
        <w:contextualSpacing w:val="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Project Deliverables</w:t>
      </w:r>
      <w:r w:rsidR="002656E4">
        <w:rPr>
          <w:b/>
          <w:sz w:val="20"/>
          <w:szCs w:val="20"/>
          <w:u w:val="single"/>
        </w:rPr>
        <w:t xml:space="preserve"> &amp; Timeline</w:t>
      </w:r>
    </w:p>
    <w:p w14:paraId="5FA2F8DB" w14:textId="77777777" w:rsidR="00791739" w:rsidRDefault="00791739" w:rsidP="00791739">
      <w:pPr>
        <w:rPr>
          <w:b/>
          <w:sz w:val="20"/>
          <w:szCs w:val="20"/>
        </w:rPr>
      </w:pPr>
    </w:p>
    <w:p w14:paraId="682150AE" w14:textId="06ACEA97" w:rsidR="000A74A7" w:rsidRPr="000A74A7" w:rsidRDefault="00A01994" w:rsidP="000A74A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</w:t>
      </w:r>
      <w:r w:rsidR="007C5820" w:rsidRPr="00A01994">
        <w:rPr>
          <w:sz w:val="20"/>
          <w:szCs w:val="20"/>
        </w:rPr>
        <w:t>evelop an i</w:t>
      </w:r>
      <w:r w:rsidR="00FE081F" w:rsidRPr="00A01994">
        <w:rPr>
          <w:sz w:val="20"/>
          <w:szCs w:val="20"/>
        </w:rPr>
        <w:t xml:space="preserve">nteractive </w:t>
      </w:r>
      <w:r w:rsidR="00E91939" w:rsidRPr="00A01994">
        <w:rPr>
          <w:sz w:val="20"/>
          <w:szCs w:val="20"/>
        </w:rPr>
        <w:t>report (</w:t>
      </w:r>
      <w:proofErr w:type="spellStart"/>
      <w:r w:rsidR="00E91939" w:rsidRPr="00A01994">
        <w:rPr>
          <w:sz w:val="20"/>
          <w:szCs w:val="20"/>
        </w:rPr>
        <w:t>ShinyApp</w:t>
      </w:r>
      <w:proofErr w:type="spellEnd"/>
      <w:r w:rsidR="00E91939" w:rsidRPr="00A01994">
        <w:rPr>
          <w:sz w:val="20"/>
          <w:szCs w:val="20"/>
        </w:rPr>
        <w:t>)</w:t>
      </w:r>
      <w:r w:rsidR="00FE081F" w:rsidRPr="00A01994">
        <w:rPr>
          <w:sz w:val="20"/>
          <w:szCs w:val="20"/>
        </w:rPr>
        <w:t xml:space="preserve"> t</w:t>
      </w:r>
      <w:r w:rsidR="00630E40" w:rsidRPr="00A01994">
        <w:rPr>
          <w:sz w:val="20"/>
          <w:szCs w:val="20"/>
        </w:rPr>
        <w:t xml:space="preserve">hat allows users to explore (1) how climate change </w:t>
      </w:r>
      <w:r w:rsidR="005F5785" w:rsidRPr="00A01994">
        <w:rPr>
          <w:sz w:val="20"/>
          <w:szCs w:val="20"/>
        </w:rPr>
        <w:t>is likely to</w:t>
      </w:r>
      <w:r w:rsidR="00630E40" w:rsidRPr="00A01994">
        <w:rPr>
          <w:sz w:val="20"/>
          <w:szCs w:val="20"/>
        </w:rPr>
        <w:t xml:space="preserve"> </w:t>
      </w:r>
      <w:r w:rsidR="005F5785" w:rsidRPr="00A01994">
        <w:rPr>
          <w:sz w:val="20"/>
          <w:szCs w:val="20"/>
        </w:rPr>
        <w:t>affect</w:t>
      </w:r>
      <w:r w:rsidR="00630E40" w:rsidRPr="00A01994">
        <w:rPr>
          <w:sz w:val="20"/>
          <w:szCs w:val="20"/>
        </w:rPr>
        <w:t xml:space="preserve"> fish catch and nutrient endowment from fish products</w:t>
      </w:r>
      <w:r w:rsidR="005F5785" w:rsidRPr="00A01994">
        <w:rPr>
          <w:sz w:val="20"/>
          <w:szCs w:val="20"/>
        </w:rPr>
        <w:t xml:space="preserve"> at the country-level</w:t>
      </w:r>
      <w:r w:rsidR="00630E40" w:rsidRPr="00A01994">
        <w:rPr>
          <w:sz w:val="20"/>
          <w:szCs w:val="20"/>
        </w:rPr>
        <w:t xml:space="preserve">, and (2) </w:t>
      </w:r>
      <w:r w:rsidR="00630E40" w:rsidRPr="00A01994">
        <w:rPr>
          <w:sz w:val="20"/>
          <w:szCs w:val="20"/>
          <w:shd w:val="clear" w:color="auto" w:fill="FFFFFF"/>
        </w:rPr>
        <w:t xml:space="preserve">how fisheries management could be leveraged to increase </w:t>
      </w:r>
      <w:r w:rsidR="005F5785" w:rsidRPr="00A01994">
        <w:rPr>
          <w:sz w:val="20"/>
          <w:szCs w:val="20"/>
          <w:shd w:val="clear" w:color="auto" w:fill="FFFFFF"/>
        </w:rPr>
        <w:t>communities’</w:t>
      </w:r>
      <w:r w:rsidR="00630E40" w:rsidRPr="00A01994">
        <w:rPr>
          <w:sz w:val="20"/>
          <w:szCs w:val="20"/>
          <w:shd w:val="clear" w:color="auto" w:fill="FFFFFF"/>
        </w:rPr>
        <w:t xml:space="preserve"> access to fishery </w:t>
      </w:r>
      <w:r w:rsidR="005B0777" w:rsidRPr="00A01994">
        <w:rPr>
          <w:sz w:val="20"/>
          <w:szCs w:val="20"/>
          <w:shd w:val="clear" w:color="auto" w:fill="FFFFFF"/>
        </w:rPr>
        <w:softHyphen/>
      </w:r>
      <w:r w:rsidR="005B0777" w:rsidRPr="00A01994">
        <w:rPr>
          <w:sz w:val="20"/>
          <w:szCs w:val="20"/>
          <w:shd w:val="clear" w:color="auto" w:fill="FFFFFF"/>
        </w:rPr>
        <w:softHyphen/>
      </w:r>
      <w:r w:rsidR="00630E40" w:rsidRPr="00A01994">
        <w:rPr>
          <w:sz w:val="20"/>
          <w:szCs w:val="20"/>
          <w:shd w:val="clear" w:color="auto" w:fill="FFFFFF"/>
        </w:rPr>
        <w:t>products under dif</w:t>
      </w:r>
      <w:r w:rsidR="001B4E14" w:rsidRPr="00A01994">
        <w:rPr>
          <w:sz w:val="20"/>
          <w:szCs w:val="20"/>
          <w:shd w:val="clear" w:color="auto" w:fill="FFFFFF"/>
        </w:rPr>
        <w:t>ferent climate change scenarios</w:t>
      </w:r>
      <w:r w:rsidR="00630E40" w:rsidRPr="00A01994">
        <w:rPr>
          <w:sz w:val="20"/>
          <w:szCs w:val="20"/>
          <w:shd w:val="clear" w:color="auto" w:fill="FFFFFF"/>
        </w:rPr>
        <w:t xml:space="preserve"> and improve </w:t>
      </w:r>
      <w:r w:rsidR="005F5785" w:rsidRPr="00A01994">
        <w:rPr>
          <w:sz w:val="20"/>
          <w:szCs w:val="20"/>
          <w:shd w:val="clear" w:color="auto" w:fill="FFFFFF"/>
        </w:rPr>
        <w:t>nutrient</w:t>
      </w:r>
      <w:r w:rsidR="00630E40" w:rsidRPr="00A01994">
        <w:rPr>
          <w:sz w:val="20"/>
          <w:szCs w:val="20"/>
          <w:shd w:val="clear" w:color="auto" w:fill="FFFFFF"/>
        </w:rPr>
        <w:t xml:space="preserve"> availability</w:t>
      </w:r>
      <w:r w:rsidR="005F5785" w:rsidRPr="00A01994">
        <w:rPr>
          <w:sz w:val="20"/>
          <w:szCs w:val="20"/>
          <w:shd w:val="clear" w:color="auto" w:fill="FFFFFF"/>
        </w:rPr>
        <w:t>, particularly</w:t>
      </w:r>
      <w:r w:rsidR="00630E40" w:rsidRPr="00A01994">
        <w:rPr>
          <w:sz w:val="20"/>
          <w:szCs w:val="20"/>
          <w:shd w:val="clear" w:color="auto" w:fill="FFFFFF"/>
        </w:rPr>
        <w:t xml:space="preserve"> for vulnerable populations</w:t>
      </w:r>
      <w:r w:rsidR="00EF76AB">
        <w:rPr>
          <w:sz w:val="20"/>
          <w:szCs w:val="20"/>
          <w:shd w:val="clear" w:color="auto" w:fill="FFFFFF"/>
        </w:rPr>
        <w:t xml:space="preserve"> </w:t>
      </w:r>
      <w:r w:rsidR="00EF76AB">
        <w:rPr>
          <w:color w:val="222222"/>
          <w:sz w:val="20"/>
          <w:szCs w:val="20"/>
          <w:shd w:val="clear" w:color="auto" w:fill="FFFFFF"/>
        </w:rPr>
        <w:t>(</w:t>
      </w:r>
      <w:r w:rsidR="00EF76AB">
        <w:rPr>
          <w:sz w:val="20"/>
          <w:szCs w:val="20"/>
        </w:rPr>
        <w:t>Due March 31, 2020).</w:t>
      </w:r>
    </w:p>
    <w:p w14:paraId="78BEDF30" w14:textId="090A7282" w:rsidR="000A74A7" w:rsidRDefault="00A01994" w:rsidP="000A74A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A74A7">
        <w:rPr>
          <w:sz w:val="20"/>
          <w:szCs w:val="20"/>
        </w:rPr>
        <w:t>D</w:t>
      </w:r>
      <w:r w:rsidR="00B62C83" w:rsidRPr="000A74A7">
        <w:rPr>
          <w:sz w:val="20"/>
          <w:szCs w:val="20"/>
        </w:rPr>
        <w:t>evelop a</w:t>
      </w:r>
      <w:r w:rsidR="003330C0" w:rsidRPr="000A74A7">
        <w:rPr>
          <w:sz w:val="20"/>
          <w:szCs w:val="20"/>
        </w:rPr>
        <w:t>n interactive report</w:t>
      </w:r>
      <w:r w:rsidR="00B62C83" w:rsidRPr="000A74A7">
        <w:rPr>
          <w:sz w:val="20"/>
          <w:szCs w:val="20"/>
        </w:rPr>
        <w:t xml:space="preserve"> </w:t>
      </w:r>
      <w:r w:rsidR="003330C0" w:rsidRPr="000A74A7">
        <w:rPr>
          <w:sz w:val="20"/>
          <w:szCs w:val="20"/>
        </w:rPr>
        <w:t>(</w:t>
      </w:r>
      <w:proofErr w:type="spellStart"/>
      <w:r w:rsidR="007C5820" w:rsidRPr="000A74A7">
        <w:rPr>
          <w:sz w:val="20"/>
          <w:szCs w:val="20"/>
        </w:rPr>
        <w:t>ShinyApp</w:t>
      </w:r>
      <w:proofErr w:type="spellEnd"/>
      <w:r w:rsidR="003330C0" w:rsidRPr="000A74A7">
        <w:rPr>
          <w:sz w:val="20"/>
          <w:szCs w:val="20"/>
        </w:rPr>
        <w:t>)</w:t>
      </w:r>
      <w:r w:rsidR="007C5820" w:rsidRPr="000A74A7">
        <w:rPr>
          <w:sz w:val="20"/>
          <w:szCs w:val="20"/>
        </w:rPr>
        <w:t xml:space="preserve"> that allows users to explore </w:t>
      </w:r>
      <w:r w:rsidR="00EF76AB">
        <w:rPr>
          <w:sz w:val="20"/>
          <w:szCs w:val="20"/>
        </w:rPr>
        <w:t xml:space="preserve">if </w:t>
      </w:r>
      <w:r w:rsidR="00EF76AB" w:rsidRPr="00A01994">
        <w:rPr>
          <w:rFonts w:eastAsia="Times New Roman"/>
          <w:color w:val="222222"/>
          <w:sz w:val="20"/>
          <w:szCs w:val="20"/>
          <w:shd w:val="clear" w:color="auto" w:fill="FFFFFF"/>
          <w:lang w:val="en-US"/>
        </w:rPr>
        <w:t xml:space="preserve">country-level gains in food and nutrition from aquaculture can compensate for county-level losses in capture fisheries potential and whether fisheries and aquaculture can meet </w:t>
      </w:r>
      <w:r w:rsidR="00EF76AB">
        <w:rPr>
          <w:rFonts w:eastAsia="Times New Roman"/>
          <w:color w:val="222222"/>
          <w:sz w:val="20"/>
          <w:szCs w:val="20"/>
          <w:shd w:val="clear" w:color="auto" w:fill="FFFFFF"/>
          <w:lang w:val="en-US"/>
        </w:rPr>
        <w:t>food and nutrient</w:t>
      </w:r>
      <w:r w:rsidR="00EF76AB" w:rsidRPr="00A01994">
        <w:rPr>
          <w:rFonts w:eastAsia="Times New Roman"/>
          <w:color w:val="222222"/>
          <w:sz w:val="20"/>
          <w:szCs w:val="20"/>
          <w:shd w:val="clear" w:color="auto" w:fill="FFFFFF"/>
          <w:lang w:val="en-US"/>
        </w:rPr>
        <w:t xml:space="preserve"> requirements projected for 2050</w:t>
      </w:r>
      <w:r w:rsidR="00EF76AB">
        <w:rPr>
          <w:rFonts w:eastAsia="Times New Roman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7952D8">
        <w:rPr>
          <w:sz w:val="20"/>
          <w:szCs w:val="20"/>
        </w:rPr>
        <w:t>(Due July 31</w:t>
      </w:r>
      <w:r w:rsidR="00EF76AB">
        <w:rPr>
          <w:sz w:val="20"/>
          <w:szCs w:val="20"/>
        </w:rPr>
        <w:t>, 2020).</w:t>
      </w:r>
    </w:p>
    <w:p w14:paraId="14AD492A" w14:textId="4A95CFC8" w:rsidR="00EF409A" w:rsidRDefault="00A01994" w:rsidP="000A74A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A74A7">
        <w:rPr>
          <w:sz w:val="20"/>
          <w:szCs w:val="20"/>
        </w:rPr>
        <w:t>Draft</w:t>
      </w:r>
      <w:r w:rsidR="00B62C83" w:rsidRPr="000A74A7">
        <w:rPr>
          <w:sz w:val="20"/>
          <w:szCs w:val="20"/>
        </w:rPr>
        <w:t xml:space="preserve"> a </w:t>
      </w:r>
      <w:r w:rsidR="007C5820" w:rsidRPr="000A74A7">
        <w:rPr>
          <w:sz w:val="20"/>
          <w:szCs w:val="20"/>
        </w:rPr>
        <w:t>manuscript for publicat</w:t>
      </w:r>
      <w:r w:rsidR="00B62C83" w:rsidRPr="000A74A7">
        <w:rPr>
          <w:sz w:val="20"/>
          <w:szCs w:val="20"/>
        </w:rPr>
        <w:t>ion in a peer-reviewed journal</w:t>
      </w:r>
      <w:r w:rsidR="00EF76AB">
        <w:rPr>
          <w:sz w:val="20"/>
          <w:szCs w:val="20"/>
        </w:rPr>
        <w:t xml:space="preserve"> (Due September 30, 2020)</w:t>
      </w:r>
    </w:p>
    <w:p w14:paraId="06AC5282" w14:textId="77777777" w:rsidR="000A74A7" w:rsidRPr="000A74A7" w:rsidRDefault="000A74A7" w:rsidP="000A74A7">
      <w:pPr>
        <w:pStyle w:val="ListParagraph"/>
        <w:rPr>
          <w:sz w:val="20"/>
          <w:szCs w:val="20"/>
        </w:rPr>
      </w:pPr>
    </w:p>
    <w:p w14:paraId="56DC8FDF" w14:textId="77777777" w:rsidR="00EF409A" w:rsidRDefault="00EF409A" w:rsidP="007C5820">
      <w:pPr>
        <w:contextualSpacing w:val="0"/>
        <w:jc w:val="center"/>
        <w:rPr>
          <w:b/>
          <w:sz w:val="20"/>
          <w:szCs w:val="20"/>
        </w:rPr>
      </w:pPr>
    </w:p>
    <w:p w14:paraId="66884004" w14:textId="77777777" w:rsidR="00EF409A" w:rsidRDefault="00211080" w:rsidP="007C5820">
      <w:pPr>
        <w:contextualSpacing w:val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Exhibit B</w:t>
      </w:r>
    </w:p>
    <w:p w14:paraId="140CC9C6" w14:textId="77777777" w:rsidR="00EF409A" w:rsidRDefault="00211080" w:rsidP="007C5820">
      <w:pPr>
        <w:contextualSpacing w:val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Budget</w:t>
      </w:r>
    </w:p>
    <w:p w14:paraId="49A56F1F" w14:textId="77777777" w:rsidR="00EF409A" w:rsidRDefault="00211080" w:rsidP="007C5820">
      <w:pPr>
        <w:contextualSpacing w:val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6AA4C8F5" w14:textId="1C8E85C5" w:rsidR="00EF409A" w:rsidRDefault="002656E4" w:rsidP="007C5820">
      <w:pPr>
        <w:contextualSpacing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Budget Summary: </w:t>
      </w:r>
      <w:r w:rsidR="003330C0">
        <w:rPr>
          <w:b/>
          <w:sz w:val="20"/>
          <w:szCs w:val="20"/>
        </w:rPr>
        <w:t>October</w:t>
      </w:r>
      <w:r>
        <w:rPr>
          <w:b/>
          <w:sz w:val="20"/>
          <w:szCs w:val="20"/>
        </w:rPr>
        <w:t xml:space="preserve"> 1, 2019</w:t>
      </w:r>
      <w:r w:rsidR="00211080">
        <w:rPr>
          <w:b/>
          <w:sz w:val="20"/>
          <w:szCs w:val="20"/>
        </w:rPr>
        <w:t xml:space="preserve"> – </w:t>
      </w:r>
      <w:r w:rsidR="003330C0">
        <w:rPr>
          <w:b/>
          <w:sz w:val="20"/>
          <w:szCs w:val="20"/>
        </w:rPr>
        <w:t>September 30</w:t>
      </w:r>
      <w:r>
        <w:rPr>
          <w:b/>
          <w:sz w:val="20"/>
          <w:szCs w:val="20"/>
        </w:rPr>
        <w:t>, 2020 (12</w:t>
      </w:r>
      <w:r w:rsidR="00211080">
        <w:rPr>
          <w:b/>
          <w:sz w:val="20"/>
          <w:szCs w:val="20"/>
        </w:rPr>
        <w:t xml:space="preserve"> months)</w:t>
      </w:r>
    </w:p>
    <w:tbl>
      <w:tblPr>
        <w:tblStyle w:val="a"/>
        <w:tblW w:w="9120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100"/>
        <w:gridCol w:w="1020"/>
      </w:tblGrid>
      <w:tr w:rsidR="00EF409A" w14:paraId="00996D60" w14:textId="77777777">
        <w:trPr>
          <w:trHeight w:val="280"/>
        </w:trPr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BE50E5" w14:textId="77777777" w:rsidR="00EF409A" w:rsidRDefault="00211080" w:rsidP="007C5820">
            <w:pPr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323EA0" w14:textId="77777777" w:rsidR="00EF409A" w:rsidRDefault="00211080" w:rsidP="007C5820">
            <w:pPr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Budget</w:t>
            </w:r>
          </w:p>
        </w:tc>
      </w:tr>
      <w:tr w:rsidR="00EF409A" w14:paraId="3645866C" w14:textId="77777777">
        <w:trPr>
          <w:trHeight w:val="1320"/>
        </w:trPr>
        <w:tc>
          <w:tcPr>
            <w:tcW w:w="8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05A90F" w14:textId="77777777" w:rsidR="00EF409A" w:rsidRDefault="00211080" w:rsidP="007C5820">
            <w:p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Salaries and Benefits</w:t>
            </w:r>
          </w:p>
          <w:p w14:paraId="09336C3C" w14:textId="36884C4E" w:rsidR="00EF409A" w:rsidRDefault="00211080" w:rsidP="007C5820">
            <w:pPr>
              <w:numPr>
                <w:ilvl w:val="0"/>
                <w:numId w:val="3"/>
              </w:numPr>
            </w:pPr>
            <w:r>
              <w:rPr>
                <w:sz w:val="20"/>
                <w:szCs w:val="20"/>
              </w:rPr>
              <w:t>Principal Investigator (Steve Gaines, no budget requested)</w:t>
            </w:r>
          </w:p>
          <w:p w14:paraId="14CBF93A" w14:textId="44FA3F2E" w:rsidR="00EF409A" w:rsidRDefault="00211080" w:rsidP="007C5820">
            <w:pPr>
              <w:numPr>
                <w:ilvl w:val="0"/>
                <w:numId w:val="3"/>
              </w:numPr>
            </w:pPr>
            <w:r>
              <w:rPr>
                <w:sz w:val="20"/>
                <w:szCs w:val="20"/>
              </w:rPr>
              <w:t>Postdoctoral Researcher (</w:t>
            </w:r>
            <w:r w:rsidR="00E91939">
              <w:rPr>
                <w:sz w:val="20"/>
                <w:szCs w:val="20"/>
              </w:rPr>
              <w:t>Chris Free</w:t>
            </w:r>
            <w:r w:rsidR="00372C20">
              <w:rPr>
                <w:sz w:val="20"/>
                <w:szCs w:val="20"/>
              </w:rPr>
              <w:t xml:space="preserve">, </w:t>
            </w:r>
            <w:r w:rsidR="00D80A32">
              <w:rPr>
                <w:sz w:val="20"/>
                <w:szCs w:val="20"/>
              </w:rPr>
              <w:t xml:space="preserve">60% time, </w:t>
            </w:r>
            <w:r w:rsidR="00372C20"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months)</w:t>
            </w:r>
          </w:p>
          <w:p w14:paraId="7024E379" w14:textId="751ADEF0" w:rsidR="00EF409A" w:rsidRDefault="00211080" w:rsidP="00D80A32">
            <w:pPr>
              <w:numPr>
                <w:ilvl w:val="0"/>
                <w:numId w:val="3"/>
              </w:numPr>
            </w:pPr>
            <w:r>
              <w:rPr>
                <w:sz w:val="20"/>
                <w:szCs w:val="20"/>
              </w:rPr>
              <w:t xml:space="preserve">Project </w:t>
            </w:r>
            <w:r w:rsidR="00D80A32">
              <w:rPr>
                <w:sz w:val="20"/>
                <w:szCs w:val="20"/>
              </w:rPr>
              <w:t>Researcher/Management Support</w:t>
            </w:r>
            <w:r w:rsidR="00E91939">
              <w:rPr>
                <w:sz w:val="20"/>
                <w:szCs w:val="20"/>
              </w:rPr>
              <w:t xml:space="preserve"> (</w:t>
            </w:r>
            <w:r w:rsidR="00D80A32">
              <w:rPr>
                <w:sz w:val="20"/>
                <w:szCs w:val="20"/>
              </w:rPr>
              <w:t>30 % time</w:t>
            </w:r>
            <w:r w:rsidR="003330C0">
              <w:rPr>
                <w:sz w:val="20"/>
                <w:szCs w:val="20"/>
              </w:rPr>
              <w:t xml:space="preserve">, </w:t>
            </w:r>
            <w:r w:rsidR="00E91939"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months)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378065" w14:textId="612F158E" w:rsidR="00EF409A" w:rsidRDefault="00211080" w:rsidP="007C5820">
            <w:pPr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="00D80A32">
              <w:rPr>
                <w:sz w:val="20"/>
                <w:szCs w:val="20"/>
              </w:rPr>
              <w:t>78,320</w:t>
            </w:r>
          </w:p>
        </w:tc>
      </w:tr>
      <w:tr w:rsidR="00EF409A" w14:paraId="66444505" w14:textId="77777777">
        <w:trPr>
          <w:trHeight w:val="360"/>
        </w:trPr>
        <w:tc>
          <w:tcPr>
            <w:tcW w:w="8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42AE02" w14:textId="620B35E0" w:rsidR="00EF409A" w:rsidRDefault="00211080" w:rsidP="00D80A32">
            <w:pPr>
              <w:ind w:left="10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Travel (Conference – 1 person, </w:t>
            </w:r>
            <w:r w:rsidR="00D80A32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days)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1A5539" w14:textId="5B7786EB" w:rsidR="00EF409A" w:rsidRDefault="00211080" w:rsidP="007C5820">
            <w:pPr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="00D80A32">
              <w:rPr>
                <w:sz w:val="20"/>
                <w:szCs w:val="20"/>
              </w:rPr>
              <w:t>2,975</w:t>
            </w:r>
          </w:p>
        </w:tc>
      </w:tr>
      <w:tr w:rsidR="00EF409A" w14:paraId="7725C5E9" w14:textId="77777777">
        <w:trPr>
          <w:trHeight w:val="360"/>
        </w:trPr>
        <w:tc>
          <w:tcPr>
            <w:tcW w:w="8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18BE6F" w14:textId="788153B9" w:rsidR="00EF409A" w:rsidRDefault="00211080" w:rsidP="00D80A32">
            <w:pPr>
              <w:ind w:left="10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Supplie</w:t>
            </w:r>
            <w:r w:rsidR="00D80A32">
              <w:rPr>
                <w:sz w:val="20"/>
                <w:szCs w:val="20"/>
              </w:rPr>
              <w:t>s (Computer, publication charges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4E9E90" w14:textId="12BF99AF" w:rsidR="00EF409A" w:rsidRDefault="00211080" w:rsidP="007C5820">
            <w:pPr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="00D80A32">
              <w:rPr>
                <w:sz w:val="20"/>
                <w:szCs w:val="20"/>
              </w:rPr>
              <w:t>5,661</w:t>
            </w:r>
          </w:p>
        </w:tc>
      </w:tr>
      <w:tr w:rsidR="00EF409A" w14:paraId="752A51E9" w14:textId="77777777">
        <w:trPr>
          <w:trHeight w:val="360"/>
        </w:trPr>
        <w:tc>
          <w:tcPr>
            <w:tcW w:w="8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268668" w14:textId="77777777" w:rsidR="00EF409A" w:rsidRDefault="00211080" w:rsidP="007C5820">
            <w:pPr>
              <w:ind w:left="10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Indirect Costs (15% of total direct costs)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FF5346" w14:textId="1526F632" w:rsidR="00EF409A" w:rsidRDefault="00211080" w:rsidP="007C5820">
            <w:pPr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="00D80A32">
              <w:rPr>
                <w:sz w:val="20"/>
                <w:szCs w:val="20"/>
              </w:rPr>
              <w:t>13,043</w:t>
            </w:r>
          </w:p>
        </w:tc>
      </w:tr>
      <w:tr w:rsidR="00EF409A" w14:paraId="0112E2BB" w14:textId="77777777">
        <w:trPr>
          <w:trHeight w:val="360"/>
        </w:trPr>
        <w:tc>
          <w:tcPr>
            <w:tcW w:w="8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953B4C" w14:textId="77777777" w:rsidR="00EF409A" w:rsidRDefault="00211080" w:rsidP="007C5820">
            <w:pPr>
              <w:ind w:left="10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10C2ED" w14:textId="63FA9442" w:rsidR="00EF409A" w:rsidRDefault="00372C20" w:rsidP="007C5820">
            <w:pPr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$10</w:t>
            </w:r>
            <w:r w:rsidR="00211080">
              <w:rPr>
                <w:sz w:val="20"/>
                <w:szCs w:val="20"/>
              </w:rPr>
              <w:t>0,000</w:t>
            </w:r>
          </w:p>
        </w:tc>
      </w:tr>
    </w:tbl>
    <w:p w14:paraId="4C90D13C" w14:textId="77777777" w:rsidR="00EF409A" w:rsidRDefault="00211080" w:rsidP="007C5820">
      <w:pPr>
        <w:contextualSpacing w:val="0"/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 </w:t>
      </w:r>
    </w:p>
    <w:p w14:paraId="6AB7D891" w14:textId="77777777" w:rsidR="00EF409A" w:rsidRDefault="00EF409A" w:rsidP="007C5820">
      <w:pPr>
        <w:contextualSpacing w:val="0"/>
        <w:jc w:val="center"/>
        <w:rPr>
          <w:b/>
          <w:sz w:val="20"/>
          <w:szCs w:val="20"/>
        </w:rPr>
      </w:pPr>
    </w:p>
    <w:p w14:paraId="29FC1BF4" w14:textId="77777777" w:rsidR="00EF409A" w:rsidRDefault="00EF409A" w:rsidP="007C5820">
      <w:pPr>
        <w:contextualSpacing w:val="0"/>
        <w:jc w:val="center"/>
        <w:rPr>
          <w:b/>
          <w:sz w:val="20"/>
          <w:szCs w:val="20"/>
        </w:rPr>
      </w:pPr>
    </w:p>
    <w:p w14:paraId="47C91AFC" w14:textId="77777777" w:rsidR="00EF409A" w:rsidRDefault="00EF409A" w:rsidP="007C5820">
      <w:pPr>
        <w:contextualSpacing w:val="0"/>
        <w:jc w:val="center"/>
        <w:rPr>
          <w:b/>
          <w:sz w:val="20"/>
          <w:szCs w:val="20"/>
        </w:rPr>
      </w:pPr>
    </w:p>
    <w:sectPr w:rsidR="00EF40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C7607"/>
    <w:multiLevelType w:val="multilevel"/>
    <w:tmpl w:val="6162603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35772D"/>
    <w:multiLevelType w:val="multilevel"/>
    <w:tmpl w:val="9E2A20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E4697E"/>
    <w:multiLevelType w:val="hybridMultilevel"/>
    <w:tmpl w:val="98209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03C90"/>
    <w:multiLevelType w:val="multilevel"/>
    <w:tmpl w:val="2FB499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EFF4E4A"/>
    <w:multiLevelType w:val="multilevel"/>
    <w:tmpl w:val="9E2A20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u w:val="none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u w:val="none"/>
      </w:r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  <w:rPr>
        <w:u w:val="none"/>
      </w:r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  <w:rPr>
        <w:u w:val="none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  <w:rPr>
        <w:u w:val="none"/>
      </w:r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  <w:rPr>
        <w:u w:val="none"/>
      </w:r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  <w:rPr>
        <w:u w:val="none"/>
      </w:rPr>
    </w:lvl>
  </w:abstractNum>
  <w:abstractNum w:abstractNumId="5" w15:restartNumberingAfterBreak="0">
    <w:nsid w:val="529A16F4"/>
    <w:multiLevelType w:val="multilevel"/>
    <w:tmpl w:val="66A8B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7777D4"/>
    <w:multiLevelType w:val="multilevel"/>
    <w:tmpl w:val="B28C2DC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993EF3"/>
    <w:multiLevelType w:val="multilevel"/>
    <w:tmpl w:val="7ECE15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171AEC"/>
    <w:multiLevelType w:val="multilevel"/>
    <w:tmpl w:val="9E2A20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8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9A"/>
    <w:rsid w:val="000A74A7"/>
    <w:rsid w:val="000B64B7"/>
    <w:rsid w:val="00130E16"/>
    <w:rsid w:val="0014624F"/>
    <w:rsid w:val="001954F1"/>
    <w:rsid w:val="001B4E14"/>
    <w:rsid w:val="001E6049"/>
    <w:rsid w:val="00211080"/>
    <w:rsid w:val="002656E4"/>
    <w:rsid w:val="0028551F"/>
    <w:rsid w:val="003330C0"/>
    <w:rsid w:val="00372C20"/>
    <w:rsid w:val="00395D2A"/>
    <w:rsid w:val="003D1F06"/>
    <w:rsid w:val="003D663C"/>
    <w:rsid w:val="00402480"/>
    <w:rsid w:val="00415191"/>
    <w:rsid w:val="00420239"/>
    <w:rsid w:val="00446E04"/>
    <w:rsid w:val="00497C97"/>
    <w:rsid w:val="004C3F21"/>
    <w:rsid w:val="004F01A8"/>
    <w:rsid w:val="0051760E"/>
    <w:rsid w:val="00541417"/>
    <w:rsid w:val="00551AC5"/>
    <w:rsid w:val="00552860"/>
    <w:rsid w:val="005B0777"/>
    <w:rsid w:val="005D0FD6"/>
    <w:rsid w:val="005E5E38"/>
    <w:rsid w:val="005F5785"/>
    <w:rsid w:val="00630E40"/>
    <w:rsid w:val="006325AA"/>
    <w:rsid w:val="006E0B4E"/>
    <w:rsid w:val="0074781A"/>
    <w:rsid w:val="00785037"/>
    <w:rsid w:val="00791739"/>
    <w:rsid w:val="00794C13"/>
    <w:rsid w:val="007952D8"/>
    <w:rsid w:val="007B4829"/>
    <w:rsid w:val="007C5820"/>
    <w:rsid w:val="007C76F2"/>
    <w:rsid w:val="007D1CB9"/>
    <w:rsid w:val="007F0F22"/>
    <w:rsid w:val="00856902"/>
    <w:rsid w:val="00882E81"/>
    <w:rsid w:val="008D7958"/>
    <w:rsid w:val="008F67BB"/>
    <w:rsid w:val="009463BC"/>
    <w:rsid w:val="00A01994"/>
    <w:rsid w:val="00AB7539"/>
    <w:rsid w:val="00AE55BD"/>
    <w:rsid w:val="00B533F8"/>
    <w:rsid w:val="00B62C83"/>
    <w:rsid w:val="00B92523"/>
    <w:rsid w:val="00CC46E6"/>
    <w:rsid w:val="00D80A32"/>
    <w:rsid w:val="00D84291"/>
    <w:rsid w:val="00DA4214"/>
    <w:rsid w:val="00DB2B8D"/>
    <w:rsid w:val="00DC08C4"/>
    <w:rsid w:val="00E82D3C"/>
    <w:rsid w:val="00E91939"/>
    <w:rsid w:val="00E97846"/>
    <w:rsid w:val="00EF409A"/>
    <w:rsid w:val="00EF76AB"/>
    <w:rsid w:val="00FE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1664"/>
  <w15:docId w15:val="{FD1A8C91-9519-E744-9FBF-AAAAF052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63C"/>
    <w:pPr>
      <w:spacing w:line="240" w:lineRule="auto"/>
    </w:pPr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63C"/>
    <w:rPr>
      <w:rFonts w:ascii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630E40"/>
    <w:pPr>
      <w:ind w:left="720"/>
    </w:pPr>
  </w:style>
  <w:style w:type="paragraph" w:customStyle="1" w:styleId="m8150305488810908143gmail-msolistparagraph">
    <w:name w:val="m_8150305488810908143gmail-msolistparagraph"/>
    <w:basedOn w:val="Normal"/>
    <w:rsid w:val="007D1CB9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C3F2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3F21"/>
    <w:rPr>
      <w:color w:val="808080"/>
      <w:shd w:val="clear" w:color="auto" w:fill="E6E6E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4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480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325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2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vances.sciencemag.org/content/4/8/eaao1378" TargetMode="External"/><Relationship Id="rId5" Type="http://schemas.openxmlformats.org/officeDocument/2006/relationships/hyperlink" Target="https://advances.sciencemag.org/content/4/8/eaao13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Michaela Clemence</dc:creator>
  <cp:lastModifiedBy>Michaela Clemence</cp:lastModifiedBy>
  <cp:revision>2</cp:revision>
  <dcterms:created xsi:type="dcterms:W3CDTF">2019-10-02T19:27:00Z</dcterms:created>
  <dcterms:modified xsi:type="dcterms:W3CDTF">2019-10-02T19:27:00Z</dcterms:modified>
</cp:coreProperties>
</file>