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C89F2" w14:textId="77DEA6CC" w:rsidR="00D32C29" w:rsidRDefault="004C68AD">
      <w:pPr>
        <w:rPr>
          <w:b/>
        </w:rPr>
      </w:pPr>
      <w:r w:rsidRPr="004C68AD">
        <w:rPr>
          <w:b/>
        </w:rPr>
        <w:t>Impact</w:t>
      </w:r>
      <w:r w:rsidR="003D6F42">
        <w:rPr>
          <w:b/>
        </w:rPr>
        <w:t>s</w:t>
      </w:r>
      <w:r w:rsidRPr="004C68AD">
        <w:rPr>
          <w:b/>
        </w:rPr>
        <w:t xml:space="preserve"> of historical warming on marine fisheries recruitment</w:t>
      </w:r>
    </w:p>
    <w:p w14:paraId="2413043B" w14:textId="77777777" w:rsidR="006B4ACA" w:rsidRDefault="006B4ACA">
      <w:pPr>
        <w:rPr>
          <w:b/>
        </w:rPr>
      </w:pPr>
    </w:p>
    <w:p w14:paraId="7EC29268" w14:textId="1C4D889D" w:rsidR="006B4ACA" w:rsidRDefault="006B4ACA">
      <w:pPr>
        <w:rPr>
          <w:b/>
        </w:rPr>
      </w:pPr>
      <w:r>
        <w:rPr>
          <w:b/>
        </w:rPr>
        <w:t>Introduction</w:t>
      </w:r>
    </w:p>
    <w:p w14:paraId="314E7778" w14:textId="2A4A050C" w:rsidR="006B4ACA" w:rsidRDefault="006B4ACA">
      <w:pPr>
        <w:rPr>
          <w:b/>
        </w:rPr>
      </w:pPr>
    </w:p>
    <w:p w14:paraId="74B057A7" w14:textId="49FB365C" w:rsidR="006B4ACA" w:rsidRPr="006B4ACA" w:rsidRDefault="006B4ACA">
      <w:r w:rsidRPr="006B4ACA">
        <w:t>Major papers for us to distinguish this paper from…</w:t>
      </w:r>
    </w:p>
    <w:p w14:paraId="45615052" w14:textId="41533F04" w:rsidR="006B4ACA" w:rsidRPr="006B4ACA" w:rsidRDefault="006B4ACA"/>
    <w:p w14:paraId="665D58AE" w14:textId="7A261095" w:rsidR="006B4ACA" w:rsidRPr="00FF319F" w:rsidRDefault="006B4ACA" w:rsidP="006B4ACA">
      <w:pPr>
        <w:pStyle w:val="ListParagraph"/>
        <w:numPr>
          <w:ilvl w:val="0"/>
          <w:numId w:val="1"/>
        </w:numPr>
        <w:rPr>
          <w:b/>
        </w:rPr>
      </w:pPr>
      <w:r w:rsidRPr="00FF319F">
        <w:rPr>
          <w:b/>
        </w:rPr>
        <w:t>Free et al. (</w:t>
      </w:r>
      <w:r w:rsidR="00B904EE">
        <w:rPr>
          <w:b/>
        </w:rPr>
        <w:t>in press</w:t>
      </w:r>
      <w:r w:rsidRPr="00FF319F">
        <w:rPr>
          <w:b/>
        </w:rPr>
        <w:t>)</w:t>
      </w:r>
      <w:r w:rsidR="00D2718D" w:rsidRPr="00FF319F">
        <w:rPr>
          <w:b/>
        </w:rPr>
        <w:t xml:space="preserve"> Impacts of historical warming on marine fisheries production.</w:t>
      </w:r>
      <w:r w:rsidR="002E4977">
        <w:rPr>
          <w:b/>
        </w:rPr>
        <w:t xml:space="preserve"> </w:t>
      </w:r>
      <w:r w:rsidR="002E4977" w:rsidRPr="002E4977">
        <w:rPr>
          <w:b/>
          <w:i/>
        </w:rPr>
        <w:t>Science</w:t>
      </w:r>
      <w:r w:rsidR="002E4977">
        <w:rPr>
          <w:b/>
          <w:i/>
        </w:rPr>
        <w:t>.</w:t>
      </w:r>
    </w:p>
    <w:p w14:paraId="0730D5F3" w14:textId="13DFD84B" w:rsidR="00CD085D" w:rsidRDefault="00FF319F" w:rsidP="00DD250B">
      <w:pPr>
        <w:pStyle w:val="ListParagraph"/>
        <w:numPr>
          <w:ilvl w:val="1"/>
          <w:numId w:val="1"/>
        </w:numPr>
      </w:pPr>
      <w:r>
        <w:t>Methods</w:t>
      </w:r>
    </w:p>
    <w:p w14:paraId="0D7971CB" w14:textId="4CF48D39" w:rsidR="00181136" w:rsidRDefault="00181136" w:rsidP="00181136">
      <w:pPr>
        <w:pStyle w:val="ListParagraph"/>
        <w:numPr>
          <w:ilvl w:val="2"/>
          <w:numId w:val="1"/>
        </w:numPr>
      </w:pPr>
      <w:r>
        <w:t>Very similar to approach applied here</w:t>
      </w:r>
    </w:p>
    <w:p w14:paraId="5CDA8F4F" w14:textId="33E1EF73" w:rsidR="00181136" w:rsidRDefault="00181136" w:rsidP="00181136">
      <w:pPr>
        <w:pStyle w:val="ListParagraph"/>
        <w:numPr>
          <w:ilvl w:val="2"/>
          <w:numId w:val="1"/>
        </w:numPr>
      </w:pPr>
      <w:r>
        <w:t>Fit SST-linked surplus production models to 235 stocks in the RAM Legacy Database to measure influence of warming on productivity</w:t>
      </w:r>
    </w:p>
    <w:p w14:paraId="41C05E6A" w14:textId="77DFDEED" w:rsidR="00181136" w:rsidRDefault="00181136" w:rsidP="00181136">
      <w:pPr>
        <w:pStyle w:val="ListParagraph"/>
        <w:numPr>
          <w:ilvl w:val="2"/>
          <w:numId w:val="1"/>
        </w:numPr>
      </w:pPr>
      <w:r>
        <w:t>Added hierarchy by taxonomy and geography to evaluate whether influences are structured by these groups</w:t>
      </w:r>
    </w:p>
    <w:p w14:paraId="6278255A" w14:textId="13EB22E8" w:rsidR="00181136" w:rsidRDefault="00181136" w:rsidP="00181136">
      <w:pPr>
        <w:pStyle w:val="ListParagraph"/>
        <w:numPr>
          <w:ilvl w:val="2"/>
          <w:numId w:val="1"/>
        </w:numPr>
      </w:pPr>
      <w:r>
        <w:t xml:space="preserve">Conducted post-hoc analyses to see if SST influence is driven by life history traits or characteristics of the population (thermal position, exploitation history, </w:t>
      </w:r>
      <w:proofErr w:type="spellStart"/>
      <w:r>
        <w:t>etc</w:t>
      </w:r>
      <w:proofErr w:type="spellEnd"/>
      <w:r>
        <w:t>)</w:t>
      </w:r>
    </w:p>
    <w:p w14:paraId="3EA6DD4C" w14:textId="5DAB37C8" w:rsidR="00181136" w:rsidRDefault="00181136" w:rsidP="00181136">
      <w:pPr>
        <w:pStyle w:val="ListParagraph"/>
        <w:numPr>
          <w:ilvl w:val="2"/>
          <w:numId w:val="1"/>
        </w:numPr>
      </w:pPr>
      <w:r>
        <w:t xml:space="preserve">Hindcast changes in MSY </w:t>
      </w:r>
      <w:r w:rsidR="00933472">
        <w:t>overall and by ecoregion</w:t>
      </w:r>
      <w:r>
        <w:t xml:space="preserve"> </w:t>
      </w:r>
    </w:p>
    <w:p w14:paraId="4C08DE29" w14:textId="69213493" w:rsidR="00FF319F" w:rsidRDefault="00FF319F" w:rsidP="00DD250B">
      <w:pPr>
        <w:pStyle w:val="ListParagraph"/>
        <w:numPr>
          <w:ilvl w:val="1"/>
          <w:numId w:val="1"/>
        </w:numPr>
      </w:pPr>
      <w:r>
        <w:t>Results</w:t>
      </w:r>
    </w:p>
    <w:p w14:paraId="39EAE370" w14:textId="1D1936A2" w:rsidR="00FF319F" w:rsidRDefault="00FF319F" w:rsidP="00FF319F">
      <w:pPr>
        <w:pStyle w:val="ListParagraph"/>
        <w:numPr>
          <w:ilvl w:val="2"/>
          <w:numId w:val="1"/>
        </w:numPr>
      </w:pPr>
      <w:r>
        <w:t>SST influences fisheries production</w:t>
      </w:r>
    </w:p>
    <w:p w14:paraId="6B519841" w14:textId="24A0242F" w:rsidR="00FF319F" w:rsidRDefault="00FF319F" w:rsidP="00FF319F">
      <w:pPr>
        <w:pStyle w:val="ListParagraph"/>
        <w:numPr>
          <w:ilvl w:val="2"/>
          <w:numId w:val="1"/>
        </w:numPr>
      </w:pPr>
      <w:r>
        <w:t>Influence of SST is structured by ecoregion and taxonomy</w:t>
      </w:r>
    </w:p>
    <w:p w14:paraId="5633BC95" w14:textId="4301B36B" w:rsidR="00FF319F" w:rsidRDefault="00FF319F" w:rsidP="00FF319F">
      <w:pPr>
        <w:pStyle w:val="ListParagraph"/>
        <w:numPr>
          <w:ilvl w:val="2"/>
          <w:numId w:val="1"/>
        </w:numPr>
      </w:pPr>
      <w:r>
        <w:t>Fast-lived species are more sensitive (both neg/</w:t>
      </w:r>
      <w:proofErr w:type="spellStart"/>
      <w:r>
        <w:t>pos</w:t>
      </w:r>
      <w:proofErr w:type="spellEnd"/>
      <w:r>
        <w:t>) to warming</w:t>
      </w:r>
    </w:p>
    <w:p w14:paraId="334CF2A1" w14:textId="057764D7" w:rsidR="00FF319F" w:rsidRDefault="00FF319F" w:rsidP="00FF319F">
      <w:pPr>
        <w:pStyle w:val="ListParagraph"/>
        <w:numPr>
          <w:ilvl w:val="2"/>
          <w:numId w:val="1"/>
        </w:numPr>
      </w:pPr>
      <w:r>
        <w:t>Stocks experiencing overfishing are more neg. impacted by warming</w:t>
      </w:r>
    </w:p>
    <w:p w14:paraId="506433D1" w14:textId="45C823CD" w:rsidR="00181136" w:rsidRDefault="00181136" w:rsidP="00FF319F">
      <w:pPr>
        <w:pStyle w:val="ListParagraph"/>
        <w:numPr>
          <w:ilvl w:val="2"/>
          <w:numId w:val="1"/>
        </w:numPr>
      </w:pPr>
      <w:r>
        <w:t>Stocks at the warm end of thermal niche are more vulnerable to warming</w:t>
      </w:r>
    </w:p>
    <w:p w14:paraId="2A124AD0" w14:textId="4B5841C4" w:rsidR="00181136" w:rsidRDefault="00181136" w:rsidP="00FF319F">
      <w:pPr>
        <w:pStyle w:val="ListParagraph"/>
        <w:numPr>
          <w:ilvl w:val="2"/>
          <w:numId w:val="1"/>
        </w:numPr>
      </w:pPr>
      <w:r>
        <w:t>MSY has declined on average with huge regional discrepancies</w:t>
      </w:r>
    </w:p>
    <w:p w14:paraId="31D4674B" w14:textId="0DED9BA2" w:rsidR="00FF319F" w:rsidRDefault="00FF319F" w:rsidP="00DD250B">
      <w:pPr>
        <w:pStyle w:val="ListParagraph"/>
        <w:numPr>
          <w:ilvl w:val="1"/>
          <w:numId w:val="1"/>
        </w:numPr>
      </w:pPr>
      <w:r>
        <w:t>Differences between present work</w:t>
      </w:r>
    </w:p>
    <w:p w14:paraId="3FAC9CD4" w14:textId="762EBE63" w:rsidR="00FF319F" w:rsidRDefault="00FF319F" w:rsidP="00FF319F">
      <w:pPr>
        <w:pStyle w:val="ListParagraph"/>
        <w:numPr>
          <w:ilvl w:val="2"/>
          <w:numId w:val="1"/>
        </w:numPr>
      </w:pPr>
      <w:r>
        <w:t>Recruitment is a component of production</w:t>
      </w:r>
    </w:p>
    <w:p w14:paraId="7A4AD160" w14:textId="52ECFFE1" w:rsidR="00FF319F" w:rsidRDefault="00FF319F" w:rsidP="00FF319F">
      <w:pPr>
        <w:pStyle w:val="ListParagraph"/>
        <w:numPr>
          <w:ilvl w:val="2"/>
          <w:numId w:val="1"/>
        </w:numPr>
      </w:pPr>
      <w:r>
        <w:t>We can see if impacts on recruitment align with impacts on production</w:t>
      </w:r>
    </w:p>
    <w:p w14:paraId="19F29C04" w14:textId="77777777" w:rsidR="00DD250B" w:rsidRPr="006B4ACA" w:rsidRDefault="00DD250B" w:rsidP="00DD250B"/>
    <w:p w14:paraId="4E438E56" w14:textId="779853E2" w:rsidR="006B4ACA" w:rsidRPr="00FF319F" w:rsidRDefault="006B4ACA" w:rsidP="006B4ACA">
      <w:pPr>
        <w:pStyle w:val="ListParagraph"/>
        <w:numPr>
          <w:ilvl w:val="0"/>
          <w:numId w:val="1"/>
        </w:numPr>
        <w:rPr>
          <w:b/>
        </w:rPr>
      </w:pPr>
      <w:r w:rsidRPr="00FF319F">
        <w:rPr>
          <w:b/>
        </w:rPr>
        <w:t>Britten et al. (2016)</w:t>
      </w:r>
      <w:r w:rsidR="00232ECE" w:rsidRPr="00FF319F">
        <w:rPr>
          <w:b/>
        </w:rPr>
        <w:t xml:space="preserve"> Changing recruitment capacity in global fish stocks. </w:t>
      </w:r>
      <w:r w:rsidR="00232ECE" w:rsidRPr="00FF319F">
        <w:rPr>
          <w:b/>
          <w:i/>
        </w:rPr>
        <w:t>PNAS.</w:t>
      </w:r>
    </w:p>
    <w:p w14:paraId="29D70DD9" w14:textId="30467032" w:rsidR="003B4B93" w:rsidRPr="003B4B93" w:rsidRDefault="003B4B93" w:rsidP="003B4B93">
      <w:pPr>
        <w:pStyle w:val="ListParagraph"/>
        <w:numPr>
          <w:ilvl w:val="1"/>
          <w:numId w:val="1"/>
        </w:numPr>
      </w:pPr>
      <w:r>
        <w:t>Methods</w:t>
      </w:r>
    </w:p>
    <w:p w14:paraId="5A4EB8CE" w14:textId="70827D3F" w:rsidR="003B4B93" w:rsidRDefault="003B4B93" w:rsidP="003B4B93">
      <w:pPr>
        <w:pStyle w:val="ListParagraph"/>
        <w:numPr>
          <w:ilvl w:val="2"/>
          <w:numId w:val="1"/>
        </w:numPr>
      </w:pPr>
      <w:r>
        <w:t>Estimate</w:t>
      </w:r>
      <w:r w:rsidR="00D55E96">
        <w:t>d</w:t>
      </w:r>
      <w:r>
        <w:t xml:space="preserve"> time-varying maximum recruitment capacity (R</w:t>
      </w:r>
      <w:r w:rsidRPr="003B4B93">
        <w:rPr>
          <w:vertAlign w:val="subscript"/>
        </w:rPr>
        <w:t>MAX</w:t>
      </w:r>
      <w:r>
        <w:t>) for 262 stocks in the RAM Legacy Database</w:t>
      </w:r>
    </w:p>
    <w:p w14:paraId="0F2D5AE6" w14:textId="70BA33DF" w:rsidR="003B4B93" w:rsidRDefault="003B4B93" w:rsidP="003B4B93">
      <w:pPr>
        <w:pStyle w:val="ListParagraph"/>
        <w:numPr>
          <w:ilvl w:val="2"/>
          <w:numId w:val="1"/>
        </w:numPr>
      </w:pPr>
      <w:r>
        <w:t xml:space="preserve">Calculate changes in </w:t>
      </w:r>
      <w:r w:rsidRPr="003B4B93">
        <w:rPr>
          <w:i/>
        </w:rPr>
        <w:t>R</w:t>
      </w:r>
      <w:r w:rsidRPr="003B4B93">
        <w:rPr>
          <w:i/>
          <w:vertAlign w:val="subscript"/>
        </w:rPr>
        <w:t>MAX</w:t>
      </w:r>
      <w:r>
        <w:t xml:space="preserve"> over time </w:t>
      </w:r>
      <w:r w:rsidR="00D55E96">
        <w:t xml:space="preserve">(linear slope) </w:t>
      </w:r>
      <w:r>
        <w:t>for each stock</w:t>
      </w:r>
      <w:r w:rsidR="00D55E96">
        <w:t xml:space="preserve"> (</w:t>
      </w:r>
      <w:r w:rsidR="00D55E96" w:rsidRPr="00925356">
        <w:t>Δ</w:t>
      </w:r>
      <w:r w:rsidR="00D55E96">
        <w:t>R</w:t>
      </w:r>
      <w:r w:rsidR="00D55E96" w:rsidRPr="00D55E96">
        <w:rPr>
          <w:vertAlign w:val="subscript"/>
        </w:rPr>
        <w:t>MAX</w:t>
      </w:r>
      <w:r w:rsidR="00D55E96">
        <w:t>)</w:t>
      </w:r>
    </w:p>
    <w:p w14:paraId="6FB0E21E" w14:textId="53817F97" w:rsidR="00DD250B" w:rsidRDefault="00D55E96" w:rsidP="0023313C">
      <w:pPr>
        <w:pStyle w:val="ListParagraph"/>
        <w:numPr>
          <w:ilvl w:val="2"/>
          <w:numId w:val="1"/>
        </w:numPr>
      </w:pPr>
      <w:r>
        <w:t xml:space="preserve">Calculate </w:t>
      </w:r>
      <w:r w:rsidRPr="00925356">
        <w:t>Δ</w:t>
      </w:r>
      <w:r>
        <w:t>R</w:t>
      </w:r>
      <w:r w:rsidRPr="00D55E96">
        <w:rPr>
          <w:vertAlign w:val="subscript"/>
        </w:rPr>
        <w:t>MAX</w:t>
      </w:r>
      <w:r>
        <w:t xml:space="preserve"> meta-analytic averages by taxonomy and ecoregion</w:t>
      </w:r>
    </w:p>
    <w:p w14:paraId="7B1D5A9F" w14:textId="5CEDC9D6" w:rsidR="00D55E96" w:rsidRDefault="00D55E96" w:rsidP="0023313C">
      <w:pPr>
        <w:pStyle w:val="ListParagraph"/>
        <w:numPr>
          <w:ilvl w:val="2"/>
          <w:numId w:val="1"/>
        </w:numPr>
      </w:pPr>
      <w:r>
        <w:t>Relate meta-analytic averages to change in environment and stock status</w:t>
      </w:r>
    </w:p>
    <w:p w14:paraId="29650124" w14:textId="2048A8D8" w:rsidR="00D55E96" w:rsidRPr="00D55E96" w:rsidRDefault="00D55E96" w:rsidP="00D55E96">
      <w:pPr>
        <w:pStyle w:val="ListParagraph"/>
        <w:numPr>
          <w:ilvl w:val="3"/>
          <w:numId w:val="1"/>
        </w:numPr>
      </w:pPr>
      <w:r w:rsidRPr="00925356">
        <w:t>Δ</w:t>
      </w:r>
      <w:r>
        <w:t>R</w:t>
      </w:r>
      <w:r w:rsidRPr="00D55E96">
        <w:rPr>
          <w:vertAlign w:val="subscript"/>
        </w:rPr>
        <w:t>MA</w:t>
      </w:r>
      <w:r>
        <w:rPr>
          <w:vertAlign w:val="subscript"/>
        </w:rPr>
        <w:t>X</w:t>
      </w:r>
      <w:r>
        <w:t xml:space="preserve"> ~ </w:t>
      </w:r>
      <w:proofErr w:type="spellStart"/>
      <w:r w:rsidRPr="00925356">
        <w:t>Δ</w:t>
      </w:r>
      <w:r>
        <w:t>Chl</w:t>
      </w:r>
      <w:proofErr w:type="spellEnd"/>
      <w:r>
        <w:t xml:space="preserve"> + </w:t>
      </w:r>
      <w:r w:rsidRPr="00925356">
        <w:t>Δ</w:t>
      </w:r>
      <w:r>
        <w:t xml:space="preserve">SST + </w:t>
      </w:r>
      <w:r w:rsidRPr="00925356">
        <w:t>Δ</w:t>
      </w:r>
      <w:r>
        <w:t>B/B</w:t>
      </w:r>
      <w:r w:rsidRPr="00D55E96">
        <w:rPr>
          <w:vertAlign w:val="subscript"/>
        </w:rPr>
        <w:t>MSY</w:t>
      </w:r>
    </w:p>
    <w:p w14:paraId="1E822FC0" w14:textId="687C7CC9" w:rsidR="00D55E96" w:rsidRDefault="00D55E96" w:rsidP="00D55E96">
      <w:pPr>
        <w:pStyle w:val="ListParagraph"/>
        <w:numPr>
          <w:ilvl w:val="1"/>
          <w:numId w:val="1"/>
        </w:numPr>
      </w:pPr>
      <w:r>
        <w:t>Results</w:t>
      </w:r>
    </w:p>
    <w:p w14:paraId="0ACC1E30" w14:textId="0BDE0238" w:rsidR="00D55E96" w:rsidRDefault="000A70B4" w:rsidP="00D55E96">
      <w:pPr>
        <w:pStyle w:val="ListParagraph"/>
        <w:numPr>
          <w:ilvl w:val="2"/>
          <w:numId w:val="1"/>
        </w:numPr>
      </w:pPr>
      <w:r>
        <w:t>128 stocks show declining R</w:t>
      </w:r>
      <w:r w:rsidRPr="00FF319F">
        <w:rPr>
          <w:vertAlign w:val="subscript"/>
        </w:rPr>
        <w:t>MAX</w:t>
      </w:r>
    </w:p>
    <w:p w14:paraId="5F07E54D" w14:textId="45D932B6" w:rsidR="000A70B4" w:rsidRDefault="000A70B4" w:rsidP="00D55E96">
      <w:pPr>
        <w:pStyle w:val="ListParagraph"/>
        <w:numPr>
          <w:ilvl w:val="2"/>
          <w:numId w:val="1"/>
        </w:numPr>
      </w:pPr>
      <w:r>
        <w:t>Global average suggests 3% decline in R</w:t>
      </w:r>
      <w:r w:rsidRPr="000A70B4">
        <w:rPr>
          <w:vertAlign w:val="subscript"/>
        </w:rPr>
        <w:t>MAX</w:t>
      </w:r>
      <w:r>
        <w:t xml:space="preserve"> (unweighted)</w:t>
      </w:r>
    </w:p>
    <w:p w14:paraId="387B5126" w14:textId="0CCBA07E" w:rsidR="006A6FDD" w:rsidRDefault="006A6FDD" w:rsidP="00D55E96">
      <w:pPr>
        <w:pStyle w:val="ListParagraph"/>
        <w:numPr>
          <w:ilvl w:val="2"/>
          <w:numId w:val="1"/>
        </w:numPr>
      </w:pPr>
      <w:r>
        <w:t>N. Atlantic shows steep decline while N. Pacific shows neutral trend</w:t>
      </w:r>
    </w:p>
    <w:p w14:paraId="7AD8C940" w14:textId="5ABD2657" w:rsidR="006A6FDD" w:rsidRDefault="006A6FDD" w:rsidP="00D55E96">
      <w:pPr>
        <w:pStyle w:val="ListParagraph"/>
        <w:numPr>
          <w:ilvl w:val="2"/>
          <w:numId w:val="1"/>
        </w:numPr>
      </w:pPr>
      <w:r>
        <w:t>Groundfish show steep decline in R</w:t>
      </w:r>
      <w:r w:rsidRPr="006A6FDD">
        <w:rPr>
          <w:vertAlign w:val="subscript"/>
        </w:rPr>
        <w:t>MAX</w:t>
      </w:r>
    </w:p>
    <w:p w14:paraId="2574BF88" w14:textId="26D21011" w:rsidR="006A6FDD" w:rsidRDefault="006A6FDD" w:rsidP="00D55E96">
      <w:pPr>
        <w:pStyle w:val="ListParagraph"/>
        <w:numPr>
          <w:ilvl w:val="2"/>
          <w:numId w:val="1"/>
        </w:numPr>
      </w:pPr>
      <w:r w:rsidRPr="00925356">
        <w:t>Δ</w:t>
      </w:r>
      <w:r>
        <w:t>R</w:t>
      </w:r>
      <w:r w:rsidRPr="00D55E96">
        <w:rPr>
          <w:vertAlign w:val="subscript"/>
        </w:rPr>
        <w:t>MA</w:t>
      </w:r>
      <w:r>
        <w:rPr>
          <w:vertAlign w:val="subscript"/>
        </w:rPr>
        <w:t>X</w:t>
      </w:r>
      <w:r>
        <w:t xml:space="preserve"> is significantly related to </w:t>
      </w:r>
      <w:proofErr w:type="spellStart"/>
      <w:r w:rsidRPr="00925356">
        <w:t>Δ</w:t>
      </w:r>
      <w:r>
        <w:t>Chl</w:t>
      </w:r>
      <w:proofErr w:type="spellEnd"/>
      <w:r>
        <w:t xml:space="preserve"> (positive, generally most important) and </w:t>
      </w:r>
      <w:r w:rsidRPr="00925356">
        <w:t>Δ</w:t>
      </w:r>
      <w:r>
        <w:t>B/B</w:t>
      </w:r>
      <w:r w:rsidRPr="006A6FDD">
        <w:rPr>
          <w:vertAlign w:val="subscript"/>
        </w:rPr>
        <w:t>MSY</w:t>
      </w:r>
      <w:r>
        <w:t xml:space="preserve"> (negative, most important for groundfish)</w:t>
      </w:r>
    </w:p>
    <w:p w14:paraId="2DB4D13E" w14:textId="3F96D7DB" w:rsidR="006A6FDD" w:rsidRDefault="006A6FDD" w:rsidP="006A6FDD">
      <w:pPr>
        <w:pStyle w:val="ListParagraph"/>
        <w:numPr>
          <w:ilvl w:val="3"/>
          <w:numId w:val="1"/>
        </w:numPr>
      </w:pPr>
      <w:r>
        <w:lastRenderedPageBreak/>
        <w:t xml:space="preserve">Not related to </w:t>
      </w:r>
      <w:r w:rsidRPr="00925356">
        <w:t>Δ</w:t>
      </w:r>
      <w:r>
        <w:t>SST!!!</w:t>
      </w:r>
    </w:p>
    <w:p w14:paraId="4D3D1BC7" w14:textId="7403B71A" w:rsidR="006A6FDD" w:rsidRDefault="006A6FDD" w:rsidP="006A6FDD">
      <w:pPr>
        <w:pStyle w:val="ListParagraph"/>
        <w:numPr>
          <w:ilvl w:val="1"/>
          <w:numId w:val="1"/>
        </w:numPr>
      </w:pPr>
      <w:r>
        <w:t>Differences between present work</w:t>
      </w:r>
    </w:p>
    <w:p w14:paraId="4D944932" w14:textId="36D3310E" w:rsidR="006A6FDD" w:rsidRDefault="00A50D0B" w:rsidP="006A6FDD">
      <w:pPr>
        <w:pStyle w:val="ListParagraph"/>
        <w:numPr>
          <w:ilvl w:val="2"/>
          <w:numId w:val="1"/>
        </w:numPr>
      </w:pPr>
      <w:r>
        <w:t>SST not directly incorporated into model</w:t>
      </w:r>
    </w:p>
    <w:p w14:paraId="5F0DC505" w14:textId="01B4F807" w:rsidR="00A50D0B" w:rsidRDefault="00FF319F" w:rsidP="006A6FDD">
      <w:pPr>
        <w:pStyle w:val="ListParagraph"/>
        <w:numPr>
          <w:ilvl w:val="2"/>
          <w:numId w:val="1"/>
        </w:numPr>
      </w:pPr>
      <w:r>
        <w:t>SST not found to be important driver of changing recruitment</w:t>
      </w:r>
    </w:p>
    <w:p w14:paraId="169BC3F1" w14:textId="77777777" w:rsidR="00FF319F" w:rsidRDefault="00FF319F" w:rsidP="00FF319F">
      <w:pPr>
        <w:ind w:left="1980"/>
      </w:pPr>
    </w:p>
    <w:p w14:paraId="2A84C57C" w14:textId="55F6C3AA" w:rsidR="00BE3489" w:rsidRPr="00FF319F" w:rsidRDefault="00BE3489" w:rsidP="00BE3489">
      <w:pPr>
        <w:pStyle w:val="ListParagraph"/>
        <w:numPr>
          <w:ilvl w:val="0"/>
          <w:numId w:val="1"/>
        </w:numPr>
        <w:rPr>
          <w:b/>
        </w:rPr>
      </w:pPr>
      <w:proofErr w:type="spellStart"/>
      <w:r w:rsidRPr="00FF319F">
        <w:rPr>
          <w:b/>
        </w:rPr>
        <w:t>Szuwalski</w:t>
      </w:r>
      <w:proofErr w:type="spellEnd"/>
      <w:r w:rsidRPr="00FF319F">
        <w:rPr>
          <w:b/>
        </w:rPr>
        <w:t xml:space="preserve"> et al. (</w:t>
      </w:r>
      <w:r w:rsidR="00D2718D" w:rsidRPr="00FF319F">
        <w:rPr>
          <w:b/>
        </w:rPr>
        <w:t>2016</w:t>
      </w:r>
      <w:r w:rsidRPr="00FF319F">
        <w:rPr>
          <w:b/>
        </w:rPr>
        <w:t>)</w:t>
      </w:r>
      <w:r w:rsidR="00D2718D" w:rsidRPr="00FF319F">
        <w:rPr>
          <w:b/>
        </w:rPr>
        <w:t xml:space="preserve"> Changing fisheries productivity and food security. </w:t>
      </w:r>
      <w:r w:rsidR="00D2718D" w:rsidRPr="00FF319F">
        <w:rPr>
          <w:b/>
          <w:i/>
        </w:rPr>
        <w:t>PNAS.</w:t>
      </w:r>
    </w:p>
    <w:p w14:paraId="2DD70CAC" w14:textId="5F6C3306" w:rsidR="00FF319F" w:rsidRDefault="00FF319F" w:rsidP="00FF319F">
      <w:pPr>
        <w:pStyle w:val="ListParagraph"/>
        <w:numPr>
          <w:ilvl w:val="1"/>
          <w:numId w:val="1"/>
        </w:numPr>
      </w:pPr>
      <w:r>
        <w:t>Rebuttal to Britten et al. (2016)</w:t>
      </w:r>
    </w:p>
    <w:p w14:paraId="4D315D63" w14:textId="6D458114" w:rsidR="00FF319F" w:rsidRPr="00925356" w:rsidRDefault="00FF319F" w:rsidP="00933472">
      <w:pPr>
        <w:pStyle w:val="ListParagraph"/>
        <w:numPr>
          <w:ilvl w:val="1"/>
          <w:numId w:val="1"/>
        </w:numPr>
      </w:pPr>
      <w:r w:rsidRPr="00925356">
        <w:t xml:space="preserve">Argues that </w:t>
      </w:r>
      <w:r w:rsidR="00961D13">
        <w:t xml:space="preserve">the 3% decline in recruitment capacity reported by </w:t>
      </w:r>
      <w:r w:rsidRPr="00925356">
        <w:t>Britten et al.</w:t>
      </w:r>
      <w:r w:rsidR="00961D13">
        <w:t xml:space="preserve"> is difficult to interpret because it is not weighted by stock size (i.e., catch or biomass); weighting by stock importance is necessary for </w:t>
      </w:r>
      <w:proofErr w:type="spellStart"/>
      <w:r w:rsidR="00961D13">
        <w:t>thi</w:t>
      </w:r>
      <w:proofErr w:type="spellEnd"/>
    </w:p>
    <w:p w14:paraId="79D86B17" w14:textId="77777777" w:rsidR="00FF319F" w:rsidRPr="00925356" w:rsidRDefault="00FF319F" w:rsidP="00FF319F">
      <w:pPr>
        <w:pStyle w:val="ListParagraph"/>
        <w:numPr>
          <w:ilvl w:val="1"/>
          <w:numId w:val="1"/>
        </w:numPr>
      </w:pPr>
      <w:r w:rsidRPr="00925356">
        <w:t>Weighting by biomass removes negative trend (recruitment capacity same)</w:t>
      </w:r>
    </w:p>
    <w:p w14:paraId="7E91402C" w14:textId="77777777" w:rsidR="00FF319F" w:rsidRPr="00925356" w:rsidRDefault="00FF319F" w:rsidP="00FF319F">
      <w:pPr>
        <w:pStyle w:val="ListParagraph"/>
        <w:numPr>
          <w:ilvl w:val="1"/>
          <w:numId w:val="1"/>
        </w:numPr>
      </w:pPr>
      <w:r w:rsidRPr="00925356">
        <w:t>Weighting by catch reverses trend (recruitment capacity increasing)</w:t>
      </w:r>
    </w:p>
    <w:p w14:paraId="5A6E1BE7" w14:textId="5309A1F0" w:rsidR="00FF319F" w:rsidRPr="00DD250B" w:rsidRDefault="00FF319F" w:rsidP="0023313C">
      <w:pPr>
        <w:pStyle w:val="ListParagraph"/>
        <w:numPr>
          <w:ilvl w:val="1"/>
          <w:numId w:val="1"/>
        </w:numPr>
      </w:pPr>
      <w:r w:rsidRPr="00925356">
        <w:t>Also argues that fitting linear slope to the 60% of stocks with regimes is problematic given the sensitivity to which regime you’re in at start/end of time series</w:t>
      </w:r>
    </w:p>
    <w:p w14:paraId="43900A91" w14:textId="77777777" w:rsidR="00DD250B" w:rsidRPr="006B4ACA" w:rsidRDefault="00DD250B" w:rsidP="00DD250B"/>
    <w:p w14:paraId="45B4DDEA" w14:textId="17F6FAB3" w:rsidR="00C05D85" w:rsidRPr="00C05D85" w:rsidRDefault="006B4ACA" w:rsidP="00C05D85">
      <w:pPr>
        <w:pStyle w:val="ListParagraph"/>
        <w:numPr>
          <w:ilvl w:val="0"/>
          <w:numId w:val="1"/>
        </w:numPr>
        <w:rPr>
          <w:b/>
        </w:rPr>
      </w:pPr>
      <w:proofErr w:type="spellStart"/>
      <w:r w:rsidRPr="00FF319F">
        <w:rPr>
          <w:b/>
        </w:rPr>
        <w:t>Szuwalski</w:t>
      </w:r>
      <w:proofErr w:type="spellEnd"/>
      <w:r w:rsidRPr="00FF319F">
        <w:rPr>
          <w:b/>
        </w:rPr>
        <w:t xml:space="preserve"> et al. (</w:t>
      </w:r>
      <w:r w:rsidR="00BE3489" w:rsidRPr="00FF319F">
        <w:rPr>
          <w:b/>
        </w:rPr>
        <w:t>2015</w:t>
      </w:r>
      <w:r w:rsidRPr="00FF319F">
        <w:rPr>
          <w:b/>
        </w:rPr>
        <w:t>)</w:t>
      </w:r>
      <w:r w:rsidR="00BE3489" w:rsidRPr="00FF319F">
        <w:rPr>
          <w:b/>
        </w:rPr>
        <w:t xml:space="preserve"> Examining common assumptions about recruitment: a meta-analysis of recruitment dynamics for worldwide marine fisheries.</w:t>
      </w:r>
      <w:r w:rsidR="00D2718D" w:rsidRPr="00FF319F">
        <w:rPr>
          <w:b/>
        </w:rPr>
        <w:t xml:space="preserve"> </w:t>
      </w:r>
      <w:r w:rsidR="00D2718D" w:rsidRPr="00FF319F">
        <w:rPr>
          <w:b/>
          <w:i/>
        </w:rPr>
        <w:t>Fish and Fisheries.</w:t>
      </w:r>
    </w:p>
    <w:p w14:paraId="78FC5C2C" w14:textId="03921A3E" w:rsidR="00C05D85" w:rsidRDefault="00C05D85" w:rsidP="00C05D85">
      <w:pPr>
        <w:pStyle w:val="ListParagraph"/>
        <w:numPr>
          <w:ilvl w:val="1"/>
          <w:numId w:val="1"/>
        </w:numPr>
      </w:pPr>
      <w:r w:rsidRPr="00C05D85">
        <w:t>Methods</w:t>
      </w:r>
    </w:p>
    <w:p w14:paraId="1705674F" w14:textId="6734D738" w:rsidR="0085459E" w:rsidRDefault="0085459E" w:rsidP="0085459E">
      <w:pPr>
        <w:pStyle w:val="ListParagraph"/>
        <w:numPr>
          <w:ilvl w:val="2"/>
          <w:numId w:val="1"/>
        </w:numPr>
      </w:pPr>
      <w:r>
        <w:t>Use cross-correlation to investigate whether biomass</w:t>
      </w:r>
      <w:r w:rsidR="00BE31E9">
        <w:t xml:space="preserve"> and recruitment are positively related and whether biomass</w:t>
      </w:r>
      <w:r>
        <w:t xml:space="preserve"> leads recruitment in 224 RAM Legacy Database stocks</w:t>
      </w:r>
    </w:p>
    <w:p w14:paraId="71317115" w14:textId="79DA8A4E" w:rsidR="00BE31E9" w:rsidRDefault="00BE31E9" w:rsidP="0085459E">
      <w:pPr>
        <w:pStyle w:val="ListParagraph"/>
        <w:numPr>
          <w:ilvl w:val="2"/>
          <w:numId w:val="1"/>
        </w:numPr>
      </w:pPr>
      <w:r>
        <w:t>Cross-correlation examines at different lags so that you can see whether biomass drives recruitment or recruitment drives biomass</w:t>
      </w:r>
    </w:p>
    <w:p w14:paraId="737949B1" w14:textId="19F0C386" w:rsidR="0085459E" w:rsidRDefault="00BE31E9" w:rsidP="0085459E">
      <w:pPr>
        <w:pStyle w:val="ListParagraph"/>
        <w:numPr>
          <w:ilvl w:val="2"/>
          <w:numId w:val="1"/>
        </w:numPr>
      </w:pPr>
      <w:r>
        <w:t>Delineate two types of patterns:</w:t>
      </w:r>
    </w:p>
    <w:p w14:paraId="4489BDBA" w14:textId="63E98FC9" w:rsidR="00BE31E9" w:rsidRDefault="00BE31E9" w:rsidP="00BE31E9">
      <w:pPr>
        <w:pStyle w:val="ListParagraph"/>
        <w:numPr>
          <w:ilvl w:val="3"/>
          <w:numId w:val="1"/>
        </w:numPr>
      </w:pPr>
      <w:r>
        <w:t>Biomass drives recruitment</w:t>
      </w:r>
    </w:p>
    <w:p w14:paraId="123DFFCB" w14:textId="043FD13E" w:rsidR="00BE31E9" w:rsidRDefault="00BE31E9" w:rsidP="00BE31E9">
      <w:pPr>
        <w:pStyle w:val="ListParagraph"/>
        <w:numPr>
          <w:ilvl w:val="3"/>
          <w:numId w:val="1"/>
        </w:numPr>
      </w:pPr>
      <w:r>
        <w:t>Environmentally driven=recruit drives biomass OR no relationship</w:t>
      </w:r>
    </w:p>
    <w:p w14:paraId="1F4AE994" w14:textId="1AE6F4CD" w:rsidR="00BE31E9" w:rsidRDefault="00BE31E9" w:rsidP="00BE31E9">
      <w:pPr>
        <w:pStyle w:val="ListParagraph"/>
        <w:numPr>
          <w:ilvl w:val="2"/>
          <w:numId w:val="1"/>
        </w:numPr>
      </w:pPr>
      <w:r>
        <w:t>Stocks with dome-shaped recruitment (Ricker) have data truncated for testing</w:t>
      </w:r>
    </w:p>
    <w:p w14:paraId="294A28D4" w14:textId="03F2655C" w:rsidR="00BE31E9" w:rsidRDefault="00BE31E9" w:rsidP="00BE31E9">
      <w:pPr>
        <w:pStyle w:val="ListParagraph"/>
        <w:numPr>
          <w:ilvl w:val="2"/>
          <w:numId w:val="1"/>
        </w:numPr>
      </w:pPr>
      <w:r>
        <w:t xml:space="preserve">Uses </w:t>
      </w:r>
      <w:proofErr w:type="spellStart"/>
      <w:r>
        <w:t>Rodionov’s</w:t>
      </w:r>
      <w:proofErr w:type="spellEnd"/>
      <w:r>
        <w:t xml:space="preserve"> sequential t-test </w:t>
      </w:r>
      <w:proofErr w:type="spellStart"/>
      <w:r>
        <w:t>algortith</w:t>
      </w:r>
      <w:proofErr w:type="spellEnd"/>
      <w:r>
        <w:t xml:space="preserve"> for regime shifts (STARS) to identify regime shifts</w:t>
      </w:r>
    </w:p>
    <w:p w14:paraId="238555D0" w14:textId="1F0087DD" w:rsidR="003970FA" w:rsidRPr="00C05D85" w:rsidRDefault="003970FA" w:rsidP="003970FA">
      <w:pPr>
        <w:pStyle w:val="ListParagraph"/>
        <w:numPr>
          <w:ilvl w:val="2"/>
          <w:numId w:val="1"/>
        </w:numPr>
      </w:pPr>
      <w:r>
        <w:t>Evaluated significance of synchronous changes in recruitment within an LME</w:t>
      </w:r>
    </w:p>
    <w:p w14:paraId="2BEFCB41" w14:textId="115C676E" w:rsidR="00C05D85" w:rsidRDefault="00C05D85" w:rsidP="00C05D85">
      <w:pPr>
        <w:pStyle w:val="ListParagraph"/>
        <w:numPr>
          <w:ilvl w:val="1"/>
          <w:numId w:val="1"/>
        </w:numPr>
      </w:pPr>
      <w:r w:rsidRPr="00C05D85">
        <w:t>Results</w:t>
      </w:r>
    </w:p>
    <w:p w14:paraId="20F898B7" w14:textId="5D3843A6" w:rsidR="003970FA" w:rsidRDefault="00281BDB" w:rsidP="003970FA">
      <w:pPr>
        <w:pStyle w:val="ListParagraph"/>
        <w:numPr>
          <w:ilvl w:val="2"/>
          <w:numId w:val="1"/>
        </w:numPr>
      </w:pPr>
      <w:r>
        <w:t>Ricker</w:t>
      </w:r>
      <w:r w:rsidR="003970FA">
        <w:t xml:space="preserve"> recruitment in 17% of stocks</w:t>
      </w:r>
      <w:r>
        <w:t xml:space="preserve"> (n=38)</w:t>
      </w:r>
    </w:p>
    <w:p w14:paraId="13A23FC3" w14:textId="2B5C7B62" w:rsidR="00281BDB" w:rsidRDefault="00281BDB" w:rsidP="00281BDB">
      <w:pPr>
        <w:pStyle w:val="ListParagraph"/>
        <w:numPr>
          <w:ilvl w:val="3"/>
          <w:numId w:val="1"/>
        </w:numPr>
      </w:pPr>
      <w:r>
        <w:t xml:space="preserve">18% (7/38) of these showed </w:t>
      </w:r>
      <w:proofErr w:type="spellStart"/>
      <w:r>
        <w:t>pos</w:t>
      </w:r>
      <w:proofErr w:type="spellEnd"/>
      <w:r>
        <w:t xml:space="preserve"> relationship between SSB and R</w:t>
      </w:r>
    </w:p>
    <w:p w14:paraId="1BE34CB3" w14:textId="24A4B30A" w:rsidR="00281BDB" w:rsidRDefault="00281BDB" w:rsidP="003970FA">
      <w:pPr>
        <w:pStyle w:val="ListParagraph"/>
        <w:numPr>
          <w:ilvl w:val="2"/>
          <w:numId w:val="1"/>
        </w:numPr>
      </w:pPr>
      <w:r>
        <w:t>BH recruitment in remaining 83% of stocks (n=186)</w:t>
      </w:r>
    </w:p>
    <w:p w14:paraId="026FF2E4" w14:textId="543770A9" w:rsidR="003970FA" w:rsidRDefault="003970FA" w:rsidP="00281BDB">
      <w:pPr>
        <w:pStyle w:val="ListParagraph"/>
        <w:numPr>
          <w:ilvl w:val="3"/>
          <w:numId w:val="1"/>
        </w:numPr>
      </w:pPr>
      <w:r>
        <w:t xml:space="preserve">Spawning biomass had no affect on 47% of </w:t>
      </w:r>
      <w:r w:rsidR="00281BDB">
        <w:t>these stocks</w:t>
      </w:r>
    </w:p>
    <w:p w14:paraId="6F87FF7E" w14:textId="042176E8" w:rsidR="003970FA" w:rsidRDefault="00B7552B" w:rsidP="003970FA">
      <w:pPr>
        <w:pStyle w:val="ListParagraph"/>
        <w:numPr>
          <w:ilvl w:val="2"/>
          <w:numId w:val="1"/>
        </w:numPr>
      </w:pPr>
      <w:r>
        <w:t>In 64% (52/81) of</w:t>
      </w:r>
      <w:r w:rsidR="00281BDB">
        <w:t xml:space="preserve"> stocks (81/224=36%) showing positive relationship between SSB and R, </w:t>
      </w:r>
      <w:r>
        <w:t>R influenced SSB more strongly than SSB influenced R</w:t>
      </w:r>
    </w:p>
    <w:p w14:paraId="12DB49C6" w14:textId="1D93ED98" w:rsidR="007872DB" w:rsidRDefault="007872DB" w:rsidP="003970FA">
      <w:pPr>
        <w:pStyle w:val="ListParagraph"/>
        <w:numPr>
          <w:ilvl w:val="2"/>
          <w:numId w:val="1"/>
        </w:numPr>
      </w:pPr>
      <w:r>
        <w:t>Regime shifts were present in 160 of 188 stocks</w:t>
      </w:r>
    </w:p>
    <w:p w14:paraId="4F0EA4C7" w14:textId="2B1DA94D" w:rsidR="007872DB" w:rsidRDefault="007872DB" w:rsidP="003970FA">
      <w:pPr>
        <w:pStyle w:val="ListParagraph"/>
        <w:numPr>
          <w:ilvl w:val="2"/>
          <w:numId w:val="1"/>
        </w:numPr>
      </w:pPr>
      <w:r>
        <w:t xml:space="preserve">SSB-driven dynamics were most common in </w:t>
      </w:r>
      <w:proofErr w:type="spellStart"/>
      <w:r>
        <w:t>Gadiformes</w:t>
      </w:r>
      <w:proofErr w:type="spellEnd"/>
    </w:p>
    <w:p w14:paraId="2BF4AC0A" w14:textId="50932DDF" w:rsidR="007872DB" w:rsidRDefault="007872DB" w:rsidP="003970FA">
      <w:pPr>
        <w:pStyle w:val="ListParagraph"/>
        <w:numPr>
          <w:ilvl w:val="2"/>
          <w:numId w:val="1"/>
        </w:numPr>
      </w:pPr>
      <w:r>
        <w:t xml:space="preserve">R-driven SSB for </w:t>
      </w:r>
      <w:proofErr w:type="spellStart"/>
      <w:r>
        <w:t>Scorpaeniformes</w:t>
      </w:r>
      <w:proofErr w:type="spellEnd"/>
    </w:p>
    <w:p w14:paraId="3953A113" w14:textId="0B2EFD20" w:rsidR="007872DB" w:rsidRDefault="007872DB" w:rsidP="003970FA">
      <w:pPr>
        <w:pStyle w:val="ListParagraph"/>
        <w:numPr>
          <w:ilvl w:val="2"/>
          <w:numId w:val="1"/>
        </w:numPr>
      </w:pPr>
      <w:r>
        <w:t xml:space="preserve">Cyclical influences for </w:t>
      </w:r>
      <w:proofErr w:type="spellStart"/>
      <w:r>
        <w:t>Clupeiformes</w:t>
      </w:r>
      <w:proofErr w:type="spellEnd"/>
    </w:p>
    <w:p w14:paraId="24B1597E" w14:textId="50CEB436" w:rsidR="007872DB" w:rsidRDefault="007872DB" w:rsidP="003970FA">
      <w:pPr>
        <w:pStyle w:val="ListParagraph"/>
        <w:numPr>
          <w:ilvl w:val="2"/>
          <w:numId w:val="1"/>
        </w:numPr>
      </w:pPr>
      <w:r>
        <w:lastRenderedPageBreak/>
        <w:t>Shows synchrony among LME and that there is a common driver</w:t>
      </w:r>
    </w:p>
    <w:p w14:paraId="1C5913BA" w14:textId="79F33840" w:rsidR="007872DB" w:rsidRDefault="007872DB" w:rsidP="007872DB">
      <w:pPr>
        <w:pStyle w:val="ListParagraph"/>
        <w:numPr>
          <w:ilvl w:val="1"/>
          <w:numId w:val="1"/>
        </w:numPr>
      </w:pPr>
      <w:r>
        <w:t>Conclusions</w:t>
      </w:r>
    </w:p>
    <w:p w14:paraId="02C1F0E1" w14:textId="158B8051" w:rsidR="007872DB" w:rsidRPr="00C05D85" w:rsidRDefault="007872DB" w:rsidP="007872DB">
      <w:pPr>
        <w:pStyle w:val="ListParagraph"/>
        <w:numPr>
          <w:ilvl w:val="2"/>
          <w:numId w:val="1"/>
        </w:numPr>
      </w:pPr>
      <w:r>
        <w:t>Recruitment driven by environment (but what in environment not shown)</w:t>
      </w:r>
    </w:p>
    <w:p w14:paraId="7BE104AB" w14:textId="7268EA18" w:rsidR="00C05D85" w:rsidRDefault="00C05D85" w:rsidP="00C05D85">
      <w:pPr>
        <w:pStyle w:val="ListParagraph"/>
        <w:numPr>
          <w:ilvl w:val="1"/>
          <w:numId w:val="1"/>
        </w:numPr>
      </w:pPr>
      <w:r w:rsidRPr="00C05D85">
        <w:t>Differences between present work</w:t>
      </w:r>
    </w:p>
    <w:p w14:paraId="3DE99F7E" w14:textId="5AC1800D" w:rsidR="003970FA" w:rsidRDefault="003970FA" w:rsidP="003970FA">
      <w:pPr>
        <w:pStyle w:val="ListParagraph"/>
        <w:numPr>
          <w:ilvl w:val="2"/>
          <w:numId w:val="1"/>
        </w:numPr>
      </w:pPr>
      <w:r>
        <w:t>They ask whether environment or biomass drives recruitment and we show that environment AND biomass drive recruitment</w:t>
      </w:r>
    </w:p>
    <w:p w14:paraId="4C5A69B5" w14:textId="24E45CBA" w:rsidR="007872DB" w:rsidRDefault="007872DB" w:rsidP="003970FA">
      <w:pPr>
        <w:pStyle w:val="ListParagraph"/>
        <w:numPr>
          <w:ilvl w:val="2"/>
          <w:numId w:val="1"/>
        </w:numPr>
      </w:pPr>
      <w:r>
        <w:t>Identifies that environment matters but doesn’t say what about environment (not mechanistic)</w:t>
      </w:r>
    </w:p>
    <w:p w14:paraId="67C60EA1" w14:textId="0F81C7CD" w:rsidR="007872DB" w:rsidRPr="00C05D85" w:rsidRDefault="007872DB" w:rsidP="003970FA">
      <w:pPr>
        <w:pStyle w:val="ListParagraph"/>
        <w:numPr>
          <w:ilvl w:val="2"/>
          <w:numId w:val="1"/>
        </w:numPr>
      </w:pPr>
      <w:r>
        <w:t>Speculates about common driver in LMEs but doesn’t say what it could be</w:t>
      </w:r>
    </w:p>
    <w:p w14:paraId="78550534" w14:textId="77777777" w:rsidR="006B4ACA" w:rsidRDefault="006B4ACA">
      <w:pPr>
        <w:rPr>
          <w:b/>
        </w:rPr>
      </w:pPr>
    </w:p>
    <w:p w14:paraId="4B614DFF" w14:textId="77777777" w:rsidR="00C05D85" w:rsidRDefault="00C05D85">
      <w:pPr>
        <w:rPr>
          <w:b/>
        </w:rPr>
      </w:pPr>
      <w:r>
        <w:rPr>
          <w:b/>
        </w:rPr>
        <w:br w:type="page"/>
      </w:r>
    </w:p>
    <w:p w14:paraId="20110032" w14:textId="71BF1A4F" w:rsidR="004C68AD" w:rsidRPr="004C68AD" w:rsidRDefault="004C68AD">
      <w:pPr>
        <w:rPr>
          <w:b/>
        </w:rPr>
      </w:pPr>
      <w:r w:rsidRPr="004C68AD">
        <w:rPr>
          <w:b/>
        </w:rPr>
        <w:lastRenderedPageBreak/>
        <w:t>Methods</w:t>
      </w:r>
    </w:p>
    <w:p w14:paraId="47413084" w14:textId="13C305FF" w:rsidR="004C68AD" w:rsidRDefault="004C68AD"/>
    <w:p w14:paraId="3BC9BD36" w14:textId="67E1F696" w:rsidR="00CC73CD" w:rsidRPr="00CC73CD" w:rsidRDefault="008A5C59">
      <w:pPr>
        <w:rPr>
          <w:u w:val="single"/>
        </w:rPr>
      </w:pPr>
      <w:r>
        <w:rPr>
          <w:u w:val="single"/>
        </w:rPr>
        <w:t>Overview</w:t>
      </w:r>
    </w:p>
    <w:p w14:paraId="71B37494" w14:textId="68A8B706" w:rsidR="00CC73CD" w:rsidRDefault="00CC73CD"/>
    <w:p w14:paraId="2E70D9A9" w14:textId="51840B34" w:rsidR="008A5C59" w:rsidRPr="00E76217" w:rsidRDefault="008A5C59" w:rsidP="008A5C59">
      <w:pPr>
        <w:rPr>
          <w:rFonts w:cstheme="minorHAnsi"/>
          <w:color w:val="000000" w:themeColor="text1"/>
        </w:rPr>
      </w:pPr>
      <w:r w:rsidRPr="00E76217">
        <w:rPr>
          <w:rFonts w:cstheme="minorHAnsi"/>
          <w:color w:val="000000" w:themeColor="text1"/>
        </w:rPr>
        <w:tab/>
        <w:t xml:space="preserve">We used a </w:t>
      </w:r>
      <w:r w:rsidR="00EB76FF" w:rsidRPr="00E76217">
        <w:rPr>
          <w:rFonts w:cstheme="minorHAnsi"/>
          <w:color w:val="000000" w:themeColor="text1"/>
        </w:rPr>
        <w:t xml:space="preserve">Ricker (1954) stock-recruit </w:t>
      </w:r>
      <w:r w:rsidRPr="00E76217">
        <w:rPr>
          <w:rFonts w:cstheme="minorHAnsi"/>
          <w:color w:val="000000" w:themeColor="text1"/>
        </w:rPr>
        <w:t>model</w:t>
      </w:r>
      <w:r w:rsidR="00EB76FF" w:rsidRPr="00E76217">
        <w:rPr>
          <w:rFonts w:cstheme="minorHAnsi"/>
          <w:color w:val="000000" w:themeColor="text1"/>
        </w:rPr>
        <w:t xml:space="preserve"> </w:t>
      </w:r>
      <w:r w:rsidRPr="00E76217">
        <w:rPr>
          <w:rFonts w:cstheme="minorHAnsi"/>
          <w:color w:val="000000" w:themeColor="text1"/>
        </w:rPr>
        <w:t xml:space="preserve">with a multiplicative temperature influence term to measure the influence of ocean warming on the </w:t>
      </w:r>
      <w:r w:rsidR="00EB76FF" w:rsidRPr="00384454">
        <w:rPr>
          <w:rFonts w:cstheme="minorHAnsi"/>
          <w:color w:val="000000" w:themeColor="text1"/>
        </w:rPr>
        <w:t>recruitment</w:t>
      </w:r>
      <w:r w:rsidRPr="00384454">
        <w:rPr>
          <w:rFonts w:cstheme="minorHAnsi"/>
          <w:color w:val="000000" w:themeColor="text1"/>
        </w:rPr>
        <w:t xml:space="preserve"> of 23</w:t>
      </w:r>
      <w:r w:rsidR="00384454" w:rsidRPr="00384454">
        <w:rPr>
          <w:rFonts w:cstheme="minorHAnsi"/>
          <w:color w:val="000000" w:themeColor="text1"/>
        </w:rPr>
        <w:t>9</w:t>
      </w:r>
      <w:r w:rsidRPr="00384454">
        <w:rPr>
          <w:rFonts w:cstheme="minorHAnsi"/>
          <w:color w:val="000000" w:themeColor="text1"/>
        </w:rPr>
        <w:t xml:space="preserve"> marine </w:t>
      </w:r>
      <w:r w:rsidRPr="00E76217">
        <w:rPr>
          <w:rFonts w:cstheme="minorHAnsi"/>
          <w:color w:val="000000" w:themeColor="text1"/>
        </w:rPr>
        <w:t xml:space="preserve">fish and invertebrate stocks in the RAM Legacy Stock Assessment Database </w:t>
      </w:r>
      <w:r w:rsidRPr="00E76217">
        <w:rPr>
          <w:rFonts w:cstheme="minorHAnsi"/>
          <w:color w:val="000000" w:themeColor="text1"/>
        </w:rPr>
        <w:fldChar w:fldCharType="begin"/>
      </w:r>
      <w:r w:rsidRPr="00E76217">
        <w:rPr>
          <w:rFonts w:cstheme="minorHAnsi"/>
          <w:color w:val="000000" w:themeColor="text1"/>
        </w:rPr>
        <w:instrText xml:space="preserve"> ADDIN PAPERS2_CITATIONS &lt;citation&gt;&lt;priority&gt;14&lt;/priority&gt;&lt;uuid&gt;D9474E7C-0BD3-4CC4-8EF2-365138D317CD&lt;/uuid&gt;&lt;publications&gt;&lt;publication&gt;&lt;subtype&gt;400&lt;/subtype&gt;&lt;title&gt;Examining the knowledge base and status of commercially exploited marine species with the RAM Legacy Stock Assessment Database&lt;/title&gt;&lt;url&gt;http://doi.wiley.com/10.1111/j.1467-2979.2011.00435.x&lt;/url&gt;&lt;volume&gt;13&lt;/volume&gt;&lt;publication_date&gt;99201200001200000000200000&lt;/publication_date&gt;&lt;uuid&gt;BEA280EF-A86F-491E-B03A-3068994DD031&lt;/uuid&gt;&lt;type&gt;400&lt;/type&gt;&lt;number&gt;4&lt;/number&gt;&lt;citekey&gt;Ricard:2011cu&lt;/citekey&gt;&lt;subtitle&gt;The RAM Legacy Stock Assessment Database&lt;/subtitle&gt;&lt;doi&gt;10.1111/j.1467-2979.2011.00435.x&lt;/doi&gt;&lt;startpage&gt;380&lt;/startpage&gt;&lt;endpage&gt;398&lt;/endpage&gt;&lt;bundle&gt;&lt;publication&gt;&lt;title&gt;Fish and Fisheries&lt;/title&gt;&lt;uuid&gt;E26DB627-E688-4B84-8FD1-DB3938FA2E6B&lt;/uuid&gt;&lt;subtype&gt;-100&lt;/subtype&gt;&lt;publisher&gt;Blackwell Publishing Ltd., 9600 Garsington Road Oxford OX 4 2 DQ UK,&lt;/publisher&gt;&lt;type&gt;-100&lt;/type&gt;&lt;/publication&gt;&lt;/bundle&gt;&lt;authors&gt;&lt;author&gt;&lt;lastName&gt;Ricard&lt;/lastName&gt;&lt;firstName&gt;Daniel&lt;/firstName&gt;&lt;/author&gt;&lt;author&gt;&lt;lastName&gt;Minto&lt;/lastName&gt;&lt;firstName&gt;Cóilín&lt;/firstName&gt;&lt;/author&gt;&lt;author&gt;&lt;lastName&gt;Jensen&lt;/lastName&gt;&lt;firstName&gt;Olaf&lt;/firstName&gt;&lt;middleNames&gt;P&lt;/middleNames&gt;&lt;/author&gt;&lt;author&gt;&lt;lastName&gt;Baum&lt;/lastName&gt;&lt;firstName&gt;Julia&lt;/firstName&gt;&lt;middleNames&gt;K&lt;/middleNames&gt;&lt;/author&gt;&lt;/authors&gt;&lt;/publication&gt;&lt;/publications&gt;&lt;cites&gt;&lt;/cites&gt;&lt;/citation&gt;</w:instrText>
      </w:r>
      <w:r w:rsidRPr="00E76217">
        <w:rPr>
          <w:rFonts w:cstheme="minorHAnsi"/>
          <w:color w:val="000000" w:themeColor="text1"/>
        </w:rPr>
        <w:fldChar w:fldCharType="separate"/>
      </w:r>
      <w:r w:rsidRPr="00E76217">
        <w:rPr>
          <w:rFonts w:cstheme="minorHAnsi"/>
          <w:color w:val="000000" w:themeColor="text1"/>
        </w:rPr>
        <w:t>(</w:t>
      </w:r>
      <w:r w:rsidR="009D35C7" w:rsidRPr="009D35C7">
        <w:rPr>
          <w:rFonts w:cstheme="minorHAnsi"/>
          <w:iCs/>
          <w:color w:val="000000" w:themeColor="text1"/>
        </w:rPr>
        <w:t>Ricard et al. 2012</w:t>
      </w:r>
      <w:r w:rsidRPr="00E76217">
        <w:rPr>
          <w:rFonts w:cstheme="minorHAnsi"/>
          <w:color w:val="000000" w:themeColor="text1"/>
        </w:rPr>
        <w:t>)</w:t>
      </w:r>
      <w:r w:rsidRPr="00E76217">
        <w:rPr>
          <w:rFonts w:cstheme="minorHAnsi"/>
          <w:color w:val="000000" w:themeColor="text1"/>
        </w:rPr>
        <w:fldChar w:fldCharType="end"/>
      </w:r>
      <w:r w:rsidRPr="00E76217">
        <w:rPr>
          <w:rFonts w:cstheme="minorHAnsi"/>
          <w:color w:val="000000" w:themeColor="text1"/>
        </w:rPr>
        <w:t xml:space="preserve">. We estimated the sea surface temperatures (SST) experienced by each stock by mapping the boundary of the stock (i.e., the spatial domain of the stock assessment) and calculating the mean annual SST within this boundary using the COBE SST dataset </w:t>
      </w:r>
      <w:r w:rsidRPr="00E76217">
        <w:rPr>
          <w:rFonts w:cstheme="minorHAnsi"/>
          <w:color w:val="000000" w:themeColor="text1"/>
        </w:rPr>
        <w:fldChar w:fldCharType="begin"/>
      </w:r>
      <w:r w:rsidRPr="00E76217">
        <w:rPr>
          <w:rFonts w:cstheme="minorHAnsi"/>
          <w:color w:val="000000" w:themeColor="text1"/>
        </w:rPr>
        <w:instrText xml:space="preserve"> ADDIN PAPERS2_CITATIONS &lt;citation&gt;&lt;priority&gt;2&lt;/priority&gt;&lt;uuid&gt;8126C5F6-0A4A-4B2B-88DE-685F3E6485B3&lt;/uuid&gt;&lt;publications&gt;&lt;publication&gt;&lt;subtype&gt;400&lt;/subtype&gt;&lt;title&gt;Objective analyses of sea-surface temperature and marine meteorological variables for the 20th century using ICOADS and the Kobe Collection&lt;/title&gt;&lt;url&gt;http://doi.wiley.com/10.1002/joc.1169&lt;/url&gt;&lt;volume&gt;25&lt;/volume&gt;&lt;publication_date&gt;99200500001200000000200000&lt;/publication_date&gt;&lt;uuid&gt;D44B7295-2993-429D-9513-BAC1EF345447&lt;/uuid&gt;&lt;type&gt;400&lt;/type&gt;&lt;number&gt;7&lt;/number&gt;&lt;citekey&gt;Ishii:2005iz&lt;/citekey&gt;&lt;doi&gt;10.1002/joc.1169&lt;/doi&gt;&lt;startpage&gt;865&lt;/startpage&gt;&lt;endpage&gt;879&lt;/endpage&gt;&lt;bundle&gt;&lt;publication&gt;&lt;title&gt;International Journal of Climatology&lt;/title&gt;&lt;uuid&gt;9B04AC06-5AF7-4CFD-9D7B-C828CB28CEAD&lt;/uuid&gt;&lt;subtype&gt;-100&lt;/subtype&gt;&lt;type&gt;-100&lt;/type&gt;&lt;/publication&gt;&lt;/bundle&gt;&lt;authors&gt;&lt;author&gt;&lt;lastName&gt;Ishii&lt;/lastName&gt;&lt;firstName&gt;Masayoshi&lt;/firstName&gt;&lt;/author&gt;&lt;author&gt;&lt;lastName&gt;Shouji&lt;/lastName&gt;&lt;firstName&gt;Akiko&lt;/firstName&gt;&lt;/author&gt;&lt;author&gt;&lt;lastName&gt;Sugimoto&lt;/lastName&gt;&lt;firstName&gt;Satoshi&lt;/firstName&gt;&lt;/author&gt;&lt;author&gt;&lt;lastName&gt;Matsumoto&lt;/lastName&gt;&lt;firstName&gt;Takanori&lt;/firstName&gt;&lt;/author&gt;&lt;/authors&gt;&lt;/publication&gt;&lt;/publications&gt;&lt;cites&gt;&lt;/cites&gt;&lt;/citation&gt;</w:instrText>
      </w:r>
      <w:r w:rsidRPr="00E76217">
        <w:rPr>
          <w:rFonts w:cstheme="minorHAnsi"/>
          <w:color w:val="000000" w:themeColor="text1"/>
        </w:rPr>
        <w:fldChar w:fldCharType="separate"/>
      </w:r>
      <w:r w:rsidRPr="00E76217">
        <w:rPr>
          <w:rFonts w:cstheme="minorHAnsi"/>
          <w:color w:val="000000" w:themeColor="text1"/>
        </w:rPr>
        <w:t>(</w:t>
      </w:r>
      <w:r w:rsidR="00EB76FF" w:rsidRPr="00E76217">
        <w:rPr>
          <w:rFonts w:cstheme="minorHAnsi"/>
          <w:color w:val="000000" w:themeColor="text1"/>
        </w:rPr>
        <w:t xml:space="preserve">Ishii et al. </w:t>
      </w:r>
      <w:r w:rsidR="00E76217" w:rsidRPr="00E76217">
        <w:rPr>
          <w:rFonts w:cstheme="minorHAnsi"/>
          <w:color w:val="000000" w:themeColor="text1"/>
        </w:rPr>
        <w:t>2005</w:t>
      </w:r>
      <w:r w:rsidRPr="00E76217">
        <w:rPr>
          <w:rFonts w:cstheme="minorHAnsi"/>
          <w:color w:val="000000" w:themeColor="text1"/>
        </w:rPr>
        <w:t>)</w:t>
      </w:r>
      <w:r w:rsidRPr="00E76217">
        <w:rPr>
          <w:rFonts w:cstheme="minorHAnsi"/>
          <w:color w:val="000000" w:themeColor="text1"/>
        </w:rPr>
        <w:fldChar w:fldCharType="end"/>
      </w:r>
      <w:r w:rsidRPr="00E76217">
        <w:rPr>
          <w:rFonts w:cstheme="minorHAnsi"/>
          <w:color w:val="000000" w:themeColor="text1"/>
        </w:rPr>
        <w:t xml:space="preserve">. </w:t>
      </w:r>
      <w:r w:rsidR="00EB76FF" w:rsidRPr="00E76217">
        <w:rPr>
          <w:rFonts w:cstheme="minorHAnsi"/>
          <w:color w:val="000000" w:themeColor="text1"/>
        </w:rPr>
        <w:t xml:space="preserve">We </w:t>
      </w:r>
      <w:r w:rsidRPr="00E76217">
        <w:rPr>
          <w:rFonts w:cstheme="minorHAnsi"/>
          <w:color w:val="000000" w:themeColor="text1"/>
        </w:rPr>
        <w:t xml:space="preserve">evaluated whether SST influences were determined by: (1) life history traits such as growth rate, maximum age, or depth preference; (2) behavioral traits such as reproductive guild, migratory habits, or spawning behavior; (3) stock characteristics such as trend in biomass or fishing pressure; and (4) thermal experience such as mean SST, SST trend, or latitude. Lastly, we used the final model to hindcast SST-dependent </w:t>
      </w:r>
      <w:r w:rsidR="00523B41" w:rsidRPr="00E76217">
        <w:rPr>
          <w:rFonts w:cstheme="minorHAnsi"/>
          <w:color w:val="000000" w:themeColor="text1"/>
        </w:rPr>
        <w:t xml:space="preserve">maximum recruitment capacity </w:t>
      </w:r>
      <w:r w:rsidRPr="00E76217">
        <w:rPr>
          <w:rFonts w:cstheme="minorHAnsi"/>
          <w:color w:val="000000" w:themeColor="text1"/>
        </w:rPr>
        <w:t xml:space="preserve">from 1930-2010 over all stocks and among ecoregions. To ensure that the estimated distribution of SST influences was not due to chance alone, we compared the model results to results from </w:t>
      </w:r>
      <w:r w:rsidR="00931863" w:rsidRPr="00E76217">
        <w:rPr>
          <w:rFonts w:cstheme="minorHAnsi"/>
          <w:color w:val="000000" w:themeColor="text1"/>
        </w:rPr>
        <w:t xml:space="preserve">a </w:t>
      </w:r>
      <w:r w:rsidRPr="00E76217">
        <w:rPr>
          <w:rFonts w:cstheme="minorHAnsi"/>
          <w:color w:val="000000" w:themeColor="text1"/>
        </w:rPr>
        <w:t xml:space="preserve">null model using simulated SST time series designed to decouple the observed SST and </w:t>
      </w:r>
      <w:r w:rsidR="00931863" w:rsidRPr="00E76217">
        <w:rPr>
          <w:rFonts w:cstheme="minorHAnsi"/>
          <w:color w:val="000000" w:themeColor="text1"/>
        </w:rPr>
        <w:t>recruitment</w:t>
      </w:r>
      <w:r w:rsidRPr="00E76217">
        <w:rPr>
          <w:rFonts w:cstheme="minorHAnsi"/>
          <w:color w:val="000000" w:themeColor="text1"/>
        </w:rPr>
        <w:t xml:space="preserve"> time series. </w:t>
      </w:r>
    </w:p>
    <w:p w14:paraId="2B825937" w14:textId="18F14D1D" w:rsidR="00CC73CD" w:rsidRDefault="00CC73CD"/>
    <w:p w14:paraId="7C281A83" w14:textId="77777777" w:rsidR="00B56741" w:rsidRDefault="00B56741"/>
    <w:p w14:paraId="5F3B46BC" w14:textId="7399C770" w:rsidR="00CC73CD" w:rsidRPr="00CC73CD" w:rsidRDefault="00CC73CD">
      <w:pPr>
        <w:rPr>
          <w:u w:val="single"/>
        </w:rPr>
      </w:pPr>
      <w:r w:rsidRPr="00CC73CD">
        <w:rPr>
          <w:u w:val="single"/>
        </w:rPr>
        <w:t>Data collection</w:t>
      </w:r>
    </w:p>
    <w:p w14:paraId="55B88A7C" w14:textId="77777777" w:rsidR="00CC73CD" w:rsidRDefault="00CC73CD"/>
    <w:p w14:paraId="2AEF1431" w14:textId="77777777" w:rsidR="004C68AD" w:rsidRPr="00180AF8" w:rsidRDefault="004C68AD">
      <w:pPr>
        <w:rPr>
          <w:i/>
        </w:rPr>
      </w:pPr>
      <w:r>
        <w:rPr>
          <w:i/>
        </w:rPr>
        <w:t>Stock selection</w:t>
      </w:r>
    </w:p>
    <w:p w14:paraId="30E66648" w14:textId="77777777" w:rsidR="004C68AD" w:rsidRDefault="004C68AD">
      <w:pPr>
        <w:rPr>
          <w:i/>
        </w:rPr>
      </w:pPr>
    </w:p>
    <w:p w14:paraId="11EEA0C4" w14:textId="14BED7FD" w:rsidR="00E36066" w:rsidRPr="00D311C4" w:rsidRDefault="00E36066" w:rsidP="00E36066">
      <w:pPr>
        <w:ind w:firstLine="720"/>
        <w:rPr>
          <w:rFonts w:cstheme="minorHAnsi"/>
          <w:color w:val="000000" w:themeColor="text1"/>
        </w:rPr>
      </w:pPr>
      <w:r w:rsidRPr="00D311C4">
        <w:rPr>
          <w:rFonts w:cstheme="minorHAnsi"/>
          <w:color w:val="000000" w:themeColor="text1"/>
        </w:rPr>
        <w:t>We analyzed stocks in the RAM Legacy Stock Assessment Database (RAMLDB v</w:t>
      </w:r>
      <w:r w:rsidR="006E7C9A">
        <w:rPr>
          <w:rFonts w:cstheme="minorHAnsi"/>
          <w:color w:val="000000" w:themeColor="text1"/>
        </w:rPr>
        <w:t>4</w:t>
      </w:r>
      <w:r w:rsidRPr="00D311C4">
        <w:rPr>
          <w:rFonts w:cstheme="minorHAnsi"/>
          <w:color w:val="000000" w:themeColor="text1"/>
        </w:rPr>
        <w:t>.</w:t>
      </w:r>
      <w:r w:rsidR="006E7C9A">
        <w:rPr>
          <w:rFonts w:cstheme="minorHAnsi"/>
          <w:color w:val="000000" w:themeColor="text1"/>
        </w:rPr>
        <w:t>4</w:t>
      </w:r>
      <w:r w:rsidRPr="00D311C4">
        <w:rPr>
          <w:rFonts w:cstheme="minorHAnsi"/>
          <w:color w:val="000000" w:themeColor="text1"/>
        </w:rPr>
        <w:t>;</w:t>
      </w:r>
      <w:r>
        <w:rPr>
          <w:rFonts w:cstheme="minorHAnsi"/>
        </w:rPr>
        <w:t xml:space="preserve"> Ricard et al. 2012</w:t>
      </w:r>
      <w:r w:rsidRPr="00D311C4">
        <w:rPr>
          <w:rFonts w:cstheme="minorHAnsi"/>
          <w:color w:val="000000" w:themeColor="text1"/>
        </w:rPr>
        <w:t xml:space="preserve">) with time series of </w:t>
      </w:r>
      <w:r>
        <w:rPr>
          <w:rFonts w:cstheme="minorHAnsi"/>
          <w:color w:val="000000" w:themeColor="text1"/>
        </w:rPr>
        <w:t>spawning stock biomass</w:t>
      </w:r>
      <w:r w:rsidRPr="00D311C4">
        <w:rPr>
          <w:rFonts w:cstheme="minorHAnsi"/>
          <w:color w:val="000000" w:themeColor="text1"/>
        </w:rPr>
        <w:t xml:space="preserve"> (metric tons) and </w:t>
      </w:r>
      <w:r>
        <w:rPr>
          <w:rFonts w:cstheme="minorHAnsi"/>
          <w:color w:val="000000" w:themeColor="text1"/>
        </w:rPr>
        <w:t xml:space="preserve">recruitment (number of recruits) </w:t>
      </w:r>
      <w:r w:rsidRPr="00D311C4">
        <w:rPr>
          <w:rFonts w:cstheme="minorHAnsi"/>
          <w:color w:val="000000" w:themeColor="text1"/>
        </w:rPr>
        <w:t xml:space="preserve">longer than 20 years after trimming years poorly informed by catch and survey data. We identified stocks and years to trim by visually inspecting the (1) stock-recruit </w:t>
      </w:r>
      <w:r>
        <w:rPr>
          <w:rFonts w:cstheme="minorHAnsi"/>
          <w:color w:val="000000" w:themeColor="text1"/>
        </w:rPr>
        <w:t xml:space="preserve">and surplus production </w:t>
      </w:r>
      <w:r w:rsidRPr="00D311C4">
        <w:rPr>
          <w:rFonts w:cstheme="minorHAnsi"/>
          <w:color w:val="000000" w:themeColor="text1"/>
        </w:rPr>
        <w:t>relationships and (2) biomass, recruitment, and catch time series for all candidate RAMLDB stocks</w:t>
      </w:r>
      <w:r>
        <w:rPr>
          <w:rFonts w:cstheme="minorHAnsi"/>
          <w:color w:val="000000" w:themeColor="text1"/>
        </w:rPr>
        <w:t xml:space="preserve"> (Appendix A)</w:t>
      </w:r>
      <w:r w:rsidRPr="00D311C4">
        <w:rPr>
          <w:rFonts w:cstheme="minorHAnsi"/>
          <w:color w:val="000000" w:themeColor="text1"/>
        </w:rPr>
        <w:t>. Stocks exhibiting smooth stock-recruit</w:t>
      </w:r>
      <w:r w:rsidR="00446982">
        <w:rPr>
          <w:rFonts w:cstheme="minorHAnsi"/>
          <w:color w:val="000000" w:themeColor="text1"/>
        </w:rPr>
        <w:t xml:space="preserve"> or surplus production</w:t>
      </w:r>
      <w:r w:rsidRPr="00D311C4">
        <w:rPr>
          <w:rFonts w:cstheme="minorHAnsi"/>
          <w:color w:val="000000" w:themeColor="text1"/>
        </w:rPr>
        <w:t xml:space="preserve"> relationships over the entire time series were excluded from the analysis. Years, largely at the beginning of the time series, exhibiting flat or smooth biomass or recruitment or perfectly linear catch were excluded from the analysis. Finally, we </w:t>
      </w:r>
      <w:r w:rsidRPr="00A328D2">
        <w:rPr>
          <w:rFonts w:cstheme="minorHAnsi"/>
          <w:color w:val="000000" w:themeColor="text1"/>
        </w:rPr>
        <w:t xml:space="preserve">excluded </w:t>
      </w:r>
      <w:r w:rsidR="00A328D2" w:rsidRPr="00A328D2">
        <w:rPr>
          <w:rFonts w:cstheme="minorHAnsi"/>
          <w:color w:val="000000" w:themeColor="text1"/>
        </w:rPr>
        <w:t>15</w:t>
      </w:r>
      <w:r w:rsidRPr="00A328D2">
        <w:rPr>
          <w:rFonts w:cstheme="minorHAnsi"/>
          <w:color w:val="000000" w:themeColor="text1"/>
        </w:rPr>
        <w:t xml:space="preserve"> stocks </w:t>
      </w:r>
      <w:r w:rsidRPr="00D311C4">
        <w:rPr>
          <w:rFonts w:cstheme="minorHAnsi"/>
          <w:color w:val="000000" w:themeColor="text1"/>
        </w:rPr>
        <w:t xml:space="preserve">that prevented model convergence because </w:t>
      </w:r>
      <w:r w:rsidRPr="00180AF8">
        <w:rPr>
          <w:rFonts w:cstheme="minorHAnsi"/>
          <w:color w:val="000000" w:themeColor="text1"/>
        </w:rPr>
        <w:t>they</w:t>
      </w:r>
      <w:r w:rsidR="00A41439" w:rsidRPr="00180AF8">
        <w:rPr>
          <w:rFonts w:cstheme="minorHAnsi"/>
          <w:color w:val="000000" w:themeColor="text1"/>
        </w:rPr>
        <w:t xml:space="preserve"> </w:t>
      </w:r>
      <w:r w:rsidR="0039255A" w:rsidRPr="00180AF8">
        <w:rPr>
          <w:rFonts w:cstheme="minorHAnsi"/>
          <w:color w:val="000000" w:themeColor="text1"/>
        </w:rPr>
        <w:t>exhibit no density-dependence at high biomass (</w:t>
      </w:r>
      <w:r w:rsidRPr="009B59A6">
        <w:rPr>
          <w:rFonts w:cstheme="minorHAnsi"/>
          <w:color w:val="FF0000"/>
        </w:rPr>
        <w:t>Appendix</w:t>
      </w:r>
      <w:r w:rsidRPr="00180AF8">
        <w:rPr>
          <w:rFonts w:cstheme="minorHAnsi"/>
          <w:color w:val="000000" w:themeColor="text1"/>
        </w:rPr>
        <w:t>). Th</w:t>
      </w:r>
      <w:r w:rsidRPr="00D311C4">
        <w:rPr>
          <w:rFonts w:cstheme="minorHAnsi"/>
          <w:color w:val="000000" w:themeColor="text1"/>
        </w:rPr>
        <w:t xml:space="preserve">e </w:t>
      </w:r>
      <w:r w:rsidRPr="004F6B25">
        <w:rPr>
          <w:rFonts w:cstheme="minorHAnsi"/>
          <w:color w:val="000000" w:themeColor="text1"/>
        </w:rPr>
        <w:t>resulting 23</w:t>
      </w:r>
      <w:r w:rsidR="00180AF8" w:rsidRPr="004F6B25">
        <w:rPr>
          <w:rFonts w:cstheme="minorHAnsi"/>
          <w:color w:val="000000" w:themeColor="text1"/>
        </w:rPr>
        <w:t>9</w:t>
      </w:r>
      <w:r w:rsidRPr="004F6B25">
        <w:rPr>
          <w:rFonts w:cstheme="minorHAnsi"/>
          <w:color w:val="000000" w:themeColor="text1"/>
        </w:rPr>
        <w:t xml:space="preserve"> stocks represent a variety of taxa (</w:t>
      </w:r>
      <w:r w:rsidR="004F6B25" w:rsidRPr="004F6B25">
        <w:rPr>
          <w:rFonts w:cstheme="minorHAnsi"/>
          <w:color w:val="000000" w:themeColor="text1"/>
        </w:rPr>
        <w:t>221</w:t>
      </w:r>
      <w:r w:rsidRPr="004F6B25">
        <w:rPr>
          <w:rFonts w:cstheme="minorHAnsi"/>
          <w:color w:val="000000" w:themeColor="text1"/>
        </w:rPr>
        <w:t xml:space="preserve"> bony fish, </w:t>
      </w:r>
      <w:r w:rsidR="004F6B25" w:rsidRPr="004F6B25">
        <w:rPr>
          <w:rFonts w:cstheme="minorHAnsi"/>
          <w:color w:val="000000" w:themeColor="text1"/>
        </w:rPr>
        <w:t>12</w:t>
      </w:r>
      <w:r w:rsidRPr="004F6B25">
        <w:rPr>
          <w:rFonts w:cstheme="minorHAnsi"/>
          <w:color w:val="000000" w:themeColor="text1"/>
        </w:rPr>
        <w:t xml:space="preserve"> </w:t>
      </w:r>
      <w:r w:rsidRPr="00D311C4">
        <w:rPr>
          <w:rFonts w:cstheme="minorHAnsi"/>
          <w:color w:val="000000" w:themeColor="text1"/>
        </w:rPr>
        <w:t xml:space="preserve">crabs/shrimps/lobsters, </w:t>
      </w:r>
      <w:r w:rsidR="004F6B25">
        <w:rPr>
          <w:rFonts w:cstheme="minorHAnsi"/>
          <w:color w:val="000000" w:themeColor="text1"/>
        </w:rPr>
        <w:t>5</w:t>
      </w:r>
      <w:r w:rsidRPr="00D311C4">
        <w:rPr>
          <w:rFonts w:cstheme="minorHAnsi"/>
          <w:color w:val="000000" w:themeColor="text1"/>
        </w:rPr>
        <w:t xml:space="preserve"> bivalves, </w:t>
      </w:r>
      <w:r w:rsidR="004F6B25">
        <w:rPr>
          <w:rFonts w:cstheme="minorHAnsi"/>
          <w:color w:val="000000" w:themeColor="text1"/>
        </w:rPr>
        <w:t>1 shark</w:t>
      </w:r>
      <w:r w:rsidRPr="00D311C4">
        <w:rPr>
          <w:rFonts w:cstheme="minorHAnsi"/>
          <w:color w:val="000000" w:themeColor="text1"/>
        </w:rPr>
        <w:t xml:space="preserve">), life histories, and locations and approximately </w:t>
      </w:r>
      <w:r w:rsidRPr="00180AF8">
        <w:rPr>
          <w:rFonts w:cstheme="minorHAnsi"/>
          <w:color w:val="FF0000"/>
        </w:rPr>
        <w:t>XX</w:t>
      </w:r>
      <w:r w:rsidRPr="00D311C4">
        <w:rPr>
          <w:rFonts w:cstheme="minorHAnsi"/>
          <w:color w:val="000000" w:themeColor="text1"/>
        </w:rPr>
        <w:t>% of reported global catch (</w:t>
      </w:r>
      <w:r w:rsidRPr="00180AF8">
        <w:rPr>
          <w:rFonts w:cstheme="minorHAnsi"/>
          <w:color w:val="FF0000"/>
        </w:rPr>
        <w:t xml:space="preserve">XX </w:t>
      </w:r>
      <w:r w:rsidRPr="00D311C4">
        <w:rPr>
          <w:rFonts w:cstheme="minorHAnsi"/>
          <w:color w:val="000000" w:themeColor="text1"/>
        </w:rPr>
        <w:t>of 86 million metric tons in 2000;</w:t>
      </w:r>
      <w:r>
        <w:rPr>
          <w:rFonts w:cstheme="minorHAnsi"/>
        </w:rPr>
        <w:t xml:space="preserve"> FAO 2016</w:t>
      </w:r>
      <w:r w:rsidRPr="00D311C4">
        <w:rPr>
          <w:rFonts w:cstheme="minorHAnsi"/>
          <w:color w:val="000000" w:themeColor="text1"/>
        </w:rPr>
        <w:t>).</w:t>
      </w:r>
    </w:p>
    <w:p w14:paraId="0A9A330F" w14:textId="77777777" w:rsidR="00E36066" w:rsidRDefault="00E36066">
      <w:pPr>
        <w:rPr>
          <w:i/>
        </w:rPr>
      </w:pPr>
    </w:p>
    <w:p w14:paraId="58A56E3C" w14:textId="77777777" w:rsidR="009C5EEE" w:rsidRDefault="009C5EEE">
      <w:pPr>
        <w:rPr>
          <w:i/>
        </w:rPr>
      </w:pPr>
      <w:r>
        <w:rPr>
          <w:i/>
        </w:rPr>
        <w:t>Temperature time series</w:t>
      </w:r>
    </w:p>
    <w:p w14:paraId="5D82DEF1" w14:textId="77777777" w:rsidR="009C5EEE" w:rsidRDefault="009C5EEE">
      <w:pPr>
        <w:rPr>
          <w:i/>
        </w:rPr>
      </w:pPr>
    </w:p>
    <w:p w14:paraId="00AFBA04" w14:textId="200EFF8D" w:rsidR="009C5EEE" w:rsidRDefault="009C5EEE" w:rsidP="009C5EEE">
      <w:pPr>
        <w:ind w:firstLine="720"/>
        <w:rPr>
          <w:rFonts w:cstheme="minorHAnsi"/>
        </w:rPr>
      </w:pPr>
      <w:r w:rsidRPr="00D311C4">
        <w:rPr>
          <w:rFonts w:cstheme="minorHAnsi"/>
        </w:rPr>
        <w:t>We estimated the sea surface temperatures (SST) experienced by each stock by calculating the mean annual SST within th</w:t>
      </w:r>
      <w:r>
        <w:rPr>
          <w:rFonts w:cstheme="minorHAnsi"/>
        </w:rPr>
        <w:t xml:space="preserve">e stock </w:t>
      </w:r>
      <w:r w:rsidRPr="00D311C4">
        <w:rPr>
          <w:rFonts w:cstheme="minorHAnsi"/>
        </w:rPr>
        <w:t>boundary</w:t>
      </w:r>
      <w:r>
        <w:rPr>
          <w:rFonts w:cstheme="minorHAnsi"/>
        </w:rPr>
        <w:t xml:space="preserve"> (Free et al. </w:t>
      </w:r>
      <w:r w:rsidR="00EC7781">
        <w:rPr>
          <w:rFonts w:cstheme="minorHAnsi"/>
        </w:rPr>
        <w:t>2019</w:t>
      </w:r>
      <w:r>
        <w:rPr>
          <w:rFonts w:cstheme="minorHAnsi"/>
        </w:rPr>
        <w:t>)</w:t>
      </w:r>
      <w:r w:rsidRPr="00D311C4">
        <w:rPr>
          <w:rFonts w:cstheme="minorHAnsi"/>
        </w:rPr>
        <w:t xml:space="preserve"> using the COBE SST dataset (COBE v2;</w:t>
      </w:r>
      <w:r w:rsidR="002B6CD3">
        <w:rPr>
          <w:rFonts w:cstheme="minorHAnsi"/>
        </w:rPr>
        <w:t xml:space="preserve"> Ishii et al. </w:t>
      </w:r>
      <w:r w:rsidR="00C33A56">
        <w:rPr>
          <w:rFonts w:cstheme="minorHAnsi"/>
        </w:rPr>
        <w:t>2005</w:t>
      </w:r>
      <w:r w:rsidRPr="00D311C4">
        <w:rPr>
          <w:rFonts w:cstheme="minorHAnsi"/>
        </w:rPr>
        <w:t xml:space="preserve">). The COBE dataset provides monthly SST on a globally </w:t>
      </w:r>
      <w:r w:rsidRPr="00D311C4">
        <w:rPr>
          <w:rFonts w:cstheme="minorHAnsi"/>
        </w:rPr>
        <w:lastRenderedPageBreak/>
        <w:t>complete 1</w:t>
      </w:r>
      <w:r w:rsidRPr="00D311C4">
        <w:rPr>
          <w:rFonts w:cstheme="minorHAnsi"/>
        </w:rPr>
        <w:sym w:font="Symbol" w:char="F0B0"/>
      </w:r>
      <w:r w:rsidRPr="00D311C4">
        <w:rPr>
          <w:rFonts w:cstheme="minorHAnsi"/>
        </w:rPr>
        <w:t>x1</w:t>
      </w:r>
      <w:r w:rsidRPr="00D311C4">
        <w:rPr>
          <w:rFonts w:cstheme="minorHAnsi"/>
        </w:rPr>
        <w:sym w:font="Symbol" w:char="F0B0"/>
      </w:r>
      <w:r w:rsidRPr="00D311C4">
        <w:rPr>
          <w:rFonts w:cstheme="minorHAnsi"/>
        </w:rPr>
        <w:t xml:space="preserve"> grid from 1850-present based on an interpolation of in-situ and satellite-derived SST observations.</w:t>
      </w:r>
      <w:r>
        <w:rPr>
          <w:rFonts w:cstheme="minorHAnsi"/>
        </w:rPr>
        <w:t xml:space="preserve"> </w:t>
      </w:r>
    </w:p>
    <w:p w14:paraId="7A6E8389" w14:textId="7CB90B43" w:rsidR="0086256E" w:rsidRDefault="0086256E" w:rsidP="009C5EEE">
      <w:pPr>
        <w:ind w:firstLine="720"/>
        <w:rPr>
          <w:rFonts w:cstheme="minorHAnsi"/>
        </w:rPr>
      </w:pPr>
    </w:p>
    <w:p w14:paraId="61F20A24" w14:textId="14157AF3" w:rsidR="0086256E" w:rsidRPr="0086256E" w:rsidRDefault="0086256E" w:rsidP="0086256E">
      <w:pPr>
        <w:pStyle w:val="ListParagraph"/>
        <w:numPr>
          <w:ilvl w:val="0"/>
          <w:numId w:val="4"/>
        </w:numPr>
        <w:rPr>
          <w:rFonts w:cstheme="minorHAnsi"/>
          <w:color w:val="FF0000"/>
        </w:rPr>
      </w:pPr>
      <w:r w:rsidRPr="0086256E">
        <w:rPr>
          <w:rFonts w:cstheme="minorHAnsi"/>
          <w:color w:val="FF0000"/>
        </w:rPr>
        <w:t>Currently, I’m using SST average across the boundary but might switch you using SST at the centroid to increase SST contrast</w:t>
      </w:r>
    </w:p>
    <w:p w14:paraId="171A8363" w14:textId="083AC97A" w:rsidR="0086256E" w:rsidRPr="0086256E" w:rsidRDefault="0086256E" w:rsidP="0086256E">
      <w:pPr>
        <w:pStyle w:val="ListParagraph"/>
        <w:numPr>
          <w:ilvl w:val="0"/>
          <w:numId w:val="4"/>
        </w:numPr>
        <w:rPr>
          <w:rFonts w:cstheme="minorHAnsi"/>
          <w:color w:val="FF0000"/>
        </w:rPr>
      </w:pPr>
      <w:r w:rsidRPr="0086256E">
        <w:rPr>
          <w:rFonts w:cstheme="minorHAnsi"/>
          <w:color w:val="FF0000"/>
        </w:rPr>
        <w:t>Also, I’m not currently lagging the SST by the age at recruitment, which we should do ultimately. I have to fill in lots of missing ages at recruitments. Any ideas on doing this easily?</w:t>
      </w:r>
    </w:p>
    <w:p w14:paraId="707FE598" w14:textId="7FC86A7F" w:rsidR="00E36066" w:rsidRDefault="00E36066">
      <w:pPr>
        <w:rPr>
          <w:i/>
        </w:rPr>
      </w:pPr>
    </w:p>
    <w:p w14:paraId="46AA93B4" w14:textId="77777777" w:rsidR="00B56741" w:rsidRDefault="00B56741">
      <w:pPr>
        <w:rPr>
          <w:i/>
        </w:rPr>
      </w:pPr>
    </w:p>
    <w:p w14:paraId="7E9AFFDA" w14:textId="061C03B2" w:rsidR="00CC73CD" w:rsidRPr="00D311C4" w:rsidRDefault="00CC73CD" w:rsidP="00CC73CD">
      <w:pPr>
        <w:rPr>
          <w:rFonts w:cstheme="minorHAnsi"/>
          <w:u w:val="single"/>
        </w:rPr>
      </w:pPr>
      <w:r w:rsidRPr="00D311C4">
        <w:rPr>
          <w:rFonts w:cstheme="minorHAnsi"/>
          <w:u w:val="single"/>
        </w:rPr>
        <w:t>2. Modeling</w:t>
      </w:r>
    </w:p>
    <w:p w14:paraId="7CAFC810" w14:textId="77777777" w:rsidR="00CC73CD" w:rsidRDefault="00CC73CD">
      <w:pPr>
        <w:rPr>
          <w:i/>
        </w:rPr>
      </w:pPr>
    </w:p>
    <w:p w14:paraId="7597F69F" w14:textId="164105F9" w:rsidR="004C68AD" w:rsidRDefault="00A0223E">
      <w:pPr>
        <w:rPr>
          <w:i/>
        </w:rPr>
      </w:pPr>
      <w:r>
        <w:rPr>
          <w:i/>
        </w:rPr>
        <w:t xml:space="preserve">2.1 </w:t>
      </w:r>
      <w:r w:rsidR="00CC73CD">
        <w:rPr>
          <w:i/>
        </w:rPr>
        <w:t xml:space="preserve">Standard </w:t>
      </w:r>
      <w:r w:rsidR="009A6C19">
        <w:rPr>
          <w:i/>
        </w:rPr>
        <w:t>stock-</w:t>
      </w:r>
      <w:r w:rsidR="00CC73CD">
        <w:rPr>
          <w:i/>
        </w:rPr>
        <w:t>r</w:t>
      </w:r>
      <w:r w:rsidR="004C68AD">
        <w:rPr>
          <w:i/>
        </w:rPr>
        <w:t>ecrui</w:t>
      </w:r>
      <w:r w:rsidR="009A6C19">
        <w:rPr>
          <w:i/>
        </w:rPr>
        <w:t>t</w:t>
      </w:r>
      <w:r w:rsidR="004C68AD">
        <w:rPr>
          <w:i/>
        </w:rPr>
        <w:t xml:space="preserve"> model</w:t>
      </w:r>
    </w:p>
    <w:p w14:paraId="61DD279F" w14:textId="77777777" w:rsidR="004C68AD" w:rsidRDefault="004C68AD">
      <w:pPr>
        <w:rPr>
          <w:i/>
        </w:rPr>
      </w:pPr>
    </w:p>
    <w:p w14:paraId="7C45F452" w14:textId="31E4AF99" w:rsidR="004C68AD" w:rsidRDefault="001A6EC3">
      <w:r>
        <w:tab/>
        <w:t xml:space="preserve">We modeled recruitment using a Ricker </w:t>
      </w:r>
      <w:r w:rsidR="008633C2">
        <w:t>stock-recruit</w:t>
      </w:r>
      <w:r>
        <w:t xml:space="preserve"> model</w:t>
      </w:r>
      <w:r w:rsidR="00A0223E">
        <w:t xml:space="preserve"> with first-order autocorrelation in the residuals. The Ricker (1954) model describes a </w:t>
      </w:r>
      <w:r w:rsidR="008633C2">
        <w:t>stock-recruit</w:t>
      </w:r>
      <w:r w:rsidR="00A0223E">
        <w:t xml:space="preserve"> relationship where the number of </w:t>
      </w:r>
      <w:proofErr w:type="gramStart"/>
      <w:r w:rsidR="00A0223E">
        <w:t>recruits</w:t>
      </w:r>
      <w:proofErr w:type="gramEnd"/>
      <w:r w:rsidR="00A0223E">
        <w:t xml:space="preserve"> peaks at an intermediate </w:t>
      </w:r>
      <w:proofErr w:type="spellStart"/>
      <w:r w:rsidR="00A0223E">
        <w:t>spawner</w:t>
      </w:r>
      <w:proofErr w:type="spellEnd"/>
      <w:r w:rsidR="00A0223E">
        <w:t xml:space="preserve"> density after which recruitment falls as </w:t>
      </w:r>
      <w:proofErr w:type="spellStart"/>
      <w:r w:rsidR="0086308B">
        <w:t>spawner</w:t>
      </w:r>
      <w:proofErr w:type="spellEnd"/>
      <w:r w:rsidR="0086308B">
        <w:t xml:space="preserve"> abundance increases. </w:t>
      </w:r>
      <w:r w:rsidR="002F1CB9">
        <w:t xml:space="preserve">The </w:t>
      </w:r>
      <w:r w:rsidR="0086308B">
        <w:t xml:space="preserve">model is written as: </w:t>
      </w:r>
    </w:p>
    <w:p w14:paraId="27D5A11B" w14:textId="49924F17" w:rsidR="0086308B" w:rsidRDefault="0086308B"/>
    <w:p w14:paraId="0CF10DBC" w14:textId="51CDA92F" w:rsidR="0086308B" w:rsidRDefault="00D14E42" w:rsidP="00007D3F">
      <w:pPr>
        <w:jc w:val="right"/>
      </w:pPr>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i,t-τ</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i,t-τ</m:t>
                </m:r>
              </m:sub>
            </m:sSub>
          </m:sup>
        </m:sSup>
        <m:r>
          <w:rPr>
            <w:rFonts w:ascii="Cambria Math" w:hAnsi="Cambria Math"/>
          </w:rPr>
          <m:t>+</m:t>
        </m:r>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i,t</m:t>
            </m:r>
          </m:sub>
        </m:sSub>
      </m:oMath>
      <w:r w:rsidR="00007D3F">
        <w:rPr>
          <w:rFonts w:eastAsiaTheme="minorEastAsia"/>
        </w:rPr>
        <w:t xml:space="preserve">                                                  Eq. 1</w:t>
      </w:r>
    </w:p>
    <w:p w14:paraId="179E85B0" w14:textId="354107ED" w:rsidR="00A0223E" w:rsidRDefault="00A0223E"/>
    <w:p w14:paraId="1AD9DD7A" w14:textId="79C5A969" w:rsidR="003B2BF4" w:rsidRPr="00A532EF" w:rsidRDefault="003E14DA" w:rsidP="007B7A92">
      <w:pPr>
        <w:rPr>
          <w:rFonts w:ascii="Times New Roman" w:eastAsia="Times New Roman" w:hAnsi="Times New Roman"/>
        </w:rPr>
      </w:pPr>
      <w:r>
        <w:t>w</w:t>
      </w:r>
      <w:r w:rsidR="0086308B">
        <w:t xml:space="preserve">here </w:t>
      </w:r>
      <w:r w:rsidR="00233178">
        <w:t xml:space="preserve">recruitment </w:t>
      </w:r>
      <w:r w:rsidR="00233178" w:rsidRPr="00233178">
        <w:rPr>
          <w:i/>
        </w:rPr>
        <w:t>R</w:t>
      </w:r>
      <w:r w:rsidR="00233178">
        <w:t xml:space="preserve"> in year </w:t>
      </w:r>
      <w:r w:rsidR="00233178" w:rsidRPr="00233178">
        <w:rPr>
          <w:i/>
        </w:rPr>
        <w:t>t</w:t>
      </w:r>
      <w:r w:rsidR="00233178">
        <w:rPr>
          <w:i/>
        </w:rPr>
        <w:t xml:space="preserve"> </w:t>
      </w:r>
      <w:r w:rsidR="00233178">
        <w:t xml:space="preserve">is produced by spawning stock biomass </w:t>
      </w:r>
      <w:r w:rsidR="00233178">
        <w:rPr>
          <w:i/>
        </w:rPr>
        <w:t xml:space="preserve">B </w:t>
      </w:r>
      <w:r w:rsidR="00233178">
        <w:t xml:space="preserve">in the year </w:t>
      </w:r>
      <w:r w:rsidR="00233178" w:rsidRPr="00233178">
        <w:rPr>
          <w:i/>
        </w:rPr>
        <w:t>t</w:t>
      </w:r>
      <w:r w:rsidR="00233178" w:rsidRPr="00A532EF">
        <w:rPr>
          <w:rFonts w:cstheme="minorHAnsi"/>
          <w:i/>
          <w:color w:val="000000" w:themeColor="text1"/>
        </w:rPr>
        <w:t>-</w:t>
      </w:r>
      <w:r w:rsidR="00A532EF" w:rsidRPr="00A532EF">
        <w:rPr>
          <w:rFonts w:eastAsia="Times New Roman" w:cstheme="minorHAnsi"/>
          <w:i/>
          <w:color w:val="000000" w:themeColor="text1"/>
          <w:shd w:val="clear" w:color="auto" w:fill="FFFFFF"/>
        </w:rPr>
        <w:t>τ</w:t>
      </w:r>
      <w:r w:rsidR="00A532EF">
        <w:rPr>
          <w:rFonts w:ascii="Times New Roman" w:eastAsia="Times New Roman" w:hAnsi="Times New Roman"/>
        </w:rPr>
        <w:t xml:space="preserve"> </w:t>
      </w:r>
      <w:r w:rsidR="00233178">
        <w:t xml:space="preserve">where </w:t>
      </w:r>
      <w:r w:rsidR="00A532EF" w:rsidRPr="00A532EF">
        <w:rPr>
          <w:rFonts w:eastAsia="Times New Roman" w:cstheme="minorHAnsi"/>
          <w:i/>
          <w:color w:val="000000" w:themeColor="text1"/>
          <w:shd w:val="clear" w:color="auto" w:fill="FFFFFF"/>
        </w:rPr>
        <w:t>τ</w:t>
      </w:r>
      <w:r w:rsidR="00233178">
        <w:t xml:space="preserve"> is the age of recruitment. The parameters</w:t>
      </w:r>
      <w:r w:rsidR="00233178" w:rsidRPr="007B7A92">
        <w:rPr>
          <w:i/>
        </w:rPr>
        <w:t xml:space="preserve"> </w:t>
      </w:r>
      <w:r w:rsidR="007B7A92" w:rsidRPr="007B7A92">
        <w:rPr>
          <w:rFonts w:ascii="Cambria" w:hAnsi="Cambria"/>
          <w:i/>
        </w:rPr>
        <w:t>α</w:t>
      </w:r>
      <w:r w:rsidR="007B7A92">
        <w:rPr>
          <w:i/>
        </w:rPr>
        <w:t xml:space="preserve"> </w:t>
      </w:r>
      <w:r w:rsidR="00233178">
        <w:t xml:space="preserve">and </w:t>
      </w:r>
      <w:r w:rsidR="007B7A92" w:rsidRPr="007B7A92">
        <w:rPr>
          <w:rFonts w:ascii="Cambria" w:eastAsia="Times New Roman" w:hAnsi="Cambria" w:cstheme="minorHAnsi"/>
          <w:i/>
          <w:color w:val="222222"/>
          <w:shd w:val="clear" w:color="auto" w:fill="FFFFFF"/>
        </w:rPr>
        <w:t>β</w:t>
      </w:r>
      <w:r w:rsidR="007B7A92">
        <w:rPr>
          <w:rFonts w:eastAsia="Times New Roman" w:cstheme="minorHAnsi"/>
          <w:color w:val="222222"/>
          <w:shd w:val="clear" w:color="auto" w:fill="FFFFFF"/>
        </w:rPr>
        <w:t>,</w:t>
      </w:r>
      <w:r w:rsidR="00233178">
        <w:t xml:space="preserve"> constrained to be non-negative, govern the shape of the </w:t>
      </w:r>
      <w:r w:rsidR="008633C2">
        <w:t>stock-recruit</w:t>
      </w:r>
      <w:r w:rsidR="00233178">
        <w:t xml:space="preserve"> </w:t>
      </w:r>
      <w:r w:rsidR="003B2BF4">
        <w:t xml:space="preserve">relationship. The parameter </w:t>
      </w:r>
      <w:r w:rsidR="007B7A92" w:rsidRPr="007B7A92">
        <w:rPr>
          <w:rFonts w:ascii="Cambria" w:hAnsi="Cambria"/>
          <w:i/>
        </w:rPr>
        <w:t>α</w:t>
      </w:r>
      <w:r w:rsidR="003B2BF4">
        <w:t xml:space="preserve"> represents the</w:t>
      </w:r>
      <w:r w:rsidR="0086308B">
        <w:t xml:space="preserve"> maximum reproductive output of an individual in the absence of density-</w:t>
      </w:r>
      <w:r w:rsidR="003B2BF4">
        <w:t>dependent</w:t>
      </w:r>
      <w:r w:rsidR="0086308B">
        <w:t xml:space="preserve"> effects. Thus, the slope of the </w:t>
      </w:r>
      <w:r w:rsidR="008633C2">
        <w:t>stock-recruit</w:t>
      </w:r>
      <w:r w:rsidR="0086308B">
        <w:t xml:space="preserve"> curve is a at the origin. The parameter </w:t>
      </w:r>
      <w:r w:rsidR="007B7A92" w:rsidRPr="007B7A92">
        <w:rPr>
          <w:rFonts w:ascii="Cambria" w:eastAsia="Times New Roman" w:hAnsi="Cambria" w:cstheme="minorHAnsi"/>
          <w:i/>
          <w:color w:val="222222"/>
          <w:shd w:val="clear" w:color="auto" w:fill="FFFFFF"/>
        </w:rPr>
        <w:t>β</w:t>
      </w:r>
      <w:r w:rsidR="0086308B">
        <w:t xml:space="preserve"> determines the rate at which </w:t>
      </w:r>
      <w:r w:rsidR="003B2BF4">
        <w:t>recruitment is reduced by density-dependent feedbacks.</w:t>
      </w:r>
    </w:p>
    <w:p w14:paraId="37E66673" w14:textId="77777777" w:rsidR="003B2BF4" w:rsidRPr="00D311C4" w:rsidRDefault="003B2BF4" w:rsidP="003B2BF4">
      <w:pPr>
        <w:rPr>
          <w:rFonts w:cstheme="minorHAnsi"/>
        </w:rPr>
      </w:pPr>
    </w:p>
    <w:p w14:paraId="3B0B3537" w14:textId="1CF51F0C" w:rsidR="00A0223E" w:rsidRPr="00D311C4" w:rsidRDefault="00A0223E" w:rsidP="003B2BF4">
      <w:pPr>
        <w:ind w:firstLine="720"/>
        <w:rPr>
          <w:rFonts w:cstheme="minorHAnsi"/>
        </w:rPr>
      </w:pPr>
      <w:r w:rsidRPr="00D311C4">
        <w:rPr>
          <w:rFonts w:cstheme="minorHAnsi"/>
        </w:rPr>
        <w:t>Residuals are assumed to follow a first-order autocorrelated (AR1) process:</w:t>
      </w:r>
    </w:p>
    <w:p w14:paraId="380550CE" w14:textId="77777777" w:rsidR="00A0223E" w:rsidRPr="00D311C4" w:rsidRDefault="00A0223E" w:rsidP="00A0223E">
      <w:pPr>
        <w:rPr>
          <w:rFonts w:cstheme="minorHAnsi"/>
        </w:rPr>
      </w:pPr>
    </w:p>
    <w:p w14:paraId="3EF9AFCD" w14:textId="0E6351F5" w:rsidR="00A0223E" w:rsidRPr="00D311C4" w:rsidRDefault="00D14E42" w:rsidP="00A0223E">
      <w:pPr>
        <w:jc w:val="right"/>
        <w:rPr>
          <w:rFonts w:cstheme="minorHAnsi"/>
        </w:rPr>
      </w:pP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i,t-1</m:t>
            </m:r>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m:t>
            </m:r>
            <m:sSubSup>
              <m:sSubSupPr>
                <m:ctrlPr>
                  <w:rPr>
                    <w:rFonts w:ascii="Cambria Math" w:hAnsi="Cambria Math" w:cstheme="minorHAnsi"/>
                    <w:i/>
                  </w:rPr>
                </m:ctrlPr>
              </m:sSubSupPr>
              <m:e>
                <m:r>
                  <w:rPr>
                    <w:rFonts w:ascii="Cambria Math" w:hAnsi="Cambria Math" w:cstheme="minorHAnsi"/>
                  </w:rPr>
                  <m:t>ρ</m:t>
                </m:r>
              </m:e>
              <m:sub>
                <m:r>
                  <w:rPr>
                    <w:rFonts w:ascii="Cambria Math" w:hAnsi="Cambria Math" w:cstheme="minorHAnsi"/>
                  </w:rPr>
                  <m:t>i</m:t>
                </m:r>
              </m:sub>
              <m:sup>
                <m:r>
                  <w:rPr>
                    <w:rFonts w:ascii="Cambria Math" w:hAnsi="Cambria Math" w:cstheme="minorHAnsi"/>
                  </w:rPr>
                  <m:t>2</m:t>
                </m:r>
              </m:sup>
            </m:sSubSup>
          </m:e>
        </m:rad>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i,t</m:t>
            </m:r>
          </m:sub>
        </m:sSub>
      </m:oMath>
      <w:r w:rsidR="00A0223E" w:rsidRPr="00D311C4">
        <w:rPr>
          <w:rFonts w:cstheme="minorHAnsi"/>
        </w:rPr>
        <w:t xml:space="preserve">                                                   Eq. </w:t>
      </w:r>
      <w:r w:rsidR="00007D3F">
        <w:rPr>
          <w:rFonts w:cstheme="minorHAnsi"/>
        </w:rPr>
        <w:t>2</w:t>
      </w:r>
    </w:p>
    <w:p w14:paraId="0BDA1176" w14:textId="77777777" w:rsidR="00A0223E" w:rsidRPr="00D311C4" w:rsidRDefault="00A0223E" w:rsidP="00A0223E">
      <w:pPr>
        <w:rPr>
          <w:rFonts w:cstheme="minorHAnsi"/>
        </w:rPr>
      </w:pPr>
    </w:p>
    <w:p w14:paraId="191C6962" w14:textId="78575C57" w:rsidR="0033467D" w:rsidRPr="00D311C4" w:rsidRDefault="00A0223E" w:rsidP="00B83319">
      <w:pPr>
        <w:rPr>
          <w:rFonts w:cstheme="minorHAnsi"/>
        </w:rPr>
      </w:pPr>
      <w:r w:rsidRPr="00D311C4">
        <w:rPr>
          <w:rFonts w:cstheme="minorHAnsi"/>
        </w:rPr>
        <w:t xml:space="preserve">where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i</m:t>
            </m:r>
          </m:sub>
        </m:sSub>
      </m:oMath>
      <w:r w:rsidRPr="00D311C4">
        <w:rPr>
          <w:rFonts w:cstheme="minorHAnsi"/>
        </w:rPr>
        <w:t xml:space="preserve"> is the first-order autocorrelation coefficient for stock </w:t>
      </w:r>
      <w:proofErr w:type="spellStart"/>
      <w:r w:rsidRPr="00D311C4">
        <w:rPr>
          <w:rFonts w:cstheme="minorHAnsi"/>
          <w:i/>
        </w:rPr>
        <w:t>i</w:t>
      </w:r>
      <w:proofErr w:type="spellEnd"/>
      <w:r w:rsidRPr="00D311C4">
        <w:rPr>
          <w:rFonts w:cstheme="minorHAnsi"/>
        </w:rPr>
        <w:t xml:space="preserve">,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i,t</m:t>
            </m:r>
          </m:sub>
        </m:sSub>
      </m:oMath>
      <w:r w:rsidRPr="00D311C4">
        <w:rPr>
          <w:rFonts w:cstheme="minorHAnsi"/>
        </w:rPr>
        <w:t xml:space="preserve"> and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i,t-1</m:t>
            </m:r>
          </m:sub>
        </m:sSub>
      </m:oMath>
      <w:r w:rsidRPr="00D311C4">
        <w:rPr>
          <w:rFonts w:cstheme="minorHAnsi"/>
        </w:rPr>
        <w:t xml:space="preserve"> are the observed residuals around the production function for stock </w:t>
      </w:r>
      <w:proofErr w:type="spellStart"/>
      <w:r w:rsidRPr="00D311C4">
        <w:rPr>
          <w:rFonts w:cstheme="minorHAnsi"/>
          <w:i/>
        </w:rPr>
        <w:t>i</w:t>
      </w:r>
      <w:proofErr w:type="spellEnd"/>
      <w:r w:rsidRPr="00D311C4">
        <w:rPr>
          <w:rFonts w:cstheme="minorHAnsi"/>
        </w:rPr>
        <w:t xml:space="preserve"> in years </w:t>
      </w:r>
      <w:r w:rsidRPr="00D311C4">
        <w:rPr>
          <w:rFonts w:cstheme="minorHAnsi"/>
          <w:i/>
        </w:rPr>
        <w:t>t</w:t>
      </w:r>
      <w:r w:rsidRPr="00D311C4">
        <w:rPr>
          <w:rFonts w:cstheme="minorHAnsi"/>
        </w:rPr>
        <w:t xml:space="preserve"> and </w:t>
      </w:r>
      <w:r w:rsidRPr="00D311C4">
        <w:rPr>
          <w:rFonts w:cstheme="minorHAnsi"/>
          <w:i/>
        </w:rPr>
        <w:t>t-1</w:t>
      </w:r>
      <w:r w:rsidRPr="00D311C4">
        <w:rPr>
          <w:rFonts w:cstheme="minorHAnsi"/>
        </w:rPr>
        <w:t xml:space="preserve">, respectively, and </w:t>
      </w:r>
      <m:oMath>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i,t</m:t>
            </m:r>
          </m:sub>
        </m:sSub>
      </m:oMath>
      <w:r w:rsidRPr="00D311C4">
        <w:rPr>
          <w:rFonts w:cstheme="minorHAnsi"/>
        </w:rPr>
        <w:t xml:space="preserve"> is a normally distributed random variable representing uncorrelated errors for stock </w:t>
      </w:r>
      <w:proofErr w:type="spellStart"/>
      <w:r w:rsidRPr="00D311C4">
        <w:rPr>
          <w:rFonts w:cstheme="minorHAnsi"/>
          <w:i/>
        </w:rPr>
        <w:t>i</w:t>
      </w:r>
      <w:proofErr w:type="spellEnd"/>
      <w:r w:rsidRPr="00D311C4">
        <w:rPr>
          <w:rFonts w:cstheme="minorHAnsi"/>
        </w:rPr>
        <w:t xml:space="preserve"> in year </w:t>
      </w:r>
      <w:r w:rsidRPr="00D311C4">
        <w:rPr>
          <w:rFonts w:cstheme="minorHAnsi"/>
          <w:i/>
        </w:rPr>
        <w:t>t</w:t>
      </w:r>
      <w:r w:rsidRPr="00D311C4">
        <w:rPr>
          <w:rFonts w:cstheme="minorHAnsi"/>
        </w:rPr>
        <w:t>.</w:t>
      </w:r>
      <w:r w:rsidR="00B83319">
        <w:rPr>
          <w:rFonts w:cstheme="minorHAnsi"/>
        </w:rPr>
        <w:t xml:space="preserve"> </w:t>
      </w:r>
      <w:r w:rsidR="00B83319" w:rsidRPr="00B83319">
        <w:rPr>
          <w:rFonts w:cstheme="minorHAnsi"/>
          <w:color w:val="FF0000"/>
        </w:rPr>
        <w:t>Insert text/equations about variance in the first year.</w:t>
      </w:r>
    </w:p>
    <w:p w14:paraId="07F1044E" w14:textId="77777777" w:rsidR="00A0223E" w:rsidRPr="00D311C4" w:rsidRDefault="00A0223E" w:rsidP="003B2BF4">
      <w:pPr>
        <w:rPr>
          <w:rFonts w:eastAsiaTheme="minorEastAsia" w:cstheme="minorHAnsi"/>
        </w:rPr>
      </w:pPr>
    </w:p>
    <w:p w14:paraId="443EDDBB" w14:textId="156E0AC8" w:rsidR="00A0223E" w:rsidRPr="00D311C4" w:rsidRDefault="00A0223E" w:rsidP="00A0223E">
      <w:pPr>
        <w:ind w:firstLine="720"/>
        <w:rPr>
          <w:rFonts w:cstheme="minorHAnsi"/>
        </w:rPr>
      </w:pPr>
      <w:r w:rsidRPr="00D311C4">
        <w:rPr>
          <w:rFonts w:eastAsiaTheme="minorEastAsia" w:cstheme="minorHAnsi"/>
        </w:rPr>
        <w:t xml:space="preserve">In this model and in all the models described below, we </w:t>
      </w:r>
      <w:r w:rsidRPr="00D311C4">
        <w:rPr>
          <w:rFonts w:cstheme="minorHAnsi"/>
        </w:rPr>
        <w:t xml:space="preserve">scaled biomass and </w:t>
      </w:r>
      <w:r w:rsidR="003B2BF4">
        <w:rPr>
          <w:rFonts w:cstheme="minorHAnsi"/>
        </w:rPr>
        <w:t>recruitment to unit variance (i.e., standard deviation equal to one)</w:t>
      </w:r>
      <w:r w:rsidRPr="00D311C4">
        <w:rPr>
          <w:rFonts w:cstheme="minorHAnsi"/>
        </w:rPr>
        <w:t xml:space="preserve"> to ease model fitting. We fit all models using maximum likelihood estimation in the </w:t>
      </w:r>
      <w:r w:rsidRPr="00D311C4">
        <w:rPr>
          <w:rFonts w:cstheme="minorHAnsi"/>
          <w:i/>
        </w:rPr>
        <w:t>TMB</w:t>
      </w:r>
      <w:r w:rsidRPr="00D311C4">
        <w:rPr>
          <w:rFonts w:cstheme="minorHAnsi"/>
        </w:rPr>
        <w:t xml:space="preserve"> package (</w:t>
      </w:r>
      <w:r w:rsidRPr="00D311C4">
        <w:rPr>
          <w:rFonts w:cstheme="minorHAnsi"/>
          <w:color w:val="000000"/>
          <w:shd w:val="clear" w:color="auto" w:fill="FFFFFF"/>
        </w:rPr>
        <w:t>Template Model Builder;</w:t>
      </w:r>
      <w:r w:rsidR="003B2BF4">
        <w:rPr>
          <w:rFonts w:cstheme="minorHAnsi"/>
        </w:rPr>
        <w:t xml:space="preserve"> </w:t>
      </w:r>
      <w:r w:rsidR="00C33A56">
        <w:rPr>
          <w:rFonts w:cstheme="minorHAnsi"/>
        </w:rPr>
        <w:t>Kristensen et al 2016</w:t>
      </w:r>
      <w:r w:rsidRPr="00D311C4">
        <w:rPr>
          <w:rFonts w:cstheme="minorHAnsi"/>
          <w:color w:val="000000"/>
          <w:shd w:val="clear" w:color="auto" w:fill="FFFFFF"/>
        </w:rPr>
        <w:t>)</w:t>
      </w:r>
      <w:r w:rsidRPr="00D311C4">
        <w:rPr>
          <w:rFonts w:cstheme="minorHAnsi"/>
        </w:rPr>
        <w:t xml:space="preserve"> in R </w:t>
      </w:r>
      <w:r w:rsidRPr="00D311C4">
        <w:rPr>
          <w:rFonts w:cstheme="minorHAnsi"/>
        </w:rPr>
        <w:fldChar w:fldCharType="begin"/>
      </w:r>
      <w:r w:rsidRPr="00D311C4">
        <w:rPr>
          <w:rFonts w:cstheme="minorHAnsi"/>
        </w:rPr>
        <w:instrText xml:space="preserve"> ADDIN PAPERS2_CITATIONS &lt;citation&gt;&lt;priority&gt;8&lt;/priority&gt;&lt;uuid&gt;AEBC36A6-195D-44F2-A738-41B859CEBF14&lt;/uuid&gt;&lt;publications&gt;&lt;publication&gt;&lt;subtype&gt;341&lt;/subtype&gt;&lt;place&gt;Vienna, Austria&lt;/place&gt;&lt;publisher&gt;R Foundation for Statistical Computing&lt;/publisher&gt;&lt;location&gt;&amp;lt;html&amp;gt;&amp;lt;head&amp;gt;&amp;lt;meta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Home&amp;lt;/a&amp;gt;&amp;lt;/div&amp;gt;&amp;lt;/body&amp;gt;&amp;lt;/html&amp;gt;&lt;/location&gt;&lt;title&gt;R: A language and environment for statistical computing&lt;/title&gt;&lt;url&gt;http://www.R-project.org/&lt;/url&gt;&lt;revision_date&gt;99201304151200000000222000&lt;/revision_date&gt;&lt;uuid&gt;E3E9792E-7DE3-451C-91D2-3EF4B88CFD5B&lt;/uuid&gt;&lt;type&gt;300&lt;/type&gt;&lt;institution&gt;R Core Team &lt;/institution&gt;&lt;authors&gt;&lt;author&gt;&lt;lastName&gt;R Core Team&lt;/lastName&gt;&lt;/author&gt;&lt;/authors&gt;&lt;/publication&gt;&lt;/publications&gt;&lt;cites&gt;&lt;/cites&gt;&lt;/citation&gt;</w:instrText>
      </w:r>
      <w:r w:rsidRPr="00D311C4">
        <w:rPr>
          <w:rFonts w:cstheme="minorHAnsi"/>
        </w:rPr>
        <w:fldChar w:fldCharType="separate"/>
      </w:r>
      <w:r w:rsidRPr="00D311C4">
        <w:rPr>
          <w:rFonts w:cstheme="minorHAnsi"/>
        </w:rPr>
        <w:t>(</w:t>
      </w:r>
      <w:r w:rsidR="003B2BF4">
        <w:rPr>
          <w:rFonts w:cstheme="minorHAnsi"/>
          <w:iCs/>
        </w:rPr>
        <w:t>R Core Team 2019</w:t>
      </w:r>
      <w:r w:rsidRPr="00D311C4">
        <w:rPr>
          <w:rFonts w:cstheme="minorHAnsi"/>
        </w:rPr>
        <w:t>)</w:t>
      </w:r>
      <w:r w:rsidRPr="00D311C4">
        <w:rPr>
          <w:rFonts w:cstheme="minorHAnsi"/>
        </w:rPr>
        <w:fldChar w:fldCharType="end"/>
      </w:r>
      <w:r w:rsidRPr="00D311C4">
        <w:rPr>
          <w:rFonts w:cstheme="minorHAnsi"/>
        </w:rPr>
        <w:t xml:space="preserve">. See </w:t>
      </w:r>
      <w:r w:rsidRPr="003B2BF4">
        <w:rPr>
          <w:rFonts w:cstheme="minorHAnsi"/>
          <w:color w:val="FF0000"/>
        </w:rPr>
        <w:t xml:space="preserve">Table </w:t>
      </w:r>
      <w:r w:rsidRPr="00D311C4">
        <w:rPr>
          <w:rFonts w:cstheme="minorHAnsi"/>
        </w:rPr>
        <w:t>for a key to all model symbols.</w:t>
      </w:r>
    </w:p>
    <w:p w14:paraId="160F8DEE" w14:textId="77777777" w:rsidR="00A0223E" w:rsidRDefault="00A0223E"/>
    <w:p w14:paraId="3DD35D43" w14:textId="591B618B" w:rsidR="00A0223E" w:rsidRDefault="00A0223E" w:rsidP="00A0223E">
      <w:pPr>
        <w:rPr>
          <w:rFonts w:cstheme="minorHAnsi"/>
          <w:i/>
        </w:rPr>
      </w:pPr>
      <w:r w:rsidRPr="00D311C4">
        <w:rPr>
          <w:rFonts w:cstheme="minorHAnsi"/>
          <w:i/>
        </w:rPr>
        <w:lastRenderedPageBreak/>
        <w:t>2.</w:t>
      </w:r>
      <w:r>
        <w:rPr>
          <w:rFonts w:cstheme="minorHAnsi"/>
          <w:i/>
        </w:rPr>
        <w:t>2</w:t>
      </w:r>
      <w:r w:rsidRPr="00D311C4">
        <w:rPr>
          <w:rFonts w:cstheme="minorHAnsi"/>
          <w:i/>
        </w:rPr>
        <w:t xml:space="preserve"> SST-linked </w:t>
      </w:r>
      <w:r>
        <w:rPr>
          <w:rFonts w:cstheme="minorHAnsi"/>
          <w:i/>
        </w:rPr>
        <w:t>stock-recruit</w:t>
      </w:r>
      <w:r w:rsidRPr="00D311C4">
        <w:rPr>
          <w:rFonts w:cstheme="minorHAnsi"/>
          <w:i/>
        </w:rPr>
        <w:t xml:space="preserve"> model</w:t>
      </w:r>
    </w:p>
    <w:p w14:paraId="3CF6F88B" w14:textId="4E19CE27" w:rsidR="00A0223E" w:rsidRDefault="00A0223E" w:rsidP="00A0223E">
      <w:pPr>
        <w:rPr>
          <w:rFonts w:cstheme="minorHAnsi"/>
          <w:i/>
        </w:rPr>
      </w:pPr>
    </w:p>
    <w:p w14:paraId="68DE3266" w14:textId="3BDBCF82" w:rsidR="00C26590" w:rsidRPr="00D311C4" w:rsidRDefault="00C26590" w:rsidP="00C26590">
      <w:pPr>
        <w:ind w:firstLine="720"/>
        <w:rPr>
          <w:rFonts w:cstheme="minorHAnsi"/>
        </w:rPr>
      </w:pPr>
      <w:r w:rsidRPr="00D311C4">
        <w:rPr>
          <w:rFonts w:cstheme="minorHAnsi"/>
        </w:rPr>
        <w:t xml:space="preserve">To evaluate the influence of temperature on </w:t>
      </w:r>
      <w:r>
        <w:rPr>
          <w:rFonts w:cstheme="minorHAnsi"/>
        </w:rPr>
        <w:t>recruitment</w:t>
      </w:r>
      <w:r w:rsidRPr="00D311C4">
        <w:rPr>
          <w:rFonts w:cstheme="minorHAnsi"/>
        </w:rPr>
        <w:t xml:space="preserve">, we extended the standard </w:t>
      </w:r>
      <w:r>
        <w:rPr>
          <w:rFonts w:cstheme="minorHAnsi"/>
        </w:rPr>
        <w:t xml:space="preserve">recruitment </w:t>
      </w:r>
      <w:r w:rsidRPr="00D311C4">
        <w:rPr>
          <w:rFonts w:cstheme="minorHAnsi"/>
        </w:rPr>
        <w:t xml:space="preserve">model to include a multiplicative temperature influence term: </w:t>
      </w:r>
    </w:p>
    <w:p w14:paraId="2F405F54" w14:textId="77777777" w:rsidR="00C26590" w:rsidRPr="00D311C4" w:rsidRDefault="00C26590" w:rsidP="00C26590">
      <w:pPr>
        <w:rPr>
          <w:rFonts w:cstheme="minorHAnsi"/>
        </w:rPr>
      </w:pPr>
    </w:p>
    <w:p w14:paraId="5395DF0C" w14:textId="5F401F3C" w:rsidR="00C26590" w:rsidRPr="00D311C4" w:rsidRDefault="00D14E42" w:rsidP="00C26590">
      <w:pPr>
        <w:jc w:val="right"/>
        <w:rPr>
          <w:rFonts w:cstheme="minorHAnsi"/>
          <w:u w:val="single"/>
        </w:rPr>
      </w:pPr>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i,t-τ</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i,t-τ</m:t>
                </m:r>
              </m:sub>
            </m:sSub>
          </m:sup>
        </m:sSup>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SST</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e>
            </m:d>
          </m:e>
        </m:fun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i</m:t>
            </m:r>
          </m:sub>
        </m:sSub>
      </m:oMath>
      <w:r w:rsidR="00C26590" w:rsidRPr="00D311C4">
        <w:rPr>
          <w:rFonts w:cstheme="minorHAnsi"/>
        </w:rPr>
        <w:t xml:space="preserve">                             Eq. </w:t>
      </w:r>
      <w:r w:rsidR="00007D3F">
        <w:rPr>
          <w:rFonts w:cstheme="minorHAnsi"/>
        </w:rPr>
        <w:t>3</w:t>
      </w:r>
    </w:p>
    <w:p w14:paraId="379ABEC7" w14:textId="77777777" w:rsidR="00C26590" w:rsidRPr="00D311C4" w:rsidRDefault="00C26590" w:rsidP="00C26590">
      <w:pPr>
        <w:rPr>
          <w:rFonts w:cstheme="minorHAnsi"/>
        </w:rPr>
      </w:pPr>
    </w:p>
    <w:p w14:paraId="4695B5F4" w14:textId="1F891E78" w:rsidR="00C26590" w:rsidRPr="00D311C4" w:rsidRDefault="00C26590" w:rsidP="00C26590">
      <w:pPr>
        <w:rPr>
          <w:rFonts w:eastAsiaTheme="minorEastAsia" w:cstheme="minorHAnsi"/>
        </w:rPr>
      </w:pPr>
      <w:r w:rsidRPr="00D311C4">
        <w:rPr>
          <w:rFonts w:cstheme="minorHAnsi"/>
        </w:rPr>
        <w:t xml:space="preserve">where </w:t>
      </w:r>
      <w:proofErr w:type="spellStart"/>
      <w:proofErr w:type="gramStart"/>
      <w:r w:rsidRPr="00D311C4">
        <w:rPr>
          <w:rFonts w:cstheme="minorHAnsi"/>
          <w:i/>
        </w:rPr>
        <w:t>SST</w:t>
      </w:r>
      <w:r w:rsidRPr="00D311C4">
        <w:rPr>
          <w:rFonts w:cstheme="minorHAnsi"/>
          <w:i/>
          <w:vertAlign w:val="subscript"/>
        </w:rPr>
        <w:t>i,t</w:t>
      </w:r>
      <w:proofErr w:type="spellEnd"/>
      <w:proofErr w:type="gramEnd"/>
      <w:r w:rsidRPr="00D311C4">
        <w:rPr>
          <w:rFonts w:cstheme="minorHAnsi"/>
          <w:i/>
          <w:vertAlign w:val="subscript"/>
        </w:rPr>
        <w:t xml:space="preserve"> </w:t>
      </w:r>
      <w:r w:rsidRPr="00D311C4">
        <w:rPr>
          <w:rFonts w:cstheme="minorHAnsi"/>
        </w:rPr>
        <w:t xml:space="preserve">is the sea surface temperature for stock </w:t>
      </w:r>
      <w:proofErr w:type="spellStart"/>
      <w:r w:rsidRPr="00D311C4">
        <w:rPr>
          <w:rFonts w:cstheme="minorHAnsi"/>
          <w:i/>
        </w:rPr>
        <w:t>i</w:t>
      </w:r>
      <w:proofErr w:type="spellEnd"/>
      <w:r w:rsidRPr="00D311C4">
        <w:rPr>
          <w:rFonts w:cstheme="minorHAnsi"/>
          <w:i/>
        </w:rPr>
        <w:t xml:space="preserve"> </w:t>
      </w:r>
      <w:r w:rsidRPr="00D311C4">
        <w:rPr>
          <w:rFonts w:cstheme="minorHAnsi"/>
        </w:rPr>
        <w:t xml:space="preserve">in year </w:t>
      </w:r>
      <w:r w:rsidRPr="00D311C4">
        <w:rPr>
          <w:rFonts w:cstheme="minorHAnsi"/>
          <w:i/>
        </w:rPr>
        <w:t>t</w:t>
      </w:r>
      <w:r w:rsidRPr="00D311C4">
        <w:rPr>
          <w:rFonts w:cstheme="minorHAnsi"/>
        </w:rPr>
        <w:t xml:space="preserve"> (centered on the mean SST for stock</w:t>
      </w:r>
      <w:r w:rsidRPr="00D311C4">
        <w:rPr>
          <w:rFonts w:cstheme="minorHAnsi"/>
          <w:i/>
        </w:rPr>
        <w:t xml:space="preserve"> </w:t>
      </w:r>
      <w:proofErr w:type="spellStart"/>
      <w:r w:rsidRPr="00D311C4">
        <w:rPr>
          <w:rFonts w:cstheme="minorHAnsi"/>
          <w:i/>
        </w:rPr>
        <w:t>i</w:t>
      </w:r>
      <w:proofErr w:type="spellEnd"/>
      <w:r w:rsidRPr="00D311C4">
        <w:rPr>
          <w:rFonts w:cstheme="minorHAnsi"/>
        </w:rPr>
        <w:t xml:space="preserve"> to ease both model fitting and interpretation of the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oMath>
      <w:r w:rsidRPr="00D311C4">
        <w:rPr>
          <w:rFonts w:cstheme="minorHAnsi"/>
        </w:rPr>
        <w:t xml:space="preserve"> parameter) and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oMath>
      <w:r w:rsidRPr="00D311C4">
        <w:rPr>
          <w:rFonts w:cstheme="minorHAnsi"/>
          <w:i/>
        </w:rPr>
        <w:t xml:space="preserve"> </w:t>
      </w:r>
      <w:r w:rsidRPr="00D311C4">
        <w:rPr>
          <w:rFonts w:cstheme="minorHAnsi"/>
        </w:rPr>
        <w:t xml:space="preserve">is the influence of SST on the </w:t>
      </w:r>
      <w:r>
        <w:rPr>
          <w:rFonts w:cstheme="minorHAnsi"/>
        </w:rPr>
        <w:t>recruitment</w:t>
      </w:r>
      <w:r w:rsidRPr="00D311C4">
        <w:rPr>
          <w:rFonts w:cstheme="minorHAnsi"/>
        </w:rPr>
        <w:t xml:space="preserve"> of stock </w:t>
      </w:r>
      <w:proofErr w:type="spellStart"/>
      <w:r w:rsidRPr="00D311C4">
        <w:rPr>
          <w:rFonts w:cstheme="minorHAnsi"/>
          <w:i/>
        </w:rPr>
        <w:t>i</w:t>
      </w:r>
      <w:proofErr w:type="spellEnd"/>
      <w:r w:rsidRPr="00D311C4">
        <w:rPr>
          <w:rFonts w:cstheme="minorHAnsi"/>
        </w:rPr>
        <w:t xml:space="preserve">. </w:t>
      </w:r>
      <w:r w:rsidRPr="00D311C4">
        <w:rPr>
          <w:rFonts w:eastAsiaTheme="minorEastAsia" w:cstheme="minorHAnsi"/>
        </w:rPr>
        <w:t xml:space="preserve">We estimated SST influences,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oMath>
      <w:r w:rsidRPr="00D311C4">
        <w:rPr>
          <w:rFonts w:eastAsiaTheme="minorEastAsia" w:cstheme="minorHAnsi"/>
        </w:rPr>
        <w:t>, as random effects:</w:t>
      </w:r>
    </w:p>
    <w:p w14:paraId="78722D6D" w14:textId="77777777" w:rsidR="00C26590" w:rsidRPr="00D311C4" w:rsidRDefault="00C26590" w:rsidP="00C26590">
      <w:pPr>
        <w:rPr>
          <w:rFonts w:cstheme="minorHAnsi"/>
        </w:rPr>
      </w:pPr>
    </w:p>
    <w:p w14:paraId="4F459BFE" w14:textId="727022EB" w:rsidR="00C26590" w:rsidRPr="00D311C4" w:rsidRDefault="00D14E42" w:rsidP="00C26590">
      <w:pPr>
        <w:jc w:val="right"/>
        <w:rPr>
          <w:rFonts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r>
          <w:rPr>
            <w:rFonts w:ascii="Cambria Math" w:hAnsi="Cambria Math" w:cstheme="minorHAnsi"/>
          </w:rPr>
          <m:t xml:space="preserve"> ~ 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SST</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SST</m:t>
                </m:r>
              </m:sub>
              <m:sup>
                <m:r>
                  <w:rPr>
                    <w:rFonts w:ascii="Cambria Math" w:hAnsi="Cambria Math" w:cstheme="minorHAnsi"/>
                  </w:rPr>
                  <m:t>2</m:t>
                </m:r>
              </m:sup>
            </m:sSubSup>
          </m:e>
        </m:d>
      </m:oMath>
      <w:r w:rsidR="00C26590" w:rsidRPr="00D311C4">
        <w:rPr>
          <w:rFonts w:cstheme="minorHAnsi"/>
        </w:rPr>
        <w:t xml:space="preserve">                                                           Eq. </w:t>
      </w:r>
      <w:r w:rsidR="00007D3F">
        <w:rPr>
          <w:rFonts w:cstheme="minorHAnsi"/>
        </w:rPr>
        <w:t>4</w:t>
      </w:r>
    </w:p>
    <w:p w14:paraId="3C7E409B" w14:textId="77777777" w:rsidR="00C26590" w:rsidRPr="00D311C4" w:rsidRDefault="00C26590" w:rsidP="00C26590">
      <w:pPr>
        <w:rPr>
          <w:rFonts w:cstheme="minorHAnsi"/>
        </w:rPr>
      </w:pPr>
    </w:p>
    <w:p w14:paraId="52815246" w14:textId="0776BB07" w:rsidR="00C26590" w:rsidRPr="00D311C4" w:rsidRDefault="00C26590" w:rsidP="00C26590">
      <w:pPr>
        <w:rPr>
          <w:rFonts w:eastAsiaTheme="minorEastAsia" w:cstheme="minorHAnsi"/>
        </w:rPr>
      </w:pPr>
      <w:r w:rsidRPr="00D311C4">
        <w:rPr>
          <w:rFonts w:cstheme="minorHAnsi"/>
        </w:rPr>
        <w:t xml:space="preserve">where </w:t>
      </w:r>
      <w:r w:rsidRPr="00D311C4">
        <w:rPr>
          <w:rFonts w:cstheme="minorHAnsi"/>
        </w:rPr>
        <w:sym w:font="Symbol" w:char="F06D"/>
      </w:r>
      <w:r w:rsidRPr="00D311C4">
        <w:rPr>
          <w:rFonts w:cstheme="minorHAnsi"/>
          <w:vertAlign w:val="subscript"/>
        </w:rPr>
        <w:t>SST</w:t>
      </w:r>
      <w:r w:rsidRPr="00D311C4">
        <w:rPr>
          <w:rFonts w:cstheme="minorHAnsi"/>
        </w:rPr>
        <w:t xml:space="preserve"> and </w:t>
      </w:r>
      <w:r w:rsidRPr="00D311C4">
        <w:rPr>
          <w:rFonts w:cstheme="minorHAnsi"/>
        </w:rPr>
        <w:sym w:font="Symbol" w:char="F073"/>
      </w:r>
      <w:r w:rsidRPr="00D311C4">
        <w:rPr>
          <w:rFonts w:cstheme="minorHAnsi"/>
          <w:vertAlign w:val="subscript"/>
        </w:rPr>
        <w:t>SST</w:t>
      </w:r>
      <w:r w:rsidRPr="00D311C4">
        <w:rPr>
          <w:rFonts w:cstheme="minorHAnsi"/>
        </w:rPr>
        <w:t xml:space="preserve"> are the mean and standard deviation of the global distribution of SST influences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oMath>
      <w:r w:rsidRPr="00D311C4">
        <w:rPr>
          <w:rFonts w:cstheme="minorHAnsi"/>
        </w:rPr>
        <w:t xml:space="preserve">), respectively.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oMath>
      <w:r w:rsidRPr="00D311C4">
        <w:rPr>
          <w:rFonts w:eastAsiaTheme="minorEastAsia" w:cstheme="minorHAnsi"/>
        </w:rPr>
        <w:t xml:space="preserve"> &lt; 0 means increasing SST reduces </w:t>
      </w:r>
      <w:r w:rsidR="00A95B4D">
        <w:rPr>
          <w:rFonts w:eastAsiaTheme="minorEastAsia" w:cstheme="minorHAnsi"/>
        </w:rPr>
        <w:t>recruitment</w:t>
      </w:r>
      <w:r w:rsidRPr="00D311C4">
        <w:rPr>
          <w:rFonts w:eastAsiaTheme="minorEastAsia" w:cstheme="minorHAnsi"/>
        </w:rPr>
        <w:t xml:space="preserve"> at a given biomass and</w:t>
      </w:r>
      <w:r w:rsidRPr="00D311C4">
        <w:rPr>
          <w:rFonts w:cstheme="minorHAnsi"/>
        </w:rPr>
        <w:t xml:space="preserv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oMath>
      <w:r w:rsidRPr="00D311C4">
        <w:rPr>
          <w:rFonts w:eastAsiaTheme="minorEastAsia" w:cstheme="minorHAnsi"/>
        </w:rPr>
        <w:t xml:space="preserve"> &gt; 0 means increasing SST magnifies </w:t>
      </w:r>
      <w:r w:rsidR="00A95B4D">
        <w:rPr>
          <w:rFonts w:eastAsiaTheme="minorEastAsia" w:cstheme="minorHAnsi"/>
        </w:rPr>
        <w:t>recruitment</w:t>
      </w:r>
      <w:r w:rsidRPr="00D311C4">
        <w:rPr>
          <w:rFonts w:eastAsiaTheme="minorEastAsia" w:cstheme="minorHAnsi"/>
        </w:rPr>
        <w:t xml:space="preserve"> at a given biomass.</w:t>
      </w:r>
    </w:p>
    <w:p w14:paraId="5CEF4916" w14:textId="77777777" w:rsidR="0033467D" w:rsidRDefault="0033467D" w:rsidP="00A0223E">
      <w:pPr>
        <w:rPr>
          <w:rFonts w:cstheme="minorHAnsi"/>
          <w:i/>
        </w:rPr>
      </w:pPr>
    </w:p>
    <w:p w14:paraId="3A3D6881" w14:textId="616F4E4E" w:rsidR="00A0223E" w:rsidRPr="00D311C4" w:rsidRDefault="00A0223E" w:rsidP="00A0223E">
      <w:pPr>
        <w:rPr>
          <w:rFonts w:cstheme="minorHAnsi"/>
          <w:i/>
        </w:rPr>
      </w:pPr>
      <w:r w:rsidRPr="00D311C4">
        <w:rPr>
          <w:rFonts w:cstheme="minorHAnsi"/>
          <w:i/>
        </w:rPr>
        <w:t>2.</w:t>
      </w:r>
      <w:r>
        <w:rPr>
          <w:rFonts w:cstheme="minorHAnsi"/>
          <w:i/>
        </w:rPr>
        <w:t>3</w:t>
      </w:r>
      <w:r w:rsidRPr="00D311C4">
        <w:rPr>
          <w:rFonts w:cstheme="minorHAnsi"/>
          <w:i/>
        </w:rPr>
        <w:t xml:space="preserve"> Model validation</w:t>
      </w:r>
    </w:p>
    <w:p w14:paraId="2FB7D399" w14:textId="77777777" w:rsidR="00A0223E" w:rsidRPr="00D311C4" w:rsidRDefault="00A0223E" w:rsidP="00A0223E">
      <w:pPr>
        <w:rPr>
          <w:rFonts w:cstheme="minorHAnsi"/>
          <w:i/>
        </w:rPr>
      </w:pPr>
    </w:p>
    <w:p w14:paraId="62D3B22C" w14:textId="307A53E2" w:rsidR="0033467D" w:rsidRDefault="0033467D" w:rsidP="0033467D">
      <w:pPr>
        <w:ind w:firstLine="720"/>
        <w:rPr>
          <w:rFonts w:cstheme="minorHAnsi"/>
        </w:rPr>
      </w:pPr>
      <w:r w:rsidRPr="00D311C4">
        <w:rPr>
          <w:rFonts w:cstheme="minorHAnsi"/>
        </w:rPr>
        <w:t xml:space="preserve">We </w:t>
      </w:r>
      <w:r w:rsidR="005C6817">
        <w:rPr>
          <w:rFonts w:cstheme="minorHAnsi"/>
        </w:rPr>
        <w:t>confirmed that</w:t>
      </w:r>
      <w:r w:rsidRPr="00D311C4">
        <w:rPr>
          <w:rFonts w:cstheme="minorHAnsi"/>
        </w:rPr>
        <w:t xml:space="preserve"> the SST-linked </w:t>
      </w:r>
      <w:r>
        <w:rPr>
          <w:rFonts w:cstheme="minorHAnsi"/>
        </w:rPr>
        <w:t>stock recruitment</w:t>
      </w:r>
      <w:r w:rsidRPr="00D311C4">
        <w:rPr>
          <w:rFonts w:cstheme="minorHAnsi"/>
        </w:rPr>
        <w:t xml:space="preserve"> model described population dynamics better than the standard </w:t>
      </w:r>
      <w:r>
        <w:rPr>
          <w:rFonts w:cstheme="minorHAnsi"/>
        </w:rPr>
        <w:t>stock recruitment</w:t>
      </w:r>
      <w:r w:rsidRPr="00D311C4">
        <w:rPr>
          <w:rFonts w:cstheme="minorHAnsi"/>
        </w:rPr>
        <w:t xml:space="preserve"> model by competing the models using A</w:t>
      </w:r>
      <w:r>
        <w:rPr>
          <w:rFonts w:cstheme="minorHAnsi"/>
        </w:rPr>
        <w:t xml:space="preserve">kaike Information Criterion (AIC; </w:t>
      </w:r>
      <w:r w:rsidR="00E76217" w:rsidRPr="00E76217">
        <w:rPr>
          <w:rFonts w:cstheme="minorHAnsi"/>
          <w:color w:val="000000" w:themeColor="text1"/>
        </w:rPr>
        <w:t>Akaike 1974</w:t>
      </w:r>
      <w:r>
        <w:rPr>
          <w:rFonts w:cstheme="minorHAnsi"/>
        </w:rPr>
        <w:t>)</w:t>
      </w:r>
      <w:r w:rsidRPr="00D311C4">
        <w:rPr>
          <w:rFonts w:cstheme="minorHAnsi"/>
        </w:rPr>
        <w:t xml:space="preserve">. We tested whether the results of the </w:t>
      </w:r>
      <w:r w:rsidR="005C6817">
        <w:rPr>
          <w:rFonts w:cstheme="minorHAnsi"/>
        </w:rPr>
        <w:t xml:space="preserve">SST-linked </w:t>
      </w:r>
      <w:r w:rsidRPr="00D311C4">
        <w:rPr>
          <w:rFonts w:cstheme="minorHAnsi"/>
        </w:rPr>
        <w:t xml:space="preserve">model were an artifact of model structure by decoupling the SST and productivity time series using </w:t>
      </w:r>
      <w:r w:rsidR="005C6817">
        <w:rPr>
          <w:rFonts w:cstheme="minorHAnsi"/>
        </w:rPr>
        <w:t>a</w:t>
      </w:r>
      <w:r w:rsidRPr="00D311C4">
        <w:rPr>
          <w:rFonts w:cstheme="minorHAnsi"/>
        </w:rPr>
        <w:t xml:space="preserve"> null model with simulated SST time series exhibiting</w:t>
      </w:r>
      <w:r w:rsidR="005C6817">
        <w:rPr>
          <w:rFonts w:cstheme="minorHAnsi"/>
        </w:rPr>
        <w:t xml:space="preserve"> </w:t>
      </w:r>
      <w:r w:rsidRPr="00D311C4">
        <w:rPr>
          <w:rFonts w:cstheme="minorHAnsi"/>
        </w:rPr>
        <w:t>the same mean, variance, autoregressive properties, and trend as the original time series</w:t>
      </w:r>
      <w:r w:rsidR="005C6817">
        <w:rPr>
          <w:rFonts w:cstheme="minorHAnsi"/>
        </w:rPr>
        <w:t xml:space="preserve"> </w:t>
      </w:r>
      <w:r w:rsidRPr="00D311C4">
        <w:rPr>
          <w:rFonts w:cstheme="minorHAnsi"/>
        </w:rPr>
        <w:t>(</w:t>
      </w:r>
      <w:r w:rsidR="004B3BE4">
        <w:rPr>
          <w:rFonts w:cstheme="minorHAnsi"/>
          <w:color w:val="FF0000"/>
        </w:rPr>
        <w:t>Figure</w:t>
      </w:r>
      <w:r w:rsidRPr="005C6817">
        <w:rPr>
          <w:rFonts w:cstheme="minorHAnsi"/>
          <w:color w:val="FF0000"/>
        </w:rPr>
        <w:t>; Appendix</w:t>
      </w:r>
      <w:r w:rsidRPr="00D311C4">
        <w:rPr>
          <w:rFonts w:cstheme="minorHAnsi"/>
        </w:rPr>
        <w:t xml:space="preserve">). The SST simulations were performed using the R package </w:t>
      </w:r>
      <w:r w:rsidRPr="00D311C4">
        <w:rPr>
          <w:rFonts w:cstheme="minorHAnsi"/>
          <w:i/>
        </w:rPr>
        <w:t>forecast</w:t>
      </w:r>
      <w:r w:rsidRPr="00D311C4">
        <w:rPr>
          <w:rFonts w:cstheme="minorHAnsi"/>
        </w:rPr>
        <w:t xml:space="preserve"> </w:t>
      </w:r>
      <w:r w:rsidRPr="00D311C4">
        <w:rPr>
          <w:rFonts w:cstheme="minorHAnsi"/>
        </w:rPr>
        <w:fldChar w:fldCharType="begin"/>
      </w:r>
      <w:r w:rsidRPr="00D311C4">
        <w:rPr>
          <w:rFonts w:cstheme="minorHAnsi"/>
        </w:rPr>
        <w:instrText xml:space="preserve"> ADDIN PAPERS2_CITATIONS &lt;citation&gt;&lt;priority&gt;11&lt;/priority&gt;&lt;uuid&gt;31311722-29B3-4278-AAE9-82B826F4BA95&lt;/uuid&gt;&lt;publications&gt;&lt;publication&gt;&lt;subtype&gt;341&lt;/subtype&gt;&lt;title&gt;forecast: Forecasting functions for time series and linear models. R package version 8.2.&lt;/title&gt;&lt;url&gt;http://pkg.robjhyndman.com/forecast&lt;/url&gt;&lt;revision_date&gt;99201700001200000000200000&lt;/revision_date&gt;&lt;publication_date&gt;99201806211200000000222000&lt;/publication_date&gt;&lt;uuid&gt;0FCB805D-B358-430E-AE74-6DD67CA548E1&lt;/uuid&gt;&lt;version&gt;R package version 8.2. &lt;/version&gt;&lt;type&gt;300&lt;/type&gt;&lt;citekey&gt;forecastForecastin:2018vv&lt;/citekey&gt;&lt;startpage&gt;1&lt;/startpage&gt;&lt;endpage&gt;131&lt;/endpage&gt;&lt;authors&gt;&lt;author&gt;&lt;lastName&gt;Hyndman&lt;/lastName&gt;&lt;firstName&gt;Rob&lt;/firstName&gt;&lt;middleNames&gt;J&lt;/middleNames&gt;&lt;/author&gt;&lt;/authors&gt;&lt;/publication&gt;&lt;/publications&gt;&lt;cites&gt;&lt;/cites&gt;&lt;/citation&gt;</w:instrText>
      </w:r>
      <w:r w:rsidRPr="00D311C4">
        <w:rPr>
          <w:rFonts w:cstheme="minorHAnsi"/>
        </w:rPr>
        <w:fldChar w:fldCharType="separate"/>
      </w:r>
      <w:r w:rsidRPr="00D311C4">
        <w:rPr>
          <w:rFonts w:cstheme="minorHAnsi"/>
        </w:rPr>
        <w:t>(</w:t>
      </w:r>
      <w:r w:rsidR="000F7F55">
        <w:rPr>
          <w:rFonts w:cstheme="minorHAnsi"/>
          <w:iCs/>
        </w:rPr>
        <w:t>Hyndman 2018</w:t>
      </w:r>
      <w:r w:rsidRPr="00D311C4">
        <w:rPr>
          <w:rFonts w:cstheme="minorHAnsi"/>
        </w:rPr>
        <w:t>)</w:t>
      </w:r>
      <w:r w:rsidRPr="00D311C4">
        <w:rPr>
          <w:rFonts w:cstheme="minorHAnsi"/>
        </w:rPr>
        <w:fldChar w:fldCharType="end"/>
      </w:r>
      <w:r w:rsidRPr="00D311C4">
        <w:rPr>
          <w:rFonts w:cstheme="minorHAnsi"/>
        </w:rPr>
        <w:t>.</w:t>
      </w:r>
      <w:r w:rsidR="0089711A" w:rsidRPr="0089711A">
        <w:rPr>
          <w:rFonts w:cstheme="minorHAnsi"/>
          <w:color w:val="FF0000"/>
        </w:rPr>
        <w:t xml:space="preserve"> Insert text about using binomial exact test to compare null and final </w:t>
      </w:r>
      <w:r w:rsidR="0089711A">
        <w:rPr>
          <w:rFonts w:cstheme="minorHAnsi"/>
          <w:color w:val="FF0000"/>
        </w:rPr>
        <w:t>influence significances</w:t>
      </w:r>
      <w:r w:rsidR="0089711A" w:rsidRPr="0089711A">
        <w:rPr>
          <w:rFonts w:cstheme="minorHAnsi"/>
          <w:color w:val="FF0000"/>
        </w:rPr>
        <w:t xml:space="preserve">. </w:t>
      </w:r>
    </w:p>
    <w:p w14:paraId="7519ADD2" w14:textId="05788E77" w:rsidR="00C26590" w:rsidRDefault="00C26590" w:rsidP="00C26590">
      <w:pPr>
        <w:rPr>
          <w:rFonts w:cstheme="minorHAnsi"/>
        </w:rPr>
      </w:pPr>
    </w:p>
    <w:p w14:paraId="7CFE2AB1" w14:textId="77777777" w:rsidR="0089711A" w:rsidRDefault="0089711A" w:rsidP="00C26590">
      <w:pPr>
        <w:rPr>
          <w:rFonts w:cstheme="minorHAnsi"/>
          <w:color w:val="FF0000"/>
        </w:rPr>
      </w:pPr>
    </w:p>
    <w:p w14:paraId="64877FD2" w14:textId="77777777" w:rsidR="00C26590" w:rsidRPr="00D311C4" w:rsidRDefault="00C26590" w:rsidP="00C26590">
      <w:pPr>
        <w:rPr>
          <w:rFonts w:cstheme="minorHAnsi"/>
          <w:u w:val="single"/>
        </w:rPr>
      </w:pPr>
      <w:r w:rsidRPr="00D311C4">
        <w:rPr>
          <w:rFonts w:cstheme="minorHAnsi"/>
          <w:u w:val="single"/>
        </w:rPr>
        <w:t>3. Data analysis</w:t>
      </w:r>
    </w:p>
    <w:p w14:paraId="3D3F798D" w14:textId="77777777" w:rsidR="00C26590" w:rsidRPr="00D311C4" w:rsidRDefault="00C26590" w:rsidP="00C26590">
      <w:pPr>
        <w:rPr>
          <w:rFonts w:cstheme="minorHAnsi"/>
        </w:rPr>
      </w:pPr>
    </w:p>
    <w:p w14:paraId="4726DD08" w14:textId="77777777" w:rsidR="00C26590" w:rsidRPr="00D311C4" w:rsidRDefault="00C26590" w:rsidP="00C26590">
      <w:pPr>
        <w:rPr>
          <w:rFonts w:cstheme="minorHAnsi"/>
          <w:i/>
        </w:rPr>
      </w:pPr>
      <w:r w:rsidRPr="00D311C4">
        <w:rPr>
          <w:rFonts w:cstheme="minorHAnsi"/>
          <w:i/>
        </w:rPr>
        <w:t>3.1 Drivers of temperature influence</w:t>
      </w:r>
    </w:p>
    <w:p w14:paraId="09CBA50C" w14:textId="38FA4855" w:rsidR="00C26590" w:rsidRDefault="00C26590" w:rsidP="00C26590">
      <w:pPr>
        <w:rPr>
          <w:rFonts w:cstheme="minorHAnsi"/>
          <w:color w:val="FF0000"/>
        </w:rPr>
      </w:pPr>
    </w:p>
    <w:p w14:paraId="41D2FDFA" w14:textId="77777777" w:rsidR="00C26590" w:rsidRPr="00D311C4" w:rsidRDefault="00C26590" w:rsidP="00C26590">
      <w:pPr>
        <w:ind w:firstLine="720"/>
        <w:rPr>
          <w:rFonts w:cstheme="minorHAnsi"/>
        </w:rPr>
      </w:pPr>
      <w:r w:rsidRPr="00D311C4">
        <w:rPr>
          <w:rFonts w:cstheme="minorHAnsi"/>
        </w:rPr>
        <w:t>Because the influence of SST on productivity was estimated as a random effect, our estimates of SST influence cannot be considered independent and cannot undergo post-hoc analyses using formal statistical methods (i.e., formal hypothesis testing requires including explanatory variables inside the model, as we did with taxonomy and geography). Therefore, we graphically evaluated whether SST influence is determined by: (1) life history traits such as growth rate, maximum age, or depth preference; (2) behavioral traits such as reproductive guild, migratory habits, or spawning behavior; (3) stock characteristics such as trend in biomass or fishing pressure; and (4) thermal experience such as mean SST, SST trend, or latitude. A list of evaluated explanatory variables and their sources is provided in Table S3. We could not include these drivers inside the model, as we did with taxonomy and geography, due to missing data for many of the evaluated explanatory variables (Table S3).</w:t>
      </w:r>
    </w:p>
    <w:p w14:paraId="74B5C934" w14:textId="56662C8C" w:rsidR="00C26590" w:rsidRDefault="00C26590" w:rsidP="00C26590">
      <w:pPr>
        <w:rPr>
          <w:rFonts w:cstheme="minorHAnsi"/>
          <w:color w:val="FF0000"/>
        </w:rPr>
      </w:pPr>
    </w:p>
    <w:p w14:paraId="28C7D0B3" w14:textId="7CA69F19" w:rsidR="00C26590" w:rsidRPr="00C26590" w:rsidRDefault="00C26590" w:rsidP="00C26590">
      <w:pPr>
        <w:rPr>
          <w:rFonts w:cstheme="minorHAnsi"/>
          <w:i/>
          <w:color w:val="000000" w:themeColor="text1"/>
        </w:rPr>
      </w:pPr>
      <w:r w:rsidRPr="00C26590">
        <w:rPr>
          <w:rFonts w:cstheme="minorHAnsi"/>
          <w:i/>
          <w:color w:val="000000" w:themeColor="text1"/>
        </w:rPr>
        <w:t>3.2 Hindcasting maximum recruitment capacity</w:t>
      </w:r>
    </w:p>
    <w:p w14:paraId="4A5475A3" w14:textId="2DA61A7D" w:rsidR="00C26590" w:rsidRDefault="00C26590" w:rsidP="00C26590">
      <w:pPr>
        <w:rPr>
          <w:rFonts w:cstheme="minorHAnsi"/>
          <w:color w:val="FF0000"/>
        </w:rPr>
      </w:pPr>
    </w:p>
    <w:p w14:paraId="4A933E1E" w14:textId="097A7AF7" w:rsidR="0027434A" w:rsidRPr="00D311C4" w:rsidRDefault="0027434A" w:rsidP="0027434A">
      <w:pPr>
        <w:ind w:firstLine="720"/>
        <w:rPr>
          <w:rFonts w:cstheme="minorHAnsi"/>
        </w:rPr>
      </w:pPr>
      <w:r w:rsidRPr="00D311C4">
        <w:rPr>
          <w:rFonts w:cstheme="minorHAnsi"/>
        </w:rPr>
        <w:t xml:space="preserve">We used the model’s estimates of </w:t>
      </w:r>
      <w:r w:rsidR="00E85D7B" w:rsidRPr="007B7A92">
        <w:rPr>
          <w:rFonts w:ascii="Cambria" w:hAnsi="Cambria"/>
          <w:i/>
        </w:rPr>
        <w:t>α</w:t>
      </w:r>
      <w:proofErr w:type="spellStart"/>
      <w:r w:rsidR="00E85D7B" w:rsidRPr="00E85D7B">
        <w:rPr>
          <w:rFonts w:ascii="Cambria" w:eastAsia="Times New Roman" w:hAnsi="Cambria" w:cstheme="minorHAnsi"/>
          <w:i/>
          <w:color w:val="222222"/>
          <w:shd w:val="clear" w:color="auto" w:fill="FFFFFF"/>
          <w:vertAlign w:val="subscript"/>
        </w:rPr>
        <w:t>i</w:t>
      </w:r>
      <w:proofErr w:type="spellEnd"/>
      <w:r w:rsidR="00E85D7B">
        <w:rPr>
          <w:i/>
        </w:rPr>
        <w:t xml:space="preserve">, </w:t>
      </w:r>
      <w:r w:rsidR="00E85D7B" w:rsidRPr="007B7A92">
        <w:rPr>
          <w:rFonts w:ascii="Cambria" w:eastAsia="Times New Roman" w:hAnsi="Cambria" w:cstheme="minorHAnsi"/>
          <w:i/>
          <w:color w:val="222222"/>
          <w:shd w:val="clear" w:color="auto" w:fill="FFFFFF"/>
        </w:rPr>
        <w:t>β</w:t>
      </w:r>
      <w:proofErr w:type="spellStart"/>
      <w:r w:rsidR="00E85D7B" w:rsidRPr="00E85D7B">
        <w:rPr>
          <w:rFonts w:ascii="Cambria" w:eastAsia="Times New Roman" w:hAnsi="Cambria" w:cstheme="minorHAnsi"/>
          <w:i/>
          <w:color w:val="222222"/>
          <w:shd w:val="clear" w:color="auto" w:fill="FFFFFF"/>
          <w:vertAlign w:val="subscript"/>
        </w:rPr>
        <w:t>i</w:t>
      </w:r>
      <w:proofErr w:type="spellEnd"/>
      <w:r w:rsidR="00E85D7B">
        <w:rPr>
          <w:rFonts w:eastAsia="Times New Roman" w:cstheme="minorHAnsi"/>
          <w:color w:val="222222"/>
          <w:shd w:val="clear" w:color="auto" w:fill="FFFFFF"/>
        </w:rPr>
        <w:t>,</w:t>
      </w:r>
      <w:r w:rsidR="00E85D7B">
        <w:t xml:space="preserve"> </w:t>
      </w:r>
      <w:r w:rsidRPr="00D311C4">
        <w:rPr>
          <w:rFonts w:cstheme="minorHAnsi"/>
        </w:rPr>
        <w:t xml:space="preserve">and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oMath>
      <w:r w:rsidRPr="00D311C4">
        <w:rPr>
          <w:rFonts w:cstheme="minorHAnsi"/>
        </w:rPr>
        <w:t xml:space="preserve"> to hindcast SST-dependent </w:t>
      </w:r>
      <w:r>
        <w:rPr>
          <w:rFonts w:cstheme="minorHAnsi"/>
        </w:rPr>
        <w:t>maximum recruitment capacity</w:t>
      </w:r>
      <w:r w:rsidRPr="00D311C4">
        <w:rPr>
          <w:rFonts w:cstheme="minorHAnsi"/>
        </w:rPr>
        <w:t xml:space="preserve"> from 1930-2010</w:t>
      </w:r>
      <w:r>
        <w:rPr>
          <w:rFonts w:cstheme="minorHAnsi"/>
        </w:rPr>
        <w:t xml:space="preserve"> (Appendices E-G)</w:t>
      </w:r>
      <w:r w:rsidRPr="00D311C4">
        <w:rPr>
          <w:rFonts w:cstheme="minorHAnsi"/>
        </w:rPr>
        <w:t>. We expanded the equation for</w:t>
      </w:r>
      <w:r w:rsidR="00F46EE7">
        <w:rPr>
          <w:rFonts w:cstheme="minorHAnsi"/>
        </w:rPr>
        <w:t xml:space="preserve"> maximum recruitment capacity</w:t>
      </w:r>
      <w:r w:rsidRPr="00D311C4">
        <w:rPr>
          <w:rFonts w:cstheme="minorHAnsi"/>
        </w:rPr>
        <w:t>:</w:t>
      </w:r>
    </w:p>
    <w:p w14:paraId="0DC2E389" w14:textId="673CD306" w:rsidR="0027434A" w:rsidRPr="00D311C4" w:rsidRDefault="0027434A" w:rsidP="0027434A">
      <w:pPr>
        <w:rPr>
          <w:rFonts w:cstheme="minorHAnsi"/>
        </w:rPr>
      </w:pPr>
    </w:p>
    <w:p w14:paraId="089FC20F" w14:textId="0F41C9FA" w:rsidR="0027434A" w:rsidRPr="00D311C4" w:rsidRDefault="00D14E42" w:rsidP="0027434A">
      <w:pPr>
        <w:jc w:val="right"/>
        <w:rPr>
          <w:rFonts w:cstheme="minorHAnsi"/>
        </w:rPr>
      </w:p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MAX</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α</m:t>
            </m:r>
          </m:num>
          <m:den>
            <m:r>
              <w:rPr>
                <w:rFonts w:ascii="Cambria Math" w:hAnsi="Cambria Math" w:cstheme="minorHAnsi"/>
              </w:rPr>
              <m:t>β</m:t>
            </m:r>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-1</m:t>
            </m:r>
          </m:sup>
        </m:sSup>
      </m:oMath>
      <w:r w:rsidR="0027434A" w:rsidRPr="00D311C4">
        <w:rPr>
          <w:rFonts w:cstheme="minorHAnsi"/>
        </w:rPr>
        <w:t xml:space="preserve">                                                         </w:t>
      </w:r>
      <w:r w:rsidR="00007D3F">
        <w:rPr>
          <w:rFonts w:cstheme="minorHAnsi"/>
        </w:rPr>
        <w:t xml:space="preserve">       </w:t>
      </w:r>
      <w:r w:rsidR="0027434A" w:rsidRPr="00D311C4">
        <w:rPr>
          <w:rFonts w:cstheme="minorHAnsi"/>
        </w:rPr>
        <w:t xml:space="preserve">Eq. </w:t>
      </w:r>
      <w:r w:rsidR="00007D3F">
        <w:rPr>
          <w:rFonts w:cstheme="minorHAnsi"/>
        </w:rPr>
        <w:t>5</w:t>
      </w:r>
    </w:p>
    <w:p w14:paraId="73E47145" w14:textId="77777777" w:rsidR="0027434A" w:rsidRPr="00D311C4" w:rsidRDefault="0027434A" w:rsidP="0027434A">
      <w:pPr>
        <w:rPr>
          <w:rFonts w:cstheme="minorHAnsi"/>
        </w:rPr>
      </w:pPr>
    </w:p>
    <w:p w14:paraId="1DDA4A45" w14:textId="0CBF8FAD" w:rsidR="0027434A" w:rsidRDefault="0027434A" w:rsidP="0027434A">
      <w:pPr>
        <w:rPr>
          <w:rFonts w:cstheme="minorHAnsi"/>
        </w:rPr>
      </w:pPr>
      <w:r w:rsidRPr="00D311C4">
        <w:rPr>
          <w:rFonts w:cstheme="minorHAnsi"/>
        </w:rPr>
        <w:t xml:space="preserve">to include the SST influence term and calculated </w:t>
      </w:r>
      <w:r w:rsidR="003A37D4" w:rsidRPr="003A37D4">
        <w:rPr>
          <w:rFonts w:cstheme="minorHAnsi"/>
          <w:i/>
        </w:rPr>
        <w:t>R</w:t>
      </w:r>
      <w:r w:rsidR="003A37D4" w:rsidRPr="003A37D4">
        <w:rPr>
          <w:rFonts w:cstheme="minorHAnsi"/>
          <w:i/>
          <w:vertAlign w:val="subscript"/>
        </w:rPr>
        <w:t>MAX</w:t>
      </w:r>
      <w:r w:rsidRPr="00D311C4">
        <w:rPr>
          <w:rFonts w:cstheme="minorHAnsi"/>
        </w:rPr>
        <w:t xml:space="preserve"> for stock </w:t>
      </w:r>
      <w:proofErr w:type="spellStart"/>
      <w:r w:rsidRPr="00D311C4">
        <w:rPr>
          <w:rFonts w:cstheme="minorHAnsi"/>
          <w:i/>
        </w:rPr>
        <w:t>i</w:t>
      </w:r>
      <w:proofErr w:type="spellEnd"/>
      <w:r w:rsidRPr="00D311C4">
        <w:rPr>
          <w:rFonts w:cstheme="minorHAnsi"/>
          <w:i/>
        </w:rPr>
        <w:t xml:space="preserve"> </w:t>
      </w:r>
      <w:r w:rsidRPr="00D311C4">
        <w:rPr>
          <w:rFonts w:cstheme="minorHAnsi"/>
        </w:rPr>
        <w:t xml:space="preserve">in year </w:t>
      </w:r>
      <w:r w:rsidRPr="00D311C4">
        <w:rPr>
          <w:rFonts w:cstheme="minorHAnsi"/>
          <w:i/>
        </w:rPr>
        <w:t>t</w:t>
      </w:r>
      <w:r w:rsidRPr="00D311C4">
        <w:rPr>
          <w:rFonts w:cstheme="minorHAnsi"/>
        </w:rPr>
        <w:t xml:space="preserve"> as:</w:t>
      </w:r>
    </w:p>
    <w:p w14:paraId="6FF0B3DB" w14:textId="0030DE89" w:rsidR="002C1E8F" w:rsidRDefault="002C1E8F" w:rsidP="0027434A">
      <w:pPr>
        <w:rPr>
          <w:rFonts w:cstheme="minorHAnsi"/>
        </w:rPr>
      </w:pPr>
    </w:p>
    <w:p w14:paraId="6DD5D88D" w14:textId="2152AA5F" w:rsidR="002C1E8F" w:rsidRPr="00D311C4" w:rsidRDefault="00D14E42" w:rsidP="00007D3F">
      <w:pPr>
        <w:jc w:val="right"/>
        <w:rPr>
          <w:rFonts w:cstheme="minorHAnsi"/>
        </w:rPr>
      </w:p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MAX</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α*</m:t>
            </m:r>
            <m:r>
              <m:rPr>
                <m:sty m:val="p"/>
              </m:rPr>
              <w:rPr>
                <w:rFonts w:ascii="Cambria Math" w:hAnsi="Cambria Math" w:cstheme="minorHAnsi"/>
              </w:rPr>
              <m:t>exp</m:t>
            </m:r>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θ</m:t>
                        </m:r>
                      </m:e>
                    </m:acc>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SST</m:t>
                        </m:r>
                      </m:e>
                    </m:acc>
                  </m:e>
                  <m:sub>
                    <m:r>
                      <w:rPr>
                        <w:rFonts w:ascii="Cambria Math" w:hAnsi="Cambria Math" w:cstheme="minorHAnsi"/>
                      </w:rPr>
                      <m:t>i,t</m:t>
                    </m:r>
                  </m:sub>
                </m:sSub>
              </m:e>
            </m:d>
          </m:num>
          <m:den>
            <m:r>
              <w:rPr>
                <w:rFonts w:ascii="Cambria Math" w:hAnsi="Cambria Math" w:cstheme="minorHAnsi"/>
              </w:rPr>
              <m:t>β</m:t>
            </m:r>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-1</m:t>
            </m:r>
          </m:sup>
        </m:sSup>
      </m:oMath>
      <w:r w:rsidR="00007D3F">
        <w:rPr>
          <w:rFonts w:eastAsiaTheme="minorEastAsia" w:cstheme="minorHAnsi"/>
        </w:rPr>
        <w:t xml:space="preserve">                                                     Eq. 6</w:t>
      </w:r>
    </w:p>
    <w:p w14:paraId="72356296" w14:textId="77777777" w:rsidR="0027434A" w:rsidRPr="00D311C4" w:rsidRDefault="0027434A" w:rsidP="002C1E8F">
      <w:pPr>
        <w:rPr>
          <w:rFonts w:cstheme="minorHAnsi"/>
        </w:rPr>
      </w:pPr>
    </w:p>
    <w:p w14:paraId="5BE20AFB" w14:textId="6A9A9AC6" w:rsidR="00FE0DC2" w:rsidRDefault="0027434A" w:rsidP="0027434A">
      <w:pPr>
        <w:rPr>
          <w:rFonts w:cstheme="minorHAnsi"/>
        </w:rPr>
      </w:pPr>
      <w:r w:rsidRPr="00D311C4">
        <w:rPr>
          <w:rFonts w:cstheme="minorHAnsi"/>
        </w:rPr>
        <w:t xml:space="preserve">where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SST</m:t>
                </m:r>
              </m:e>
            </m:acc>
          </m:e>
          <m:sub>
            <m:r>
              <w:rPr>
                <w:rFonts w:ascii="Cambria Math" w:hAnsi="Cambria Math" w:cstheme="minorHAnsi"/>
              </w:rPr>
              <m:t>i,t</m:t>
            </m:r>
          </m:sub>
        </m:sSub>
      </m:oMath>
      <w:r w:rsidRPr="00D311C4">
        <w:rPr>
          <w:rFonts w:cstheme="minorHAnsi"/>
        </w:rPr>
        <w:t xml:space="preserve"> is </w:t>
      </w:r>
      <w:proofErr w:type="spellStart"/>
      <w:proofErr w:type="gramStart"/>
      <w:r w:rsidRPr="00D311C4">
        <w:rPr>
          <w:rFonts w:cstheme="minorHAnsi"/>
        </w:rPr>
        <w:t>SST</w:t>
      </w:r>
      <w:r w:rsidRPr="00D311C4">
        <w:rPr>
          <w:rFonts w:cstheme="minorHAnsi"/>
          <w:i/>
          <w:vertAlign w:val="subscript"/>
        </w:rPr>
        <w:t>i,t</w:t>
      </w:r>
      <w:proofErr w:type="spellEnd"/>
      <w:proofErr w:type="gramEnd"/>
      <w:r w:rsidRPr="00D311C4">
        <w:rPr>
          <w:rFonts w:cstheme="minorHAnsi"/>
        </w:rPr>
        <w:t xml:space="preserve"> centered on the mean of the SST data used in model fitting and</w:t>
      </w:r>
      <w:r w:rsidRPr="00D311C4">
        <w:rPr>
          <w:rFonts w:cstheme="minorHAnsi"/>
          <w:i/>
        </w:rPr>
        <w:t xml:space="preserve">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θ</m:t>
                </m:r>
              </m:e>
            </m:acc>
          </m:e>
          <m:sub>
            <m:r>
              <w:rPr>
                <w:rFonts w:ascii="Cambria Math" w:hAnsi="Cambria Math" w:cstheme="minorHAnsi"/>
              </w:rPr>
              <m:t>i</m:t>
            </m:r>
          </m:sub>
        </m:sSub>
      </m:oMath>
      <w:r w:rsidRPr="00D311C4">
        <w:rPr>
          <w:rFonts w:cstheme="minorHAnsi"/>
          <w:i/>
        </w:rPr>
        <w:t xml:space="preserve"> </w:t>
      </w:r>
      <w:r w:rsidRPr="00D311C4">
        <w:rPr>
          <w:rFonts w:cstheme="minorHAnsi"/>
        </w:rPr>
        <w:t xml:space="preserve">is randomly drawn from a multivariate normal distribution described by the mean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oMath>
      <w:r w:rsidRPr="00D311C4">
        <w:rPr>
          <w:rFonts w:cstheme="minorHAnsi"/>
        </w:rPr>
        <w:t xml:space="preserve"> estimate and the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oMath>
      <w:r w:rsidRPr="00D311C4">
        <w:rPr>
          <w:rFonts w:cstheme="minorHAnsi"/>
        </w:rPr>
        <w:t xml:space="preserve"> covariance matrix. We bootstrapped 10,000 </w:t>
      </w:r>
      <w:r w:rsidR="002C1E8F" w:rsidRPr="002C1E8F">
        <w:rPr>
          <w:rFonts w:cstheme="minorHAnsi"/>
          <w:i/>
        </w:rPr>
        <w:t>R</w:t>
      </w:r>
      <w:r w:rsidR="002C1E8F" w:rsidRPr="002C1E8F">
        <w:rPr>
          <w:rFonts w:cstheme="minorHAnsi"/>
          <w:i/>
          <w:vertAlign w:val="subscript"/>
        </w:rPr>
        <w:t>MAX</w:t>
      </w:r>
      <w:r w:rsidRPr="00D311C4">
        <w:rPr>
          <w:rFonts w:cstheme="minorHAnsi"/>
        </w:rPr>
        <w:t xml:space="preserve"> hindcasts for each stock to generate</w:t>
      </w:r>
      <w:r w:rsidR="009C52B6">
        <w:rPr>
          <w:rFonts w:cstheme="minorHAnsi"/>
        </w:rPr>
        <w:t xml:space="preserve"> </w:t>
      </w:r>
      <w:r w:rsidR="002C1E8F" w:rsidRPr="002C1E8F">
        <w:rPr>
          <w:rFonts w:cstheme="minorHAnsi"/>
          <w:i/>
        </w:rPr>
        <w:t>R</w:t>
      </w:r>
      <w:r w:rsidR="002C1E8F" w:rsidRPr="002C1E8F">
        <w:rPr>
          <w:rFonts w:cstheme="minorHAnsi"/>
          <w:i/>
          <w:vertAlign w:val="subscript"/>
        </w:rPr>
        <w:t>MAX</w:t>
      </w:r>
      <w:r w:rsidRPr="00D311C4">
        <w:rPr>
          <w:rFonts w:cstheme="minorHAnsi"/>
        </w:rPr>
        <w:t xml:space="preserve"> trends and confidence intervals.</w:t>
      </w:r>
    </w:p>
    <w:p w14:paraId="76674728" w14:textId="77777777" w:rsidR="00FE0DC2" w:rsidRDefault="00FE0DC2" w:rsidP="0027434A">
      <w:pPr>
        <w:rPr>
          <w:rFonts w:cstheme="minorHAnsi"/>
        </w:rPr>
      </w:pPr>
    </w:p>
    <w:p w14:paraId="5A7348FB" w14:textId="264BBB45" w:rsidR="002C1E8F" w:rsidRPr="009C52B6" w:rsidRDefault="009C52B6" w:rsidP="0027434A">
      <w:pPr>
        <w:rPr>
          <w:rFonts w:cstheme="minorHAnsi"/>
          <w:color w:val="FF0000"/>
        </w:rPr>
      </w:pPr>
      <w:r w:rsidRPr="009C52B6">
        <w:rPr>
          <w:rFonts w:cstheme="minorHAnsi"/>
          <w:color w:val="FF0000"/>
        </w:rPr>
        <w:t xml:space="preserve">I’d like to look at trends in mean RMAX, mean RMAX weighted by stock catch, mean RMAX weighted by stock biomass, and ideally, mean RMAX weighted by stock MSY (but this won’t be universally available). </w:t>
      </w:r>
    </w:p>
    <w:p w14:paraId="224E86BE" w14:textId="77777777" w:rsidR="009C52B6" w:rsidRDefault="009C52B6" w:rsidP="0027434A">
      <w:pPr>
        <w:rPr>
          <w:rFonts w:cstheme="minorHAnsi"/>
        </w:rPr>
      </w:pPr>
    </w:p>
    <w:p w14:paraId="7F0A0E1B" w14:textId="425C12F1" w:rsidR="00FB6898" w:rsidRPr="009C52B6" w:rsidRDefault="0027434A">
      <w:pPr>
        <w:rPr>
          <w:rFonts w:cstheme="minorHAnsi"/>
        </w:rPr>
      </w:pPr>
      <w:r w:rsidRPr="00D311C4">
        <w:rPr>
          <w:rFonts w:cstheme="minorHAnsi"/>
        </w:rPr>
        <w:t xml:space="preserve">We limited the hindcast from </w:t>
      </w:r>
      <w:r w:rsidRPr="009C52B6">
        <w:rPr>
          <w:rFonts w:cstheme="minorHAnsi"/>
          <w:color w:val="FF0000"/>
        </w:rPr>
        <w:t xml:space="preserve">1930-2010 </w:t>
      </w:r>
      <w:r w:rsidRPr="00D311C4">
        <w:rPr>
          <w:rFonts w:cstheme="minorHAnsi"/>
        </w:rPr>
        <w:t xml:space="preserve">to minimize the extrapolation of </w:t>
      </w:r>
      <w:r w:rsidR="002C1E8F" w:rsidRPr="002C1E8F">
        <w:rPr>
          <w:rFonts w:cstheme="minorHAnsi"/>
          <w:i/>
        </w:rPr>
        <w:t>R</w:t>
      </w:r>
      <w:r w:rsidR="002C1E8F" w:rsidRPr="002C1E8F">
        <w:rPr>
          <w:rFonts w:cstheme="minorHAnsi"/>
          <w:i/>
          <w:vertAlign w:val="subscript"/>
        </w:rPr>
        <w:t>MAX</w:t>
      </w:r>
      <w:r w:rsidRPr="00D311C4">
        <w:rPr>
          <w:rFonts w:cstheme="minorHAnsi"/>
        </w:rPr>
        <w:t xml:space="preserve"> predictions to temperatures cooler or warmer than those used in model fitting (</w:t>
      </w:r>
      <w:r w:rsidR="002C1E8F" w:rsidRPr="002C1E8F">
        <w:rPr>
          <w:rFonts w:cstheme="minorHAnsi"/>
          <w:color w:val="FF0000"/>
        </w:rPr>
        <w:t>Figure</w:t>
      </w:r>
      <w:r w:rsidRPr="00D311C4">
        <w:rPr>
          <w:rFonts w:cstheme="minorHAnsi"/>
        </w:rPr>
        <w:t xml:space="preserve">) and explored the sensitivity of measures of </w:t>
      </w:r>
      <w:r w:rsidR="002C1E8F" w:rsidRPr="002C1E8F">
        <w:rPr>
          <w:rFonts w:cstheme="minorHAnsi"/>
          <w:i/>
        </w:rPr>
        <w:t>R</w:t>
      </w:r>
      <w:r w:rsidR="002C1E8F" w:rsidRPr="002C1E8F">
        <w:rPr>
          <w:rFonts w:cstheme="minorHAnsi"/>
          <w:i/>
          <w:vertAlign w:val="subscript"/>
        </w:rPr>
        <w:t>MAX</w:t>
      </w:r>
      <w:r w:rsidRPr="00D311C4">
        <w:rPr>
          <w:rFonts w:cstheme="minorHAnsi"/>
        </w:rPr>
        <w:t xml:space="preserve"> change to the selection of hindcast window (</w:t>
      </w:r>
      <w:r w:rsidR="002C1E8F" w:rsidRPr="002C1E8F">
        <w:rPr>
          <w:rFonts w:cstheme="minorHAnsi"/>
          <w:color w:val="FF0000"/>
        </w:rPr>
        <w:t>Figure</w:t>
      </w:r>
      <w:r w:rsidRPr="00D311C4">
        <w:rPr>
          <w:rFonts w:cstheme="minorHAnsi"/>
        </w:rPr>
        <w:t>).</w:t>
      </w:r>
    </w:p>
    <w:p w14:paraId="7F1B1855" w14:textId="72313C1D" w:rsidR="00856210" w:rsidRPr="0047000E" w:rsidRDefault="00856210">
      <w:pPr>
        <w:rPr>
          <w:rFonts w:cstheme="minorHAnsi"/>
          <w:b/>
          <w:color w:val="000000" w:themeColor="text1"/>
        </w:rPr>
      </w:pPr>
      <w:r>
        <w:rPr>
          <w:rFonts w:cstheme="minorHAnsi"/>
          <w:color w:val="FF0000"/>
        </w:rPr>
        <w:br w:type="page"/>
      </w:r>
    </w:p>
    <w:p w14:paraId="155E7F35" w14:textId="62B8975E" w:rsidR="00055E79" w:rsidRPr="00856210" w:rsidRDefault="00856210" w:rsidP="00C26590">
      <w:pPr>
        <w:rPr>
          <w:rFonts w:cstheme="minorHAnsi"/>
          <w:b/>
          <w:color w:val="000000" w:themeColor="text1"/>
        </w:rPr>
      </w:pPr>
      <w:r w:rsidRPr="00856210">
        <w:rPr>
          <w:rFonts w:cstheme="minorHAnsi"/>
          <w:b/>
          <w:color w:val="000000" w:themeColor="text1"/>
        </w:rPr>
        <w:lastRenderedPageBreak/>
        <w:t>Tables and Figures</w:t>
      </w:r>
    </w:p>
    <w:p w14:paraId="2EF54AE1" w14:textId="23B35BD3" w:rsidR="00B8559F" w:rsidRDefault="00B8559F">
      <w:pPr>
        <w:rPr>
          <w:rFonts w:cstheme="minorHAnsi"/>
          <w:color w:val="FF0000"/>
        </w:rPr>
      </w:pPr>
    </w:p>
    <w:p w14:paraId="32D678F5" w14:textId="7F33F5E7" w:rsidR="009D61BC" w:rsidRDefault="00EC7C66">
      <w:pPr>
        <w:rPr>
          <w:rFonts w:cstheme="minorHAnsi"/>
          <w:color w:val="FF0000"/>
        </w:rPr>
      </w:pPr>
      <w:r>
        <w:rPr>
          <w:rFonts w:cstheme="minorHAnsi"/>
          <w:noProof/>
          <w:color w:val="FF0000"/>
        </w:rPr>
        <w:drawing>
          <wp:inline distT="0" distB="0" distL="0" distR="0" wp14:anchorId="076DA259" wp14:editId="5190DE6C">
            <wp:extent cx="38862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theta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0225" cy="3890225"/>
                    </a:xfrm>
                    <a:prstGeom prst="rect">
                      <a:avLst/>
                    </a:prstGeom>
                  </pic:spPr>
                </pic:pic>
              </a:graphicData>
            </a:graphic>
          </wp:inline>
        </w:drawing>
      </w:r>
    </w:p>
    <w:p w14:paraId="1DF2B604" w14:textId="77777777" w:rsidR="009D61BC" w:rsidRDefault="009D61BC">
      <w:pPr>
        <w:rPr>
          <w:rFonts w:cstheme="minorHAnsi"/>
          <w:color w:val="FF0000"/>
        </w:rPr>
      </w:pPr>
    </w:p>
    <w:p w14:paraId="576B31CE" w14:textId="25D7B1BB" w:rsidR="00EF25F8" w:rsidRDefault="009D61BC" w:rsidP="00B30CC6">
      <w:pPr>
        <w:rPr>
          <w:rFonts w:cstheme="minorHAnsi"/>
        </w:rPr>
      </w:pPr>
      <w:r w:rsidRPr="009D61BC">
        <w:rPr>
          <w:rFonts w:cstheme="minorHAnsi"/>
          <w:b/>
          <w:color w:val="000000" w:themeColor="text1"/>
        </w:rPr>
        <w:t>Figure 1.</w:t>
      </w:r>
      <w:r w:rsidR="00EC7C66" w:rsidRPr="00694686">
        <w:rPr>
          <w:rFonts w:cstheme="minorHAnsi"/>
        </w:rPr>
        <w:t xml:space="preserve"> </w:t>
      </w:r>
      <w:r w:rsidR="00EC7C66" w:rsidRPr="00A34C2D">
        <w:rPr>
          <w:rFonts w:cstheme="minorHAnsi"/>
        </w:rPr>
        <w:t xml:space="preserve">Distribution of temperature influences </w:t>
      </w:r>
      <w:r w:rsidR="00412992">
        <w:rPr>
          <w:rFonts w:cstheme="minorHAnsi"/>
        </w:rPr>
        <w:t>on recruitment</w:t>
      </w:r>
      <w:r w:rsidR="00EC7C66">
        <w:rPr>
          <w:rFonts w:cstheme="minorHAnsi"/>
        </w:rPr>
        <w:t>. P</w:t>
      </w:r>
      <w:r w:rsidR="00EC7C66" w:rsidRPr="00A34C2D">
        <w:rPr>
          <w:rFonts w:cstheme="minorHAnsi"/>
        </w:rPr>
        <w:t>oints show mean estimates and error bars show 95% confidence intervals. Significant positive and negative temperature influences are shown in blue and red, respectively. The shaded grey column indicates the 95% confidence interval for the global mean of the temperature influences.</w:t>
      </w:r>
    </w:p>
    <w:p w14:paraId="5ECA0CDA" w14:textId="77777777" w:rsidR="00EF25F8" w:rsidRDefault="00EF25F8">
      <w:pPr>
        <w:rPr>
          <w:rFonts w:cstheme="minorHAnsi"/>
        </w:rPr>
      </w:pPr>
      <w:r>
        <w:rPr>
          <w:rFonts w:cstheme="minorHAnsi"/>
        </w:rPr>
        <w:br w:type="page"/>
      </w:r>
    </w:p>
    <w:p w14:paraId="10F51949" w14:textId="79F49D9C" w:rsidR="00EC7C66" w:rsidRPr="00EF25F8" w:rsidRDefault="00EF25F8" w:rsidP="00B30CC6">
      <w:pPr>
        <w:rPr>
          <w:rFonts w:cstheme="minorHAnsi"/>
          <w:b/>
        </w:rPr>
      </w:pPr>
      <w:r w:rsidRPr="00EF25F8">
        <w:rPr>
          <w:rFonts w:cstheme="minorHAnsi"/>
          <w:b/>
        </w:rPr>
        <w:lastRenderedPageBreak/>
        <w:t>Supplemental Tables and Figures</w:t>
      </w:r>
    </w:p>
    <w:p w14:paraId="492BE90A" w14:textId="384F6ED2" w:rsidR="009D61BC" w:rsidRDefault="009D61BC">
      <w:pPr>
        <w:rPr>
          <w:rFonts w:cstheme="minorHAnsi"/>
          <w:color w:val="000000" w:themeColor="text1"/>
        </w:rPr>
      </w:pPr>
    </w:p>
    <w:p w14:paraId="382FC5EB" w14:textId="4F756FF2" w:rsidR="00C073C7" w:rsidRDefault="00C073C7">
      <w:pPr>
        <w:rPr>
          <w:rFonts w:cstheme="minorHAnsi"/>
          <w:b/>
          <w:color w:val="000000" w:themeColor="text1"/>
        </w:rPr>
      </w:pPr>
      <w:r>
        <w:rPr>
          <w:rFonts w:cstheme="minorHAnsi"/>
          <w:b/>
          <w:color w:val="000000" w:themeColor="text1"/>
        </w:rPr>
        <w:t xml:space="preserve">Table S1. </w:t>
      </w:r>
      <w:r>
        <w:rPr>
          <w:rFonts w:cstheme="minorHAnsi"/>
        </w:rPr>
        <w:t>RAM Legacy Database stocks used in analysis</w:t>
      </w:r>
      <w:r w:rsidR="00F4331E">
        <w:rPr>
          <w:rFonts w:cstheme="minorHAnsi"/>
        </w:rPr>
        <w:t xml:space="preserve"> (SSB=spawning stock biomass).</w:t>
      </w:r>
    </w:p>
    <w:p w14:paraId="66E610CF" w14:textId="77777777" w:rsidR="00C073C7" w:rsidRDefault="00C073C7">
      <w:pPr>
        <w:rPr>
          <w:rFonts w:cstheme="minorHAnsi"/>
          <w:b/>
          <w:color w:val="000000" w:themeColor="text1"/>
        </w:rPr>
      </w:pPr>
      <w:r>
        <w:rPr>
          <w:rFonts w:cstheme="minorHAnsi"/>
          <w:b/>
          <w:color w:val="000000" w:themeColor="text1"/>
        </w:rPr>
        <w:t xml:space="preserve"> </w:t>
      </w:r>
    </w:p>
    <w:tbl>
      <w:tblPr>
        <w:tblW w:w="0" w:type="auto"/>
        <w:tblLook w:val="04A0" w:firstRow="1" w:lastRow="0" w:firstColumn="1" w:lastColumn="0" w:noHBand="0" w:noVBand="1"/>
      </w:tblPr>
      <w:tblGrid>
        <w:gridCol w:w="6384"/>
        <w:gridCol w:w="1093"/>
      </w:tblGrid>
      <w:tr w:rsidR="00C073C7" w:rsidRPr="00C073C7" w14:paraId="15A4ADEB" w14:textId="77777777" w:rsidTr="00387A7D">
        <w:trPr>
          <w:trHeight w:val="340"/>
        </w:trPr>
        <w:tc>
          <w:tcPr>
            <w:tcW w:w="0" w:type="auto"/>
            <w:tcBorders>
              <w:top w:val="single" w:sz="8" w:space="0" w:color="auto"/>
              <w:left w:val="nil"/>
              <w:bottom w:val="double" w:sz="6" w:space="0" w:color="auto"/>
              <w:right w:val="nil"/>
            </w:tcBorders>
            <w:shd w:val="clear" w:color="auto" w:fill="auto"/>
            <w:vAlign w:val="center"/>
            <w:hideMark/>
          </w:tcPr>
          <w:p w14:paraId="231FCE6F" w14:textId="77777777" w:rsidR="00C073C7" w:rsidRPr="00C073C7" w:rsidRDefault="00C073C7" w:rsidP="00C073C7">
            <w:pPr>
              <w:rPr>
                <w:rFonts w:ascii="Calibri" w:eastAsia="Times New Roman" w:hAnsi="Calibri" w:cs="Calibri"/>
                <w:b/>
                <w:bCs/>
                <w:color w:val="000000"/>
                <w:sz w:val="20"/>
                <w:szCs w:val="20"/>
              </w:rPr>
            </w:pPr>
            <w:r w:rsidRPr="00C073C7">
              <w:rPr>
                <w:rFonts w:ascii="Calibri" w:eastAsia="Times New Roman" w:hAnsi="Calibri" w:cs="Calibri"/>
                <w:b/>
                <w:bCs/>
                <w:color w:val="000000"/>
                <w:sz w:val="20"/>
                <w:szCs w:val="20"/>
              </w:rPr>
              <w:t>Condition</w:t>
            </w:r>
          </w:p>
        </w:tc>
        <w:tc>
          <w:tcPr>
            <w:tcW w:w="0" w:type="auto"/>
            <w:tcBorders>
              <w:top w:val="single" w:sz="8" w:space="0" w:color="auto"/>
              <w:left w:val="nil"/>
              <w:bottom w:val="double" w:sz="6" w:space="0" w:color="auto"/>
              <w:right w:val="nil"/>
            </w:tcBorders>
            <w:shd w:val="clear" w:color="auto" w:fill="auto"/>
            <w:vAlign w:val="center"/>
            <w:hideMark/>
          </w:tcPr>
          <w:p w14:paraId="163F4E1F" w14:textId="77777777" w:rsidR="00C073C7" w:rsidRPr="00C073C7" w:rsidRDefault="00C073C7" w:rsidP="00C073C7">
            <w:pPr>
              <w:rPr>
                <w:rFonts w:ascii="Calibri" w:eastAsia="Times New Roman" w:hAnsi="Calibri" w:cs="Calibri"/>
                <w:b/>
                <w:bCs/>
                <w:color w:val="000000"/>
                <w:sz w:val="20"/>
                <w:szCs w:val="20"/>
              </w:rPr>
            </w:pPr>
            <w:r w:rsidRPr="00C073C7">
              <w:rPr>
                <w:rFonts w:ascii="Calibri" w:eastAsia="Times New Roman" w:hAnsi="Calibri" w:cs="Calibri"/>
                <w:b/>
                <w:bCs/>
                <w:color w:val="000000"/>
                <w:sz w:val="20"/>
                <w:szCs w:val="20"/>
              </w:rPr>
              <w:t># of stocks</w:t>
            </w:r>
          </w:p>
        </w:tc>
      </w:tr>
      <w:tr w:rsidR="00C073C7" w:rsidRPr="00C073C7" w14:paraId="2867DB10" w14:textId="77777777" w:rsidTr="00387A7D">
        <w:trPr>
          <w:trHeight w:val="340"/>
        </w:trPr>
        <w:tc>
          <w:tcPr>
            <w:tcW w:w="0" w:type="auto"/>
            <w:tcBorders>
              <w:top w:val="nil"/>
              <w:left w:val="nil"/>
              <w:bottom w:val="nil"/>
              <w:right w:val="nil"/>
            </w:tcBorders>
            <w:shd w:val="clear" w:color="auto" w:fill="auto"/>
            <w:vAlign w:val="center"/>
            <w:hideMark/>
          </w:tcPr>
          <w:p w14:paraId="69B0BBC1" w14:textId="183AF7D8" w:rsidR="00C073C7" w:rsidRPr="00C073C7" w:rsidRDefault="00C073C7" w:rsidP="00C073C7">
            <w:pPr>
              <w:rPr>
                <w:rFonts w:ascii="Calibri" w:eastAsia="Times New Roman" w:hAnsi="Calibri" w:cs="Calibri"/>
                <w:color w:val="000000"/>
                <w:sz w:val="20"/>
                <w:szCs w:val="20"/>
              </w:rPr>
            </w:pPr>
            <w:r w:rsidRPr="00C073C7">
              <w:rPr>
                <w:rFonts w:ascii="Calibri" w:eastAsia="Times New Roman" w:hAnsi="Calibri" w:cs="Calibri"/>
                <w:color w:val="000000"/>
                <w:sz w:val="20"/>
                <w:szCs w:val="20"/>
              </w:rPr>
              <w:t>All RAM</w:t>
            </w:r>
            <w:r w:rsidR="00387A7D">
              <w:rPr>
                <w:rFonts w:ascii="Calibri" w:eastAsia="Times New Roman" w:hAnsi="Calibri" w:cs="Calibri"/>
                <w:color w:val="000000"/>
                <w:sz w:val="20"/>
                <w:szCs w:val="20"/>
              </w:rPr>
              <w:t xml:space="preserve"> Legacy Database</w:t>
            </w:r>
            <w:r w:rsidRPr="00C073C7">
              <w:rPr>
                <w:rFonts w:ascii="Calibri" w:eastAsia="Times New Roman" w:hAnsi="Calibri" w:cs="Calibri"/>
                <w:color w:val="000000"/>
                <w:sz w:val="20"/>
                <w:szCs w:val="20"/>
              </w:rPr>
              <w:t xml:space="preserve"> stocks</w:t>
            </w:r>
          </w:p>
        </w:tc>
        <w:tc>
          <w:tcPr>
            <w:tcW w:w="0" w:type="auto"/>
            <w:tcBorders>
              <w:top w:val="nil"/>
              <w:left w:val="nil"/>
              <w:bottom w:val="nil"/>
              <w:right w:val="nil"/>
            </w:tcBorders>
            <w:shd w:val="clear" w:color="auto" w:fill="auto"/>
            <w:vAlign w:val="center"/>
            <w:hideMark/>
          </w:tcPr>
          <w:p w14:paraId="3C1FBB79" w14:textId="77777777" w:rsidR="00C073C7" w:rsidRPr="00C073C7" w:rsidRDefault="00C073C7" w:rsidP="00C073C7">
            <w:pPr>
              <w:jc w:val="right"/>
              <w:rPr>
                <w:rFonts w:ascii="Calibri" w:eastAsia="Times New Roman" w:hAnsi="Calibri" w:cs="Calibri"/>
                <w:color w:val="000000"/>
                <w:sz w:val="20"/>
                <w:szCs w:val="20"/>
              </w:rPr>
            </w:pPr>
            <w:r w:rsidRPr="00C073C7">
              <w:rPr>
                <w:rFonts w:ascii="Calibri" w:eastAsia="Times New Roman" w:hAnsi="Calibri" w:cs="Calibri"/>
                <w:color w:val="000000"/>
                <w:sz w:val="20"/>
                <w:szCs w:val="20"/>
              </w:rPr>
              <w:t>1291</w:t>
            </w:r>
          </w:p>
        </w:tc>
      </w:tr>
      <w:tr w:rsidR="00C073C7" w:rsidRPr="00C073C7" w14:paraId="312E6701" w14:textId="77777777" w:rsidTr="00387A7D">
        <w:trPr>
          <w:trHeight w:val="320"/>
        </w:trPr>
        <w:tc>
          <w:tcPr>
            <w:tcW w:w="0" w:type="auto"/>
            <w:tcBorders>
              <w:top w:val="nil"/>
              <w:left w:val="nil"/>
              <w:bottom w:val="nil"/>
              <w:right w:val="nil"/>
            </w:tcBorders>
            <w:shd w:val="clear" w:color="auto" w:fill="auto"/>
            <w:vAlign w:val="center"/>
            <w:hideMark/>
          </w:tcPr>
          <w:p w14:paraId="334BC0F1" w14:textId="1236B66F" w:rsidR="00C073C7" w:rsidRPr="00C073C7" w:rsidRDefault="00C073C7" w:rsidP="00C073C7">
            <w:pPr>
              <w:ind w:firstLineChars="100" w:firstLine="200"/>
              <w:rPr>
                <w:rFonts w:ascii="Calibri" w:eastAsia="Times New Roman" w:hAnsi="Calibri" w:cs="Calibri"/>
                <w:color w:val="000000"/>
                <w:sz w:val="20"/>
                <w:szCs w:val="20"/>
              </w:rPr>
            </w:pPr>
            <w:r w:rsidRPr="00C073C7">
              <w:rPr>
                <w:rFonts w:ascii="Calibri" w:eastAsia="Times New Roman" w:hAnsi="Calibri" w:cs="Calibri"/>
                <w:color w:val="000000"/>
                <w:sz w:val="20"/>
                <w:szCs w:val="20"/>
              </w:rPr>
              <w:t>Only stocks with SSB/</w:t>
            </w:r>
            <w:r w:rsidR="00226ECC">
              <w:rPr>
                <w:rFonts w:ascii="Calibri" w:eastAsia="Times New Roman" w:hAnsi="Calibri" w:cs="Calibri"/>
                <w:color w:val="000000"/>
                <w:sz w:val="20"/>
                <w:szCs w:val="20"/>
              </w:rPr>
              <w:t>recruitment</w:t>
            </w:r>
            <w:r w:rsidRPr="00C073C7">
              <w:rPr>
                <w:rFonts w:ascii="Calibri" w:eastAsia="Times New Roman" w:hAnsi="Calibri" w:cs="Calibri"/>
                <w:color w:val="000000"/>
                <w:sz w:val="20"/>
                <w:szCs w:val="20"/>
              </w:rPr>
              <w:t xml:space="preserve"> time series ≥ 20 years</w:t>
            </w:r>
          </w:p>
        </w:tc>
        <w:tc>
          <w:tcPr>
            <w:tcW w:w="0" w:type="auto"/>
            <w:tcBorders>
              <w:top w:val="nil"/>
              <w:left w:val="nil"/>
              <w:bottom w:val="nil"/>
              <w:right w:val="nil"/>
            </w:tcBorders>
            <w:shd w:val="clear" w:color="auto" w:fill="auto"/>
            <w:vAlign w:val="center"/>
            <w:hideMark/>
          </w:tcPr>
          <w:p w14:paraId="7C35A601" w14:textId="77777777" w:rsidR="00C073C7" w:rsidRPr="00C073C7" w:rsidRDefault="00C073C7" w:rsidP="00C073C7">
            <w:pPr>
              <w:jc w:val="right"/>
              <w:rPr>
                <w:rFonts w:ascii="Calibri" w:eastAsia="Times New Roman" w:hAnsi="Calibri" w:cs="Calibri"/>
                <w:color w:val="000000"/>
                <w:sz w:val="20"/>
                <w:szCs w:val="20"/>
              </w:rPr>
            </w:pPr>
            <w:r w:rsidRPr="00C073C7">
              <w:rPr>
                <w:rFonts w:ascii="Calibri" w:eastAsia="Times New Roman" w:hAnsi="Calibri" w:cs="Calibri"/>
                <w:color w:val="000000"/>
                <w:sz w:val="20"/>
                <w:szCs w:val="20"/>
              </w:rPr>
              <w:t>498</w:t>
            </w:r>
          </w:p>
        </w:tc>
      </w:tr>
      <w:tr w:rsidR="00C073C7" w:rsidRPr="00C073C7" w14:paraId="7E41E982" w14:textId="77777777" w:rsidTr="00387A7D">
        <w:trPr>
          <w:trHeight w:val="320"/>
        </w:trPr>
        <w:tc>
          <w:tcPr>
            <w:tcW w:w="0" w:type="auto"/>
            <w:tcBorders>
              <w:top w:val="nil"/>
              <w:left w:val="nil"/>
              <w:bottom w:val="nil"/>
              <w:right w:val="nil"/>
            </w:tcBorders>
            <w:shd w:val="clear" w:color="auto" w:fill="auto"/>
            <w:vAlign w:val="center"/>
            <w:hideMark/>
          </w:tcPr>
          <w:p w14:paraId="5C3267E7" w14:textId="70E7BDBB" w:rsidR="00C073C7" w:rsidRPr="00C073C7" w:rsidRDefault="00C073C7" w:rsidP="00C073C7">
            <w:pPr>
              <w:ind w:firstLineChars="100" w:firstLine="200"/>
              <w:rPr>
                <w:rFonts w:ascii="Calibri" w:eastAsia="Times New Roman" w:hAnsi="Calibri" w:cs="Calibri"/>
                <w:color w:val="000000"/>
                <w:sz w:val="20"/>
                <w:szCs w:val="20"/>
              </w:rPr>
            </w:pPr>
            <w:r w:rsidRPr="00C073C7">
              <w:rPr>
                <w:rFonts w:ascii="Calibri" w:eastAsia="Times New Roman" w:hAnsi="Calibri" w:cs="Calibri"/>
                <w:color w:val="000000"/>
                <w:sz w:val="20"/>
                <w:szCs w:val="20"/>
              </w:rPr>
              <w:t xml:space="preserve">Only stocks with SSB in </w:t>
            </w:r>
            <w:r w:rsidR="00226ECC">
              <w:rPr>
                <w:rFonts w:ascii="Calibri" w:eastAsia="Times New Roman" w:hAnsi="Calibri" w:cs="Calibri"/>
                <w:color w:val="000000"/>
                <w:sz w:val="20"/>
                <w:szCs w:val="20"/>
              </w:rPr>
              <w:t>metric tons</w:t>
            </w:r>
            <w:r w:rsidRPr="00C073C7">
              <w:rPr>
                <w:rFonts w:ascii="Calibri" w:eastAsia="Times New Roman" w:hAnsi="Calibri" w:cs="Calibri"/>
                <w:color w:val="000000"/>
                <w:sz w:val="20"/>
                <w:szCs w:val="20"/>
              </w:rPr>
              <w:t xml:space="preserve"> and recruitment in </w:t>
            </w:r>
            <w:r w:rsidR="00EB7218">
              <w:rPr>
                <w:rFonts w:ascii="Calibri" w:eastAsia="Times New Roman" w:hAnsi="Calibri" w:cs="Calibri"/>
                <w:color w:val="000000"/>
                <w:sz w:val="20"/>
                <w:szCs w:val="20"/>
              </w:rPr>
              <w:t>number of recruits</w:t>
            </w:r>
          </w:p>
        </w:tc>
        <w:tc>
          <w:tcPr>
            <w:tcW w:w="0" w:type="auto"/>
            <w:tcBorders>
              <w:top w:val="nil"/>
              <w:left w:val="nil"/>
              <w:bottom w:val="nil"/>
              <w:right w:val="nil"/>
            </w:tcBorders>
            <w:shd w:val="clear" w:color="auto" w:fill="auto"/>
            <w:vAlign w:val="center"/>
            <w:hideMark/>
          </w:tcPr>
          <w:p w14:paraId="14C90141" w14:textId="77777777" w:rsidR="00C073C7" w:rsidRPr="00C073C7" w:rsidRDefault="00C073C7" w:rsidP="00C073C7">
            <w:pPr>
              <w:jc w:val="right"/>
              <w:rPr>
                <w:rFonts w:ascii="Calibri" w:eastAsia="Times New Roman" w:hAnsi="Calibri" w:cs="Calibri"/>
                <w:color w:val="000000"/>
                <w:sz w:val="20"/>
                <w:szCs w:val="20"/>
              </w:rPr>
            </w:pPr>
            <w:r w:rsidRPr="00C073C7">
              <w:rPr>
                <w:rFonts w:ascii="Calibri" w:eastAsia="Times New Roman" w:hAnsi="Calibri" w:cs="Calibri"/>
                <w:color w:val="000000"/>
                <w:sz w:val="20"/>
                <w:szCs w:val="20"/>
              </w:rPr>
              <w:t>328</w:t>
            </w:r>
          </w:p>
        </w:tc>
      </w:tr>
      <w:tr w:rsidR="00C073C7" w:rsidRPr="00C073C7" w14:paraId="5E87E443" w14:textId="77777777" w:rsidTr="00387A7D">
        <w:trPr>
          <w:trHeight w:val="320"/>
        </w:trPr>
        <w:tc>
          <w:tcPr>
            <w:tcW w:w="0" w:type="auto"/>
            <w:tcBorders>
              <w:top w:val="nil"/>
              <w:left w:val="nil"/>
              <w:bottom w:val="nil"/>
              <w:right w:val="nil"/>
            </w:tcBorders>
            <w:shd w:val="clear" w:color="auto" w:fill="auto"/>
            <w:vAlign w:val="center"/>
            <w:hideMark/>
          </w:tcPr>
          <w:p w14:paraId="41A82AB2" w14:textId="77777777" w:rsidR="00C073C7" w:rsidRPr="00C073C7" w:rsidRDefault="00C073C7" w:rsidP="00C073C7">
            <w:pPr>
              <w:ind w:firstLineChars="100" w:firstLine="200"/>
              <w:rPr>
                <w:rFonts w:ascii="Calibri" w:eastAsia="Times New Roman" w:hAnsi="Calibri" w:cs="Calibri"/>
                <w:color w:val="000000"/>
                <w:sz w:val="20"/>
                <w:szCs w:val="20"/>
              </w:rPr>
            </w:pPr>
            <w:r w:rsidRPr="00C073C7">
              <w:rPr>
                <w:rFonts w:ascii="Calibri" w:eastAsia="Times New Roman" w:hAnsi="Calibri" w:cs="Calibri"/>
                <w:color w:val="000000"/>
                <w:sz w:val="20"/>
                <w:szCs w:val="20"/>
              </w:rPr>
              <w:t>Removed 19 stocks without 20 years of data after trimming</w:t>
            </w:r>
          </w:p>
        </w:tc>
        <w:tc>
          <w:tcPr>
            <w:tcW w:w="0" w:type="auto"/>
            <w:tcBorders>
              <w:top w:val="nil"/>
              <w:left w:val="nil"/>
              <w:bottom w:val="nil"/>
              <w:right w:val="nil"/>
            </w:tcBorders>
            <w:shd w:val="clear" w:color="auto" w:fill="auto"/>
            <w:vAlign w:val="center"/>
            <w:hideMark/>
          </w:tcPr>
          <w:p w14:paraId="6B7ABBEA" w14:textId="77777777" w:rsidR="00C073C7" w:rsidRPr="00C073C7" w:rsidRDefault="00C073C7" w:rsidP="00C073C7">
            <w:pPr>
              <w:jc w:val="right"/>
              <w:rPr>
                <w:rFonts w:ascii="Calibri" w:eastAsia="Times New Roman" w:hAnsi="Calibri" w:cs="Calibri"/>
                <w:color w:val="000000"/>
                <w:sz w:val="20"/>
                <w:szCs w:val="20"/>
              </w:rPr>
            </w:pPr>
            <w:r w:rsidRPr="00C073C7">
              <w:rPr>
                <w:rFonts w:ascii="Calibri" w:eastAsia="Times New Roman" w:hAnsi="Calibri" w:cs="Calibri"/>
                <w:color w:val="000000"/>
                <w:sz w:val="20"/>
                <w:szCs w:val="20"/>
              </w:rPr>
              <w:t>309</w:t>
            </w:r>
          </w:p>
        </w:tc>
      </w:tr>
      <w:tr w:rsidR="00C073C7" w:rsidRPr="00C073C7" w14:paraId="31DD64CE" w14:textId="77777777" w:rsidTr="00387A7D">
        <w:trPr>
          <w:trHeight w:val="320"/>
        </w:trPr>
        <w:tc>
          <w:tcPr>
            <w:tcW w:w="0" w:type="auto"/>
            <w:tcBorders>
              <w:top w:val="nil"/>
              <w:left w:val="nil"/>
              <w:bottom w:val="nil"/>
              <w:right w:val="nil"/>
            </w:tcBorders>
            <w:shd w:val="clear" w:color="auto" w:fill="auto"/>
            <w:vAlign w:val="center"/>
            <w:hideMark/>
          </w:tcPr>
          <w:p w14:paraId="1E4CB9AE" w14:textId="77777777" w:rsidR="00C073C7" w:rsidRPr="00C073C7" w:rsidRDefault="00C073C7" w:rsidP="00C073C7">
            <w:pPr>
              <w:ind w:firstLineChars="100" w:firstLine="200"/>
              <w:rPr>
                <w:rFonts w:ascii="Calibri" w:eastAsia="Times New Roman" w:hAnsi="Calibri" w:cs="Calibri"/>
                <w:color w:val="FF0000"/>
                <w:sz w:val="20"/>
                <w:szCs w:val="20"/>
              </w:rPr>
            </w:pPr>
            <w:r w:rsidRPr="00C073C7">
              <w:rPr>
                <w:rFonts w:ascii="Calibri" w:eastAsia="Times New Roman" w:hAnsi="Calibri" w:cs="Calibri"/>
                <w:color w:val="FF0000"/>
                <w:sz w:val="20"/>
                <w:szCs w:val="20"/>
              </w:rPr>
              <w:t>Removed 55 stocks without SST data (WILL FIX THIS PROBLEM)</w:t>
            </w:r>
          </w:p>
        </w:tc>
        <w:tc>
          <w:tcPr>
            <w:tcW w:w="0" w:type="auto"/>
            <w:tcBorders>
              <w:top w:val="nil"/>
              <w:left w:val="nil"/>
              <w:bottom w:val="nil"/>
              <w:right w:val="nil"/>
            </w:tcBorders>
            <w:shd w:val="clear" w:color="auto" w:fill="auto"/>
            <w:vAlign w:val="center"/>
            <w:hideMark/>
          </w:tcPr>
          <w:p w14:paraId="007C0BCD" w14:textId="77777777" w:rsidR="00C073C7" w:rsidRPr="00C073C7" w:rsidRDefault="00C073C7" w:rsidP="00C073C7">
            <w:pPr>
              <w:jc w:val="right"/>
              <w:rPr>
                <w:rFonts w:ascii="Calibri" w:eastAsia="Times New Roman" w:hAnsi="Calibri" w:cs="Calibri"/>
                <w:color w:val="FF0000"/>
                <w:sz w:val="20"/>
                <w:szCs w:val="20"/>
              </w:rPr>
            </w:pPr>
            <w:r w:rsidRPr="00C073C7">
              <w:rPr>
                <w:rFonts w:ascii="Calibri" w:eastAsia="Times New Roman" w:hAnsi="Calibri" w:cs="Calibri"/>
                <w:color w:val="FF0000"/>
                <w:sz w:val="20"/>
                <w:szCs w:val="20"/>
              </w:rPr>
              <w:t>254</w:t>
            </w:r>
          </w:p>
        </w:tc>
      </w:tr>
      <w:tr w:rsidR="00C073C7" w:rsidRPr="00C073C7" w14:paraId="489EB5DE" w14:textId="77777777" w:rsidTr="00387A7D">
        <w:trPr>
          <w:trHeight w:val="320"/>
        </w:trPr>
        <w:tc>
          <w:tcPr>
            <w:tcW w:w="0" w:type="auto"/>
            <w:tcBorders>
              <w:top w:val="nil"/>
              <w:left w:val="nil"/>
              <w:bottom w:val="nil"/>
              <w:right w:val="nil"/>
            </w:tcBorders>
            <w:shd w:val="clear" w:color="auto" w:fill="auto"/>
            <w:vAlign w:val="center"/>
            <w:hideMark/>
          </w:tcPr>
          <w:p w14:paraId="1571088F" w14:textId="77777777" w:rsidR="00C073C7" w:rsidRPr="00C073C7" w:rsidRDefault="00C073C7" w:rsidP="00C073C7">
            <w:pPr>
              <w:ind w:firstLineChars="100" w:firstLine="200"/>
              <w:rPr>
                <w:rFonts w:ascii="Calibri" w:eastAsia="Times New Roman" w:hAnsi="Calibri" w:cs="Calibri"/>
                <w:color w:val="000000"/>
                <w:sz w:val="20"/>
                <w:szCs w:val="20"/>
              </w:rPr>
            </w:pPr>
            <w:r w:rsidRPr="00C073C7">
              <w:rPr>
                <w:rFonts w:ascii="Calibri" w:eastAsia="Times New Roman" w:hAnsi="Calibri" w:cs="Calibri"/>
                <w:color w:val="000000"/>
                <w:sz w:val="20"/>
                <w:szCs w:val="20"/>
              </w:rPr>
              <w:t>Removed 7 stocks without density-dependence at high biomass</w:t>
            </w:r>
          </w:p>
        </w:tc>
        <w:tc>
          <w:tcPr>
            <w:tcW w:w="0" w:type="auto"/>
            <w:tcBorders>
              <w:top w:val="nil"/>
              <w:left w:val="nil"/>
              <w:bottom w:val="nil"/>
              <w:right w:val="nil"/>
            </w:tcBorders>
            <w:shd w:val="clear" w:color="auto" w:fill="auto"/>
            <w:vAlign w:val="center"/>
            <w:hideMark/>
          </w:tcPr>
          <w:p w14:paraId="2C620D23" w14:textId="77777777" w:rsidR="00C073C7" w:rsidRPr="00C073C7" w:rsidRDefault="00C073C7" w:rsidP="00C073C7">
            <w:pPr>
              <w:jc w:val="right"/>
              <w:rPr>
                <w:rFonts w:ascii="Calibri" w:eastAsia="Times New Roman" w:hAnsi="Calibri" w:cs="Calibri"/>
                <w:color w:val="000000"/>
                <w:sz w:val="20"/>
                <w:szCs w:val="20"/>
              </w:rPr>
            </w:pPr>
            <w:r w:rsidRPr="00C073C7">
              <w:rPr>
                <w:rFonts w:ascii="Calibri" w:eastAsia="Times New Roman" w:hAnsi="Calibri" w:cs="Calibri"/>
                <w:color w:val="000000"/>
                <w:sz w:val="20"/>
                <w:szCs w:val="20"/>
              </w:rPr>
              <w:t>247</w:t>
            </w:r>
          </w:p>
        </w:tc>
      </w:tr>
      <w:tr w:rsidR="00C073C7" w:rsidRPr="00C073C7" w14:paraId="3263F063" w14:textId="77777777" w:rsidTr="00387A7D">
        <w:trPr>
          <w:trHeight w:val="320"/>
        </w:trPr>
        <w:tc>
          <w:tcPr>
            <w:tcW w:w="0" w:type="auto"/>
            <w:tcBorders>
              <w:top w:val="nil"/>
              <w:left w:val="nil"/>
              <w:bottom w:val="nil"/>
              <w:right w:val="nil"/>
            </w:tcBorders>
            <w:shd w:val="clear" w:color="auto" w:fill="auto"/>
            <w:vAlign w:val="center"/>
            <w:hideMark/>
          </w:tcPr>
          <w:p w14:paraId="0BB3E60C" w14:textId="77777777" w:rsidR="00C073C7" w:rsidRPr="00C073C7" w:rsidRDefault="00C073C7" w:rsidP="00C073C7">
            <w:pPr>
              <w:ind w:firstLineChars="100" w:firstLine="200"/>
              <w:rPr>
                <w:rFonts w:ascii="Calibri" w:eastAsia="Times New Roman" w:hAnsi="Calibri" w:cs="Calibri"/>
                <w:color w:val="000000"/>
                <w:sz w:val="20"/>
                <w:szCs w:val="20"/>
              </w:rPr>
            </w:pPr>
            <w:r w:rsidRPr="00C073C7">
              <w:rPr>
                <w:rFonts w:ascii="Calibri" w:eastAsia="Times New Roman" w:hAnsi="Calibri" w:cs="Calibri"/>
                <w:color w:val="000000"/>
                <w:sz w:val="20"/>
                <w:szCs w:val="20"/>
              </w:rPr>
              <w:t>Removed 12 stocks preventing model convergence</w:t>
            </w:r>
          </w:p>
        </w:tc>
        <w:tc>
          <w:tcPr>
            <w:tcW w:w="0" w:type="auto"/>
            <w:tcBorders>
              <w:top w:val="nil"/>
              <w:left w:val="nil"/>
              <w:bottom w:val="nil"/>
              <w:right w:val="nil"/>
            </w:tcBorders>
            <w:shd w:val="clear" w:color="auto" w:fill="auto"/>
            <w:vAlign w:val="center"/>
            <w:hideMark/>
          </w:tcPr>
          <w:p w14:paraId="0F8D14CF" w14:textId="77777777" w:rsidR="00C073C7" w:rsidRPr="00C073C7" w:rsidRDefault="00C073C7" w:rsidP="00C073C7">
            <w:pPr>
              <w:jc w:val="right"/>
              <w:rPr>
                <w:rFonts w:ascii="Calibri" w:eastAsia="Times New Roman" w:hAnsi="Calibri" w:cs="Calibri"/>
                <w:color w:val="000000"/>
                <w:sz w:val="20"/>
                <w:szCs w:val="20"/>
              </w:rPr>
            </w:pPr>
            <w:r w:rsidRPr="00C073C7">
              <w:rPr>
                <w:rFonts w:ascii="Calibri" w:eastAsia="Times New Roman" w:hAnsi="Calibri" w:cs="Calibri"/>
                <w:color w:val="000000"/>
                <w:sz w:val="20"/>
                <w:szCs w:val="20"/>
              </w:rPr>
              <w:t>235</w:t>
            </w:r>
          </w:p>
        </w:tc>
      </w:tr>
    </w:tbl>
    <w:p w14:paraId="7529C9ED" w14:textId="6386E0E8" w:rsidR="00C073C7" w:rsidRDefault="00C073C7">
      <w:pPr>
        <w:rPr>
          <w:rFonts w:cstheme="minorHAnsi"/>
          <w:b/>
          <w:color w:val="000000" w:themeColor="text1"/>
        </w:rPr>
      </w:pPr>
    </w:p>
    <w:p w14:paraId="01F8EA90" w14:textId="27C408B1" w:rsidR="00100426" w:rsidRPr="00100426" w:rsidRDefault="00100426">
      <w:pPr>
        <w:rPr>
          <w:rFonts w:cstheme="minorHAnsi"/>
          <w:color w:val="000000" w:themeColor="text1"/>
        </w:rPr>
      </w:pPr>
      <w:r w:rsidRPr="00100426">
        <w:rPr>
          <w:rFonts w:cstheme="minorHAnsi"/>
          <w:color w:val="000000" w:themeColor="text1"/>
          <w:highlight w:val="yellow"/>
        </w:rPr>
        <w:t>Will ultimately retain more stocks once I’ve fixed the SST problem.</w:t>
      </w:r>
    </w:p>
    <w:p w14:paraId="79317295" w14:textId="77777777" w:rsidR="00C073C7" w:rsidRDefault="00C073C7">
      <w:pPr>
        <w:rPr>
          <w:rFonts w:cstheme="minorHAnsi"/>
          <w:b/>
          <w:color w:val="000000" w:themeColor="text1"/>
        </w:rPr>
      </w:pPr>
    </w:p>
    <w:p w14:paraId="311335EC" w14:textId="77777777" w:rsidR="00C073C7" w:rsidRDefault="00C073C7">
      <w:pPr>
        <w:rPr>
          <w:rFonts w:cstheme="minorHAnsi"/>
          <w:b/>
          <w:color w:val="000000" w:themeColor="text1"/>
        </w:rPr>
      </w:pPr>
      <w:r>
        <w:rPr>
          <w:rFonts w:cstheme="minorHAnsi"/>
          <w:b/>
          <w:color w:val="000000" w:themeColor="text1"/>
        </w:rPr>
        <w:br w:type="page"/>
      </w:r>
    </w:p>
    <w:p w14:paraId="5A5B3F96" w14:textId="05AE51FF" w:rsidR="00EF25F8" w:rsidRPr="00EF25F8" w:rsidRDefault="00EF25F8">
      <w:pPr>
        <w:rPr>
          <w:rFonts w:cstheme="minorHAnsi"/>
          <w:color w:val="000000" w:themeColor="text1"/>
        </w:rPr>
      </w:pPr>
      <w:r w:rsidRPr="00EF25F8">
        <w:rPr>
          <w:rFonts w:cstheme="minorHAnsi"/>
          <w:b/>
          <w:color w:val="000000" w:themeColor="text1"/>
        </w:rPr>
        <w:lastRenderedPageBreak/>
        <w:t xml:space="preserve">Table </w:t>
      </w:r>
      <w:r w:rsidR="00E6184A">
        <w:rPr>
          <w:rFonts w:cstheme="minorHAnsi"/>
          <w:b/>
          <w:color w:val="000000" w:themeColor="text1"/>
        </w:rPr>
        <w:t>S2</w:t>
      </w:r>
      <w:r w:rsidRPr="00EF25F8">
        <w:rPr>
          <w:rFonts w:cstheme="minorHAnsi"/>
          <w:b/>
          <w:color w:val="000000" w:themeColor="text1"/>
        </w:rPr>
        <w:t xml:space="preserve">. </w:t>
      </w:r>
      <w:r w:rsidR="00C073C7">
        <w:rPr>
          <w:rFonts w:cstheme="minorHAnsi"/>
        </w:rPr>
        <w:t>Model symbols and their definitions.</w:t>
      </w:r>
    </w:p>
    <w:p w14:paraId="21525310" w14:textId="6E493DF7" w:rsidR="00EF25F8" w:rsidRDefault="00EF25F8">
      <w:pPr>
        <w:rPr>
          <w:rFonts w:cstheme="minorHAnsi"/>
          <w:color w:val="000000" w:themeColor="text1"/>
        </w:rPr>
      </w:pPr>
    </w:p>
    <w:tbl>
      <w:tblPr>
        <w:tblW w:w="0" w:type="auto"/>
        <w:tblLook w:val="04A0" w:firstRow="1" w:lastRow="0" w:firstColumn="1" w:lastColumn="0" w:noHBand="0" w:noVBand="1"/>
      </w:tblPr>
      <w:tblGrid>
        <w:gridCol w:w="1077"/>
        <w:gridCol w:w="832"/>
        <w:gridCol w:w="6261"/>
      </w:tblGrid>
      <w:tr w:rsidR="00EF25F8" w:rsidRPr="00EF25F8" w14:paraId="564AA1C6" w14:textId="77777777" w:rsidTr="00EF25F8">
        <w:trPr>
          <w:trHeight w:val="288"/>
        </w:trPr>
        <w:tc>
          <w:tcPr>
            <w:tcW w:w="0" w:type="auto"/>
            <w:tcBorders>
              <w:top w:val="single" w:sz="4" w:space="0" w:color="auto"/>
              <w:left w:val="nil"/>
              <w:bottom w:val="double" w:sz="6" w:space="0" w:color="auto"/>
              <w:right w:val="nil"/>
            </w:tcBorders>
            <w:shd w:val="clear" w:color="auto" w:fill="auto"/>
            <w:noWrap/>
            <w:vAlign w:val="bottom"/>
            <w:hideMark/>
          </w:tcPr>
          <w:p w14:paraId="303AEE3F" w14:textId="77777777" w:rsidR="00EF25F8" w:rsidRPr="00EF25F8" w:rsidRDefault="00EF25F8" w:rsidP="00EF25F8">
            <w:pPr>
              <w:rPr>
                <w:rFonts w:ascii="Calibri" w:eastAsia="Times New Roman" w:hAnsi="Calibri" w:cs="Calibri"/>
                <w:b/>
                <w:bCs/>
                <w:sz w:val="20"/>
                <w:szCs w:val="20"/>
              </w:rPr>
            </w:pPr>
            <w:r w:rsidRPr="00EF25F8">
              <w:rPr>
                <w:rFonts w:ascii="Calibri" w:eastAsia="Times New Roman" w:hAnsi="Calibri" w:cs="Calibri"/>
                <w:b/>
                <w:bCs/>
                <w:sz w:val="20"/>
                <w:szCs w:val="20"/>
              </w:rPr>
              <w:t>Type</w:t>
            </w:r>
          </w:p>
        </w:tc>
        <w:tc>
          <w:tcPr>
            <w:tcW w:w="0" w:type="auto"/>
            <w:tcBorders>
              <w:top w:val="single" w:sz="4" w:space="0" w:color="auto"/>
              <w:left w:val="nil"/>
              <w:bottom w:val="double" w:sz="6" w:space="0" w:color="auto"/>
              <w:right w:val="nil"/>
            </w:tcBorders>
            <w:shd w:val="clear" w:color="auto" w:fill="auto"/>
            <w:noWrap/>
            <w:vAlign w:val="bottom"/>
            <w:hideMark/>
          </w:tcPr>
          <w:p w14:paraId="5FD2C43F" w14:textId="77777777" w:rsidR="00EF25F8" w:rsidRPr="00EF25F8" w:rsidRDefault="00EF25F8" w:rsidP="00EF25F8">
            <w:pPr>
              <w:rPr>
                <w:rFonts w:ascii="Calibri" w:eastAsia="Times New Roman" w:hAnsi="Calibri" w:cs="Calibri"/>
                <w:b/>
                <w:bCs/>
                <w:sz w:val="20"/>
                <w:szCs w:val="20"/>
              </w:rPr>
            </w:pPr>
            <w:r w:rsidRPr="00EF25F8">
              <w:rPr>
                <w:rFonts w:ascii="Calibri" w:eastAsia="Times New Roman" w:hAnsi="Calibri" w:cs="Calibri"/>
                <w:b/>
                <w:bCs/>
                <w:sz w:val="20"/>
                <w:szCs w:val="20"/>
              </w:rPr>
              <w:t>Symbol</w:t>
            </w:r>
          </w:p>
        </w:tc>
        <w:tc>
          <w:tcPr>
            <w:tcW w:w="0" w:type="auto"/>
            <w:tcBorders>
              <w:top w:val="single" w:sz="4" w:space="0" w:color="auto"/>
              <w:left w:val="nil"/>
              <w:bottom w:val="double" w:sz="6" w:space="0" w:color="auto"/>
              <w:right w:val="nil"/>
            </w:tcBorders>
            <w:shd w:val="clear" w:color="auto" w:fill="auto"/>
            <w:noWrap/>
            <w:vAlign w:val="bottom"/>
            <w:hideMark/>
          </w:tcPr>
          <w:p w14:paraId="33BF8B2A" w14:textId="77777777" w:rsidR="00EF25F8" w:rsidRPr="00EF25F8" w:rsidRDefault="00EF25F8" w:rsidP="00EF25F8">
            <w:pPr>
              <w:rPr>
                <w:rFonts w:ascii="Calibri" w:eastAsia="Times New Roman" w:hAnsi="Calibri" w:cs="Calibri"/>
                <w:b/>
                <w:bCs/>
                <w:sz w:val="20"/>
                <w:szCs w:val="20"/>
              </w:rPr>
            </w:pPr>
            <w:r w:rsidRPr="00EF25F8">
              <w:rPr>
                <w:rFonts w:ascii="Calibri" w:eastAsia="Times New Roman" w:hAnsi="Calibri" w:cs="Calibri"/>
                <w:b/>
                <w:bCs/>
                <w:sz w:val="20"/>
                <w:szCs w:val="20"/>
              </w:rPr>
              <w:t>Definition</w:t>
            </w:r>
          </w:p>
        </w:tc>
      </w:tr>
      <w:tr w:rsidR="00EF25F8" w:rsidRPr="00EF25F8" w14:paraId="357041AC" w14:textId="77777777" w:rsidTr="00EF25F8">
        <w:trPr>
          <w:trHeight w:val="288"/>
        </w:trPr>
        <w:tc>
          <w:tcPr>
            <w:tcW w:w="0" w:type="auto"/>
            <w:tcBorders>
              <w:top w:val="nil"/>
              <w:left w:val="nil"/>
              <w:bottom w:val="nil"/>
              <w:right w:val="nil"/>
            </w:tcBorders>
            <w:shd w:val="clear" w:color="auto" w:fill="auto"/>
            <w:noWrap/>
            <w:vAlign w:val="bottom"/>
            <w:hideMark/>
          </w:tcPr>
          <w:p w14:paraId="082D08C4"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Data</w:t>
            </w:r>
          </w:p>
        </w:tc>
        <w:tc>
          <w:tcPr>
            <w:tcW w:w="0" w:type="auto"/>
            <w:tcBorders>
              <w:top w:val="nil"/>
              <w:left w:val="nil"/>
              <w:bottom w:val="nil"/>
              <w:right w:val="nil"/>
            </w:tcBorders>
            <w:shd w:val="clear" w:color="auto" w:fill="auto"/>
            <w:noWrap/>
            <w:vAlign w:val="bottom"/>
            <w:hideMark/>
          </w:tcPr>
          <w:p w14:paraId="42B606E4" w14:textId="77777777" w:rsidR="00EF25F8" w:rsidRPr="00EF25F8" w:rsidRDefault="00EF25F8" w:rsidP="00EF25F8">
            <w:pPr>
              <w:rPr>
                <w:rFonts w:ascii="Calibri" w:eastAsia="Times New Roman" w:hAnsi="Calibri" w:cs="Calibri"/>
                <w:sz w:val="20"/>
                <w:szCs w:val="20"/>
              </w:rPr>
            </w:pPr>
            <w:proofErr w:type="spellStart"/>
            <w:proofErr w:type="gramStart"/>
            <w:r w:rsidRPr="00EF25F8">
              <w:rPr>
                <w:rFonts w:ascii="Calibri" w:eastAsia="Times New Roman" w:hAnsi="Calibri" w:cs="Calibri"/>
                <w:sz w:val="20"/>
                <w:szCs w:val="20"/>
              </w:rPr>
              <w:t>R</w:t>
            </w:r>
            <w:r w:rsidRPr="00EF25F8">
              <w:rPr>
                <w:rFonts w:ascii="Calibri" w:eastAsia="Times New Roman" w:hAnsi="Calibri" w:cs="Calibri"/>
                <w:sz w:val="20"/>
                <w:szCs w:val="20"/>
                <w:vertAlign w:val="subscript"/>
              </w:rPr>
              <w:t>i,t</w:t>
            </w:r>
            <w:proofErr w:type="spellEnd"/>
            <w:proofErr w:type="gramEnd"/>
          </w:p>
        </w:tc>
        <w:tc>
          <w:tcPr>
            <w:tcW w:w="0" w:type="auto"/>
            <w:tcBorders>
              <w:top w:val="nil"/>
              <w:left w:val="nil"/>
              <w:bottom w:val="nil"/>
              <w:right w:val="nil"/>
            </w:tcBorders>
            <w:shd w:val="clear" w:color="auto" w:fill="auto"/>
            <w:noWrap/>
            <w:vAlign w:val="bottom"/>
            <w:hideMark/>
          </w:tcPr>
          <w:p w14:paraId="5C3341CD"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 xml:space="preserve">Recruitment for stock </w:t>
            </w:r>
            <w:proofErr w:type="spellStart"/>
            <w:r w:rsidRPr="00EF25F8">
              <w:rPr>
                <w:rFonts w:ascii="Calibri" w:eastAsia="Times New Roman" w:hAnsi="Calibri" w:cs="Calibri"/>
                <w:i/>
                <w:iCs/>
                <w:sz w:val="20"/>
                <w:szCs w:val="20"/>
              </w:rPr>
              <w:t>i</w:t>
            </w:r>
            <w:proofErr w:type="spellEnd"/>
            <w:r w:rsidRPr="00EF25F8">
              <w:rPr>
                <w:rFonts w:ascii="Calibri" w:eastAsia="Times New Roman" w:hAnsi="Calibri" w:cs="Calibri"/>
                <w:sz w:val="20"/>
                <w:szCs w:val="20"/>
              </w:rPr>
              <w:t xml:space="preserve"> in year </w:t>
            </w:r>
            <w:r w:rsidRPr="00EF25F8">
              <w:rPr>
                <w:rFonts w:ascii="Calibri" w:eastAsia="Times New Roman" w:hAnsi="Calibri" w:cs="Calibri"/>
                <w:i/>
                <w:iCs/>
                <w:sz w:val="20"/>
                <w:szCs w:val="20"/>
              </w:rPr>
              <w:t>t</w:t>
            </w:r>
          </w:p>
        </w:tc>
      </w:tr>
      <w:tr w:rsidR="00EF25F8" w:rsidRPr="00EF25F8" w14:paraId="4DE23C6A" w14:textId="77777777" w:rsidTr="00EF25F8">
        <w:trPr>
          <w:trHeight w:val="288"/>
        </w:trPr>
        <w:tc>
          <w:tcPr>
            <w:tcW w:w="0" w:type="auto"/>
            <w:tcBorders>
              <w:top w:val="nil"/>
              <w:left w:val="nil"/>
              <w:bottom w:val="nil"/>
              <w:right w:val="nil"/>
            </w:tcBorders>
            <w:shd w:val="clear" w:color="auto" w:fill="auto"/>
            <w:noWrap/>
            <w:vAlign w:val="bottom"/>
            <w:hideMark/>
          </w:tcPr>
          <w:p w14:paraId="2E94220D"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Data</w:t>
            </w:r>
          </w:p>
        </w:tc>
        <w:tc>
          <w:tcPr>
            <w:tcW w:w="0" w:type="auto"/>
            <w:tcBorders>
              <w:top w:val="nil"/>
              <w:left w:val="nil"/>
              <w:bottom w:val="nil"/>
              <w:right w:val="nil"/>
            </w:tcBorders>
            <w:shd w:val="clear" w:color="auto" w:fill="auto"/>
            <w:noWrap/>
            <w:vAlign w:val="bottom"/>
            <w:hideMark/>
          </w:tcPr>
          <w:p w14:paraId="03EB19E7" w14:textId="77777777" w:rsidR="00EF25F8" w:rsidRPr="00EF25F8" w:rsidRDefault="00EF25F8" w:rsidP="00EF25F8">
            <w:pPr>
              <w:rPr>
                <w:rFonts w:ascii="Calibri" w:eastAsia="Times New Roman" w:hAnsi="Calibri" w:cs="Calibri"/>
                <w:sz w:val="20"/>
                <w:szCs w:val="20"/>
              </w:rPr>
            </w:pPr>
            <w:proofErr w:type="spellStart"/>
            <w:proofErr w:type="gramStart"/>
            <w:r w:rsidRPr="00EF25F8">
              <w:rPr>
                <w:rFonts w:ascii="Calibri" w:eastAsia="Times New Roman" w:hAnsi="Calibri" w:cs="Calibri"/>
                <w:sz w:val="20"/>
                <w:szCs w:val="20"/>
              </w:rPr>
              <w:t>SSB</w:t>
            </w:r>
            <w:r w:rsidRPr="00EF25F8">
              <w:rPr>
                <w:rFonts w:ascii="Calibri" w:eastAsia="Times New Roman" w:hAnsi="Calibri" w:cs="Calibri"/>
                <w:sz w:val="20"/>
                <w:szCs w:val="20"/>
                <w:vertAlign w:val="subscript"/>
              </w:rPr>
              <w:t>i,t</w:t>
            </w:r>
            <w:proofErr w:type="spellEnd"/>
            <w:proofErr w:type="gramEnd"/>
          </w:p>
        </w:tc>
        <w:tc>
          <w:tcPr>
            <w:tcW w:w="0" w:type="auto"/>
            <w:tcBorders>
              <w:top w:val="nil"/>
              <w:left w:val="nil"/>
              <w:bottom w:val="nil"/>
              <w:right w:val="nil"/>
            </w:tcBorders>
            <w:shd w:val="clear" w:color="auto" w:fill="auto"/>
            <w:noWrap/>
            <w:vAlign w:val="bottom"/>
            <w:hideMark/>
          </w:tcPr>
          <w:p w14:paraId="6D4D69D7"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 xml:space="preserve">Spawning stock biomass for stock </w:t>
            </w:r>
            <w:proofErr w:type="spellStart"/>
            <w:r w:rsidRPr="00EF25F8">
              <w:rPr>
                <w:rFonts w:ascii="Calibri" w:eastAsia="Times New Roman" w:hAnsi="Calibri" w:cs="Calibri"/>
                <w:i/>
                <w:iCs/>
                <w:sz w:val="20"/>
                <w:szCs w:val="20"/>
              </w:rPr>
              <w:t>i</w:t>
            </w:r>
            <w:proofErr w:type="spellEnd"/>
            <w:r w:rsidRPr="00EF25F8">
              <w:rPr>
                <w:rFonts w:ascii="Calibri" w:eastAsia="Times New Roman" w:hAnsi="Calibri" w:cs="Calibri"/>
                <w:sz w:val="20"/>
                <w:szCs w:val="20"/>
              </w:rPr>
              <w:t xml:space="preserve"> in year </w:t>
            </w:r>
            <w:r w:rsidRPr="00EF25F8">
              <w:rPr>
                <w:rFonts w:ascii="Calibri" w:eastAsia="Times New Roman" w:hAnsi="Calibri" w:cs="Calibri"/>
                <w:i/>
                <w:iCs/>
                <w:sz w:val="20"/>
                <w:szCs w:val="20"/>
              </w:rPr>
              <w:t>t</w:t>
            </w:r>
          </w:p>
        </w:tc>
      </w:tr>
      <w:tr w:rsidR="00EF25F8" w:rsidRPr="00EF25F8" w14:paraId="2541B1F3" w14:textId="77777777" w:rsidTr="00EF25F8">
        <w:trPr>
          <w:trHeight w:val="288"/>
        </w:trPr>
        <w:tc>
          <w:tcPr>
            <w:tcW w:w="0" w:type="auto"/>
            <w:tcBorders>
              <w:top w:val="nil"/>
              <w:left w:val="nil"/>
              <w:bottom w:val="nil"/>
              <w:right w:val="nil"/>
            </w:tcBorders>
            <w:shd w:val="clear" w:color="auto" w:fill="auto"/>
            <w:noWrap/>
            <w:vAlign w:val="bottom"/>
            <w:hideMark/>
          </w:tcPr>
          <w:p w14:paraId="7B348A24"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Data</w:t>
            </w:r>
          </w:p>
        </w:tc>
        <w:tc>
          <w:tcPr>
            <w:tcW w:w="0" w:type="auto"/>
            <w:tcBorders>
              <w:top w:val="nil"/>
              <w:left w:val="nil"/>
              <w:bottom w:val="nil"/>
              <w:right w:val="nil"/>
            </w:tcBorders>
            <w:shd w:val="clear" w:color="auto" w:fill="auto"/>
            <w:noWrap/>
            <w:vAlign w:val="bottom"/>
            <w:hideMark/>
          </w:tcPr>
          <w:p w14:paraId="29A48CE7" w14:textId="77777777" w:rsidR="00EF25F8" w:rsidRPr="00EF25F8" w:rsidRDefault="00EF25F8" w:rsidP="00EF25F8">
            <w:pPr>
              <w:rPr>
                <w:rFonts w:ascii="Calibri" w:eastAsia="Times New Roman" w:hAnsi="Calibri" w:cs="Calibri"/>
                <w:sz w:val="20"/>
                <w:szCs w:val="20"/>
              </w:rPr>
            </w:pPr>
            <w:proofErr w:type="spellStart"/>
            <w:proofErr w:type="gramStart"/>
            <w:r w:rsidRPr="00EF25F8">
              <w:rPr>
                <w:rFonts w:ascii="Calibri" w:eastAsia="Times New Roman" w:hAnsi="Calibri" w:cs="Calibri"/>
                <w:sz w:val="20"/>
                <w:szCs w:val="20"/>
              </w:rPr>
              <w:t>SST</w:t>
            </w:r>
            <w:r w:rsidRPr="00EF25F8">
              <w:rPr>
                <w:rFonts w:ascii="Calibri" w:eastAsia="Times New Roman" w:hAnsi="Calibri" w:cs="Calibri"/>
                <w:sz w:val="20"/>
                <w:szCs w:val="20"/>
                <w:vertAlign w:val="subscript"/>
              </w:rPr>
              <w:t>i,t</w:t>
            </w:r>
            <w:proofErr w:type="spellEnd"/>
            <w:proofErr w:type="gramEnd"/>
          </w:p>
        </w:tc>
        <w:tc>
          <w:tcPr>
            <w:tcW w:w="0" w:type="auto"/>
            <w:tcBorders>
              <w:top w:val="nil"/>
              <w:left w:val="nil"/>
              <w:bottom w:val="nil"/>
              <w:right w:val="nil"/>
            </w:tcBorders>
            <w:shd w:val="clear" w:color="auto" w:fill="auto"/>
            <w:noWrap/>
            <w:vAlign w:val="bottom"/>
            <w:hideMark/>
          </w:tcPr>
          <w:p w14:paraId="28BE3D48"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 xml:space="preserve">Sea surface temperature (SST) experienced by stock </w:t>
            </w:r>
            <w:proofErr w:type="spellStart"/>
            <w:r w:rsidRPr="00EF25F8">
              <w:rPr>
                <w:rFonts w:ascii="Calibri" w:eastAsia="Times New Roman" w:hAnsi="Calibri" w:cs="Calibri"/>
                <w:i/>
                <w:iCs/>
                <w:sz w:val="20"/>
                <w:szCs w:val="20"/>
              </w:rPr>
              <w:t>i</w:t>
            </w:r>
            <w:proofErr w:type="spellEnd"/>
            <w:r w:rsidRPr="00EF25F8">
              <w:rPr>
                <w:rFonts w:ascii="Calibri" w:eastAsia="Times New Roman" w:hAnsi="Calibri" w:cs="Calibri"/>
                <w:sz w:val="20"/>
                <w:szCs w:val="20"/>
              </w:rPr>
              <w:t xml:space="preserve"> in year </w:t>
            </w:r>
            <w:r w:rsidRPr="00EF25F8">
              <w:rPr>
                <w:rFonts w:ascii="Calibri" w:eastAsia="Times New Roman" w:hAnsi="Calibri" w:cs="Calibri"/>
                <w:i/>
                <w:iCs/>
                <w:sz w:val="20"/>
                <w:szCs w:val="20"/>
              </w:rPr>
              <w:t>t</w:t>
            </w:r>
          </w:p>
        </w:tc>
      </w:tr>
      <w:tr w:rsidR="00EF25F8" w:rsidRPr="00EF25F8" w14:paraId="33178FAD" w14:textId="77777777" w:rsidTr="00EF25F8">
        <w:trPr>
          <w:trHeight w:val="288"/>
        </w:trPr>
        <w:tc>
          <w:tcPr>
            <w:tcW w:w="0" w:type="auto"/>
            <w:tcBorders>
              <w:top w:val="nil"/>
              <w:left w:val="nil"/>
              <w:bottom w:val="nil"/>
              <w:right w:val="nil"/>
            </w:tcBorders>
            <w:shd w:val="clear" w:color="auto" w:fill="auto"/>
            <w:noWrap/>
            <w:vAlign w:val="bottom"/>
            <w:hideMark/>
          </w:tcPr>
          <w:p w14:paraId="645472FE"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Data</w:t>
            </w:r>
          </w:p>
        </w:tc>
        <w:tc>
          <w:tcPr>
            <w:tcW w:w="0" w:type="auto"/>
            <w:tcBorders>
              <w:top w:val="nil"/>
              <w:left w:val="nil"/>
              <w:bottom w:val="nil"/>
              <w:right w:val="nil"/>
            </w:tcBorders>
            <w:shd w:val="clear" w:color="auto" w:fill="auto"/>
            <w:noWrap/>
            <w:vAlign w:val="bottom"/>
            <w:hideMark/>
          </w:tcPr>
          <w:p w14:paraId="16CC7190" w14:textId="77777777" w:rsidR="00EF25F8" w:rsidRPr="00EF25F8" w:rsidRDefault="00EF25F8" w:rsidP="00EF25F8">
            <w:pPr>
              <w:rPr>
                <w:rFonts w:ascii="Calibri" w:eastAsia="Times New Roman" w:hAnsi="Calibri" w:cs="Calibri"/>
                <w:sz w:val="20"/>
                <w:szCs w:val="20"/>
              </w:rPr>
            </w:pPr>
            <w:proofErr w:type="spellStart"/>
            <w:r w:rsidRPr="00EF25F8">
              <w:rPr>
                <w:rFonts w:ascii="Calibri" w:eastAsia="Times New Roman" w:hAnsi="Calibri" w:cs="Calibri"/>
                <w:sz w:val="20"/>
                <w:szCs w:val="20"/>
              </w:rPr>
              <w:t>G</w:t>
            </w:r>
            <w:r w:rsidRPr="00EF25F8">
              <w:rPr>
                <w:rFonts w:ascii="Calibri (Body)" w:eastAsia="Times New Roman" w:hAnsi="Calibri (Body)" w:cs="Calibri"/>
                <w:sz w:val="20"/>
                <w:szCs w:val="20"/>
                <w:vertAlign w:val="subscript"/>
              </w:rPr>
              <w:t>i</w:t>
            </w:r>
            <w:proofErr w:type="spellEnd"/>
          </w:p>
        </w:tc>
        <w:tc>
          <w:tcPr>
            <w:tcW w:w="0" w:type="auto"/>
            <w:tcBorders>
              <w:top w:val="nil"/>
              <w:left w:val="nil"/>
              <w:bottom w:val="nil"/>
              <w:right w:val="nil"/>
            </w:tcBorders>
            <w:shd w:val="clear" w:color="auto" w:fill="auto"/>
            <w:noWrap/>
            <w:vAlign w:val="bottom"/>
            <w:hideMark/>
          </w:tcPr>
          <w:p w14:paraId="3C2D5B62"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 xml:space="preserve">Group (taxonomic, geographic, or stock assessment model) for stock </w:t>
            </w:r>
            <w:proofErr w:type="spellStart"/>
            <w:r w:rsidRPr="00EF25F8">
              <w:rPr>
                <w:rFonts w:ascii="Calibri" w:eastAsia="Times New Roman" w:hAnsi="Calibri" w:cs="Calibri"/>
                <w:i/>
                <w:iCs/>
                <w:sz w:val="20"/>
                <w:szCs w:val="20"/>
              </w:rPr>
              <w:t>i</w:t>
            </w:r>
            <w:proofErr w:type="spellEnd"/>
          </w:p>
        </w:tc>
      </w:tr>
      <w:tr w:rsidR="00EF25F8" w:rsidRPr="00EF25F8" w14:paraId="2C0ACBC8" w14:textId="77777777" w:rsidTr="00EF25F8">
        <w:trPr>
          <w:trHeight w:val="288"/>
        </w:trPr>
        <w:tc>
          <w:tcPr>
            <w:tcW w:w="0" w:type="auto"/>
            <w:tcBorders>
              <w:top w:val="nil"/>
              <w:left w:val="nil"/>
              <w:bottom w:val="nil"/>
              <w:right w:val="nil"/>
            </w:tcBorders>
            <w:shd w:val="clear" w:color="auto" w:fill="auto"/>
            <w:noWrap/>
            <w:vAlign w:val="bottom"/>
            <w:hideMark/>
          </w:tcPr>
          <w:p w14:paraId="29EFA7DB"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Derived</w:t>
            </w:r>
          </w:p>
        </w:tc>
        <w:tc>
          <w:tcPr>
            <w:tcW w:w="0" w:type="auto"/>
            <w:tcBorders>
              <w:top w:val="nil"/>
              <w:left w:val="nil"/>
              <w:bottom w:val="nil"/>
              <w:right w:val="nil"/>
            </w:tcBorders>
            <w:shd w:val="clear" w:color="auto" w:fill="auto"/>
            <w:noWrap/>
            <w:vAlign w:val="bottom"/>
            <w:hideMark/>
          </w:tcPr>
          <w:p w14:paraId="6A074563" w14:textId="77777777" w:rsidR="00EF25F8" w:rsidRPr="00EF25F8" w:rsidRDefault="00EF25F8" w:rsidP="00EF25F8">
            <w:pPr>
              <w:rPr>
                <w:rFonts w:ascii="Calibri" w:eastAsia="Times New Roman" w:hAnsi="Calibri" w:cs="Calibri"/>
                <w:sz w:val="20"/>
                <w:szCs w:val="20"/>
              </w:rPr>
            </w:pPr>
            <w:proofErr w:type="spellStart"/>
            <w:r w:rsidRPr="00EF25F8">
              <w:rPr>
                <w:rFonts w:ascii="Calibri" w:eastAsia="Times New Roman" w:hAnsi="Calibri" w:cs="Calibri"/>
                <w:sz w:val="20"/>
                <w:szCs w:val="20"/>
              </w:rPr>
              <w:t>ε</w:t>
            </w:r>
            <w:proofErr w:type="gramStart"/>
            <w:r w:rsidRPr="00EF25F8">
              <w:rPr>
                <w:rFonts w:ascii="Calibri" w:eastAsia="Times New Roman" w:hAnsi="Calibri" w:cs="Calibri"/>
                <w:sz w:val="20"/>
                <w:szCs w:val="20"/>
                <w:vertAlign w:val="subscript"/>
              </w:rPr>
              <w:t>i,t</w:t>
            </w:r>
            <w:proofErr w:type="spellEnd"/>
            <w:proofErr w:type="gramEnd"/>
          </w:p>
        </w:tc>
        <w:tc>
          <w:tcPr>
            <w:tcW w:w="0" w:type="auto"/>
            <w:tcBorders>
              <w:top w:val="nil"/>
              <w:left w:val="nil"/>
              <w:bottom w:val="nil"/>
              <w:right w:val="nil"/>
            </w:tcBorders>
            <w:shd w:val="clear" w:color="auto" w:fill="auto"/>
            <w:noWrap/>
            <w:vAlign w:val="bottom"/>
            <w:hideMark/>
          </w:tcPr>
          <w:p w14:paraId="33FDD616"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 xml:space="preserve">Residual process variability for stock </w:t>
            </w:r>
            <w:proofErr w:type="spellStart"/>
            <w:r w:rsidRPr="00EF25F8">
              <w:rPr>
                <w:rFonts w:ascii="Calibri" w:eastAsia="Times New Roman" w:hAnsi="Calibri" w:cs="Calibri"/>
                <w:i/>
                <w:iCs/>
                <w:sz w:val="20"/>
                <w:szCs w:val="20"/>
              </w:rPr>
              <w:t>i</w:t>
            </w:r>
            <w:proofErr w:type="spellEnd"/>
            <w:r w:rsidRPr="00EF25F8">
              <w:rPr>
                <w:rFonts w:ascii="Calibri" w:eastAsia="Times New Roman" w:hAnsi="Calibri" w:cs="Calibri"/>
                <w:i/>
                <w:iCs/>
                <w:sz w:val="20"/>
                <w:szCs w:val="20"/>
              </w:rPr>
              <w:t xml:space="preserve"> </w:t>
            </w:r>
            <w:r w:rsidRPr="00EF25F8">
              <w:rPr>
                <w:rFonts w:ascii="Calibri" w:eastAsia="Times New Roman" w:hAnsi="Calibri" w:cs="Calibri"/>
                <w:sz w:val="20"/>
                <w:szCs w:val="20"/>
              </w:rPr>
              <w:t xml:space="preserve">in year </w:t>
            </w:r>
            <w:r w:rsidRPr="00EF25F8">
              <w:rPr>
                <w:rFonts w:ascii="Calibri" w:eastAsia="Times New Roman" w:hAnsi="Calibri" w:cs="Calibri"/>
                <w:i/>
                <w:iCs/>
                <w:sz w:val="20"/>
                <w:szCs w:val="20"/>
              </w:rPr>
              <w:t>t</w:t>
            </w:r>
          </w:p>
        </w:tc>
      </w:tr>
      <w:tr w:rsidR="00EF25F8" w:rsidRPr="00EF25F8" w14:paraId="0454F526" w14:textId="77777777" w:rsidTr="00EF25F8">
        <w:trPr>
          <w:trHeight w:val="288"/>
        </w:trPr>
        <w:tc>
          <w:tcPr>
            <w:tcW w:w="0" w:type="auto"/>
            <w:tcBorders>
              <w:top w:val="nil"/>
              <w:left w:val="nil"/>
              <w:bottom w:val="nil"/>
              <w:right w:val="nil"/>
            </w:tcBorders>
            <w:shd w:val="clear" w:color="auto" w:fill="auto"/>
            <w:noWrap/>
            <w:vAlign w:val="bottom"/>
            <w:hideMark/>
          </w:tcPr>
          <w:p w14:paraId="35387D91"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Parameter</w:t>
            </w:r>
          </w:p>
        </w:tc>
        <w:tc>
          <w:tcPr>
            <w:tcW w:w="0" w:type="auto"/>
            <w:tcBorders>
              <w:top w:val="nil"/>
              <w:left w:val="nil"/>
              <w:bottom w:val="nil"/>
              <w:right w:val="nil"/>
            </w:tcBorders>
            <w:shd w:val="clear" w:color="auto" w:fill="auto"/>
            <w:noWrap/>
            <w:vAlign w:val="bottom"/>
            <w:hideMark/>
          </w:tcPr>
          <w:p w14:paraId="5335E935"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α</w:t>
            </w:r>
            <w:proofErr w:type="spellStart"/>
            <w:r w:rsidRPr="00EF25F8">
              <w:rPr>
                <w:rFonts w:ascii="Calibri" w:eastAsia="Times New Roman" w:hAnsi="Calibri" w:cs="Calibri"/>
                <w:sz w:val="20"/>
                <w:szCs w:val="20"/>
                <w:vertAlign w:val="subscript"/>
              </w:rPr>
              <w:t>i</w:t>
            </w:r>
            <w:proofErr w:type="spellEnd"/>
          </w:p>
        </w:tc>
        <w:tc>
          <w:tcPr>
            <w:tcW w:w="0" w:type="auto"/>
            <w:tcBorders>
              <w:top w:val="nil"/>
              <w:left w:val="nil"/>
              <w:bottom w:val="nil"/>
              <w:right w:val="nil"/>
            </w:tcBorders>
            <w:shd w:val="clear" w:color="auto" w:fill="auto"/>
            <w:noWrap/>
            <w:vAlign w:val="bottom"/>
            <w:hideMark/>
          </w:tcPr>
          <w:p w14:paraId="564085AC"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 xml:space="preserve">Maximum annual recruits per spawning stock biomass for stock </w:t>
            </w:r>
            <w:proofErr w:type="spellStart"/>
            <w:r w:rsidRPr="00EF25F8">
              <w:rPr>
                <w:rFonts w:ascii="Calibri" w:eastAsia="Times New Roman" w:hAnsi="Calibri" w:cs="Calibri"/>
                <w:i/>
                <w:iCs/>
                <w:sz w:val="20"/>
                <w:szCs w:val="20"/>
              </w:rPr>
              <w:t>i</w:t>
            </w:r>
            <w:proofErr w:type="spellEnd"/>
          </w:p>
        </w:tc>
      </w:tr>
      <w:tr w:rsidR="00EF25F8" w:rsidRPr="00EF25F8" w14:paraId="44B0A047" w14:textId="77777777" w:rsidTr="00EF25F8">
        <w:trPr>
          <w:trHeight w:val="288"/>
        </w:trPr>
        <w:tc>
          <w:tcPr>
            <w:tcW w:w="0" w:type="auto"/>
            <w:tcBorders>
              <w:top w:val="nil"/>
              <w:left w:val="nil"/>
              <w:bottom w:val="nil"/>
              <w:right w:val="nil"/>
            </w:tcBorders>
            <w:shd w:val="clear" w:color="auto" w:fill="auto"/>
            <w:noWrap/>
            <w:vAlign w:val="bottom"/>
            <w:hideMark/>
          </w:tcPr>
          <w:p w14:paraId="4A4D683A"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Parameter</w:t>
            </w:r>
          </w:p>
        </w:tc>
        <w:tc>
          <w:tcPr>
            <w:tcW w:w="0" w:type="auto"/>
            <w:tcBorders>
              <w:top w:val="nil"/>
              <w:left w:val="nil"/>
              <w:bottom w:val="nil"/>
              <w:right w:val="nil"/>
            </w:tcBorders>
            <w:shd w:val="clear" w:color="auto" w:fill="auto"/>
            <w:noWrap/>
            <w:vAlign w:val="bottom"/>
            <w:hideMark/>
          </w:tcPr>
          <w:p w14:paraId="16A46678"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β</w:t>
            </w:r>
            <w:proofErr w:type="spellStart"/>
            <w:r w:rsidRPr="00EF25F8">
              <w:rPr>
                <w:rFonts w:ascii="Calibri" w:eastAsia="Times New Roman" w:hAnsi="Calibri" w:cs="Calibri"/>
                <w:sz w:val="20"/>
                <w:szCs w:val="20"/>
                <w:vertAlign w:val="subscript"/>
              </w:rPr>
              <w:t>i</w:t>
            </w:r>
            <w:proofErr w:type="spellEnd"/>
          </w:p>
        </w:tc>
        <w:tc>
          <w:tcPr>
            <w:tcW w:w="0" w:type="auto"/>
            <w:tcBorders>
              <w:top w:val="nil"/>
              <w:left w:val="nil"/>
              <w:bottom w:val="nil"/>
              <w:right w:val="nil"/>
            </w:tcBorders>
            <w:shd w:val="clear" w:color="auto" w:fill="auto"/>
            <w:noWrap/>
            <w:vAlign w:val="bottom"/>
            <w:hideMark/>
          </w:tcPr>
          <w:p w14:paraId="3BFBC490"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 xml:space="preserve">Strength of density-dependence per spawning stock biomass for stock </w:t>
            </w:r>
            <w:proofErr w:type="spellStart"/>
            <w:r w:rsidRPr="00EF25F8">
              <w:rPr>
                <w:rFonts w:ascii="Calibri" w:eastAsia="Times New Roman" w:hAnsi="Calibri" w:cs="Calibri"/>
                <w:i/>
                <w:iCs/>
                <w:sz w:val="20"/>
                <w:szCs w:val="20"/>
              </w:rPr>
              <w:t>i</w:t>
            </w:r>
            <w:proofErr w:type="spellEnd"/>
          </w:p>
        </w:tc>
      </w:tr>
      <w:tr w:rsidR="00EF25F8" w:rsidRPr="00EF25F8" w14:paraId="20715951" w14:textId="77777777" w:rsidTr="00EF25F8">
        <w:trPr>
          <w:trHeight w:val="288"/>
        </w:trPr>
        <w:tc>
          <w:tcPr>
            <w:tcW w:w="0" w:type="auto"/>
            <w:tcBorders>
              <w:top w:val="nil"/>
              <w:left w:val="nil"/>
              <w:bottom w:val="nil"/>
              <w:right w:val="nil"/>
            </w:tcBorders>
            <w:shd w:val="clear" w:color="auto" w:fill="auto"/>
            <w:noWrap/>
            <w:vAlign w:val="bottom"/>
            <w:hideMark/>
          </w:tcPr>
          <w:p w14:paraId="4701A713"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Parameter</w:t>
            </w:r>
          </w:p>
        </w:tc>
        <w:tc>
          <w:tcPr>
            <w:tcW w:w="0" w:type="auto"/>
            <w:tcBorders>
              <w:top w:val="nil"/>
              <w:left w:val="nil"/>
              <w:bottom w:val="nil"/>
              <w:right w:val="nil"/>
            </w:tcBorders>
            <w:shd w:val="clear" w:color="auto" w:fill="auto"/>
            <w:noWrap/>
            <w:vAlign w:val="bottom"/>
            <w:hideMark/>
          </w:tcPr>
          <w:p w14:paraId="2573513B" w14:textId="77777777" w:rsidR="00EF25F8" w:rsidRPr="00EF25F8" w:rsidRDefault="00EF25F8" w:rsidP="00EF25F8">
            <w:pPr>
              <w:rPr>
                <w:rFonts w:ascii="Calibri" w:eastAsia="Times New Roman" w:hAnsi="Calibri" w:cs="Calibri"/>
                <w:sz w:val="20"/>
                <w:szCs w:val="20"/>
              </w:rPr>
            </w:pPr>
            <w:proofErr w:type="spellStart"/>
            <w:r w:rsidRPr="00EF25F8">
              <w:rPr>
                <w:rFonts w:ascii="Calibri" w:eastAsia="Times New Roman" w:hAnsi="Calibri" w:cs="Calibri"/>
                <w:sz w:val="20"/>
                <w:szCs w:val="20"/>
              </w:rPr>
              <w:t>θ</w:t>
            </w:r>
            <w:r w:rsidRPr="00EF25F8">
              <w:rPr>
                <w:rFonts w:ascii="Calibri" w:eastAsia="Times New Roman" w:hAnsi="Calibri" w:cs="Calibri"/>
                <w:sz w:val="20"/>
                <w:szCs w:val="20"/>
                <w:vertAlign w:val="subscript"/>
              </w:rPr>
              <w:t>i</w:t>
            </w:r>
            <w:proofErr w:type="spellEnd"/>
          </w:p>
        </w:tc>
        <w:tc>
          <w:tcPr>
            <w:tcW w:w="0" w:type="auto"/>
            <w:tcBorders>
              <w:top w:val="nil"/>
              <w:left w:val="nil"/>
              <w:bottom w:val="nil"/>
              <w:right w:val="nil"/>
            </w:tcBorders>
            <w:shd w:val="clear" w:color="auto" w:fill="auto"/>
            <w:noWrap/>
            <w:vAlign w:val="bottom"/>
            <w:hideMark/>
          </w:tcPr>
          <w:p w14:paraId="5400094B"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 xml:space="preserve">Influence of SST on productivity for stock </w:t>
            </w:r>
            <w:proofErr w:type="spellStart"/>
            <w:r w:rsidRPr="00EF25F8">
              <w:rPr>
                <w:rFonts w:ascii="Calibri" w:eastAsia="Times New Roman" w:hAnsi="Calibri" w:cs="Calibri"/>
                <w:i/>
                <w:iCs/>
                <w:sz w:val="20"/>
                <w:szCs w:val="20"/>
              </w:rPr>
              <w:t>i</w:t>
            </w:r>
            <w:proofErr w:type="spellEnd"/>
          </w:p>
        </w:tc>
      </w:tr>
      <w:tr w:rsidR="00EF25F8" w:rsidRPr="00EF25F8" w14:paraId="616E3601" w14:textId="77777777" w:rsidTr="00EF25F8">
        <w:trPr>
          <w:trHeight w:val="288"/>
        </w:trPr>
        <w:tc>
          <w:tcPr>
            <w:tcW w:w="0" w:type="auto"/>
            <w:tcBorders>
              <w:top w:val="nil"/>
              <w:left w:val="nil"/>
              <w:bottom w:val="nil"/>
              <w:right w:val="nil"/>
            </w:tcBorders>
            <w:shd w:val="clear" w:color="auto" w:fill="auto"/>
            <w:noWrap/>
            <w:vAlign w:val="bottom"/>
            <w:hideMark/>
          </w:tcPr>
          <w:p w14:paraId="377C2E73"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Parameter</w:t>
            </w:r>
          </w:p>
        </w:tc>
        <w:tc>
          <w:tcPr>
            <w:tcW w:w="0" w:type="auto"/>
            <w:tcBorders>
              <w:top w:val="nil"/>
              <w:left w:val="nil"/>
              <w:bottom w:val="nil"/>
              <w:right w:val="nil"/>
            </w:tcBorders>
            <w:shd w:val="clear" w:color="auto" w:fill="auto"/>
            <w:noWrap/>
            <w:vAlign w:val="bottom"/>
            <w:hideMark/>
          </w:tcPr>
          <w:p w14:paraId="320ECA32" w14:textId="77777777" w:rsidR="00EF25F8" w:rsidRPr="00EF25F8" w:rsidRDefault="00EF25F8" w:rsidP="00EF25F8">
            <w:pPr>
              <w:rPr>
                <w:rFonts w:ascii="Calibri" w:eastAsia="Times New Roman" w:hAnsi="Calibri" w:cs="Calibri"/>
                <w:sz w:val="20"/>
                <w:szCs w:val="20"/>
              </w:rPr>
            </w:pPr>
            <w:proofErr w:type="spellStart"/>
            <w:r w:rsidRPr="00EF25F8">
              <w:rPr>
                <w:rFonts w:ascii="Calibri" w:eastAsia="Times New Roman" w:hAnsi="Calibri" w:cs="Calibri"/>
                <w:sz w:val="20"/>
                <w:szCs w:val="20"/>
              </w:rPr>
              <w:t>μ</w:t>
            </w:r>
            <w:r w:rsidRPr="00EF25F8">
              <w:rPr>
                <w:rFonts w:ascii="Calibri" w:eastAsia="Times New Roman" w:hAnsi="Calibri" w:cs="Calibri"/>
                <w:sz w:val="20"/>
                <w:szCs w:val="20"/>
                <w:vertAlign w:val="subscript"/>
              </w:rPr>
              <w:t>SST</w:t>
            </w:r>
            <w:proofErr w:type="spellEnd"/>
          </w:p>
        </w:tc>
        <w:tc>
          <w:tcPr>
            <w:tcW w:w="0" w:type="auto"/>
            <w:tcBorders>
              <w:top w:val="nil"/>
              <w:left w:val="nil"/>
              <w:bottom w:val="nil"/>
              <w:right w:val="nil"/>
            </w:tcBorders>
            <w:shd w:val="clear" w:color="auto" w:fill="auto"/>
            <w:noWrap/>
            <w:vAlign w:val="bottom"/>
            <w:hideMark/>
          </w:tcPr>
          <w:p w14:paraId="7C6FA086"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Mean of the distribution of SST influences (</w:t>
            </w:r>
            <w:proofErr w:type="spellStart"/>
            <w:r w:rsidRPr="00EF25F8">
              <w:rPr>
                <w:rFonts w:ascii="Calibri" w:eastAsia="Times New Roman" w:hAnsi="Calibri" w:cs="Calibri"/>
                <w:sz w:val="20"/>
                <w:szCs w:val="20"/>
              </w:rPr>
              <w:t>θ</w:t>
            </w:r>
            <w:r w:rsidRPr="00EF25F8">
              <w:rPr>
                <w:rFonts w:ascii="Calibri (Body)" w:eastAsia="Times New Roman" w:hAnsi="Calibri (Body)" w:cs="Calibri"/>
                <w:sz w:val="20"/>
                <w:szCs w:val="20"/>
                <w:vertAlign w:val="subscript"/>
              </w:rPr>
              <w:t>i</w:t>
            </w:r>
            <w:proofErr w:type="spellEnd"/>
            <w:r w:rsidRPr="00EF25F8">
              <w:rPr>
                <w:rFonts w:ascii="Calibri" w:eastAsia="Times New Roman" w:hAnsi="Calibri" w:cs="Calibri"/>
                <w:sz w:val="20"/>
                <w:szCs w:val="20"/>
              </w:rPr>
              <w:t>)</w:t>
            </w:r>
          </w:p>
        </w:tc>
      </w:tr>
      <w:tr w:rsidR="00EF25F8" w:rsidRPr="00EF25F8" w14:paraId="29D9A826" w14:textId="77777777" w:rsidTr="00EF25F8">
        <w:trPr>
          <w:trHeight w:val="288"/>
        </w:trPr>
        <w:tc>
          <w:tcPr>
            <w:tcW w:w="0" w:type="auto"/>
            <w:tcBorders>
              <w:top w:val="nil"/>
              <w:left w:val="nil"/>
              <w:bottom w:val="nil"/>
              <w:right w:val="nil"/>
            </w:tcBorders>
            <w:shd w:val="clear" w:color="auto" w:fill="auto"/>
            <w:noWrap/>
            <w:vAlign w:val="bottom"/>
            <w:hideMark/>
          </w:tcPr>
          <w:p w14:paraId="5C1AB1FB"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Parameter</w:t>
            </w:r>
          </w:p>
        </w:tc>
        <w:tc>
          <w:tcPr>
            <w:tcW w:w="0" w:type="auto"/>
            <w:tcBorders>
              <w:top w:val="nil"/>
              <w:left w:val="nil"/>
              <w:bottom w:val="nil"/>
              <w:right w:val="nil"/>
            </w:tcBorders>
            <w:shd w:val="clear" w:color="auto" w:fill="auto"/>
            <w:noWrap/>
            <w:vAlign w:val="bottom"/>
            <w:hideMark/>
          </w:tcPr>
          <w:p w14:paraId="072AE06D" w14:textId="77777777" w:rsidR="00EF25F8" w:rsidRPr="00EF25F8" w:rsidRDefault="00EF25F8" w:rsidP="00EF25F8">
            <w:pPr>
              <w:rPr>
                <w:rFonts w:ascii="Calibri" w:eastAsia="Times New Roman" w:hAnsi="Calibri" w:cs="Calibri"/>
                <w:sz w:val="20"/>
                <w:szCs w:val="20"/>
              </w:rPr>
            </w:pPr>
            <w:proofErr w:type="spellStart"/>
            <w:r w:rsidRPr="00EF25F8">
              <w:rPr>
                <w:rFonts w:ascii="Calibri" w:eastAsia="Times New Roman" w:hAnsi="Calibri" w:cs="Calibri"/>
                <w:sz w:val="20"/>
                <w:szCs w:val="20"/>
              </w:rPr>
              <w:t>σ</w:t>
            </w:r>
            <w:r w:rsidRPr="00EF25F8">
              <w:rPr>
                <w:rFonts w:ascii="Calibri" w:eastAsia="Times New Roman" w:hAnsi="Calibri" w:cs="Calibri"/>
                <w:sz w:val="20"/>
                <w:szCs w:val="20"/>
                <w:vertAlign w:val="subscript"/>
              </w:rPr>
              <w:t>SST</w:t>
            </w:r>
            <w:proofErr w:type="spellEnd"/>
          </w:p>
        </w:tc>
        <w:tc>
          <w:tcPr>
            <w:tcW w:w="0" w:type="auto"/>
            <w:tcBorders>
              <w:top w:val="nil"/>
              <w:left w:val="nil"/>
              <w:bottom w:val="nil"/>
              <w:right w:val="nil"/>
            </w:tcBorders>
            <w:shd w:val="clear" w:color="auto" w:fill="auto"/>
            <w:noWrap/>
            <w:vAlign w:val="bottom"/>
            <w:hideMark/>
          </w:tcPr>
          <w:p w14:paraId="12F05AD7"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Standard deviation of the distribution of SST influences (</w:t>
            </w:r>
            <w:proofErr w:type="spellStart"/>
            <w:r w:rsidRPr="00EF25F8">
              <w:rPr>
                <w:rFonts w:ascii="Calibri" w:eastAsia="Times New Roman" w:hAnsi="Calibri" w:cs="Calibri"/>
                <w:sz w:val="20"/>
                <w:szCs w:val="20"/>
              </w:rPr>
              <w:t>θ</w:t>
            </w:r>
            <w:r w:rsidRPr="00EF25F8">
              <w:rPr>
                <w:rFonts w:ascii="Calibri (Body)" w:eastAsia="Times New Roman" w:hAnsi="Calibri (Body)" w:cs="Calibri"/>
                <w:sz w:val="20"/>
                <w:szCs w:val="20"/>
                <w:vertAlign w:val="subscript"/>
              </w:rPr>
              <w:t>i</w:t>
            </w:r>
            <w:proofErr w:type="spellEnd"/>
            <w:r w:rsidRPr="00EF25F8">
              <w:rPr>
                <w:rFonts w:ascii="Calibri" w:eastAsia="Times New Roman" w:hAnsi="Calibri" w:cs="Calibri"/>
                <w:sz w:val="20"/>
                <w:szCs w:val="20"/>
              </w:rPr>
              <w:t>)</w:t>
            </w:r>
          </w:p>
        </w:tc>
      </w:tr>
      <w:tr w:rsidR="00EF25F8" w:rsidRPr="00EF25F8" w14:paraId="751B875E" w14:textId="77777777" w:rsidTr="00EF25F8">
        <w:trPr>
          <w:trHeight w:val="288"/>
        </w:trPr>
        <w:tc>
          <w:tcPr>
            <w:tcW w:w="0" w:type="auto"/>
            <w:tcBorders>
              <w:top w:val="nil"/>
              <w:left w:val="nil"/>
              <w:bottom w:val="nil"/>
              <w:right w:val="nil"/>
            </w:tcBorders>
            <w:shd w:val="clear" w:color="auto" w:fill="auto"/>
            <w:noWrap/>
            <w:vAlign w:val="bottom"/>
            <w:hideMark/>
          </w:tcPr>
          <w:p w14:paraId="1E147C91"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Parameter</w:t>
            </w:r>
          </w:p>
        </w:tc>
        <w:tc>
          <w:tcPr>
            <w:tcW w:w="0" w:type="auto"/>
            <w:tcBorders>
              <w:top w:val="nil"/>
              <w:left w:val="nil"/>
              <w:bottom w:val="nil"/>
              <w:right w:val="nil"/>
            </w:tcBorders>
            <w:shd w:val="clear" w:color="auto" w:fill="auto"/>
            <w:noWrap/>
            <w:vAlign w:val="bottom"/>
            <w:hideMark/>
          </w:tcPr>
          <w:p w14:paraId="12FB9A73" w14:textId="77777777" w:rsidR="00EF25F8" w:rsidRPr="00EF25F8" w:rsidRDefault="00EF25F8" w:rsidP="00EF25F8">
            <w:pPr>
              <w:rPr>
                <w:rFonts w:ascii="Calibri" w:eastAsia="Times New Roman" w:hAnsi="Calibri" w:cs="Calibri"/>
                <w:sz w:val="20"/>
                <w:szCs w:val="20"/>
              </w:rPr>
            </w:pPr>
            <w:proofErr w:type="spellStart"/>
            <w:r w:rsidRPr="00EF25F8">
              <w:rPr>
                <w:rFonts w:ascii="Calibri" w:eastAsia="Times New Roman" w:hAnsi="Calibri" w:cs="Calibri"/>
                <w:sz w:val="20"/>
                <w:szCs w:val="20"/>
              </w:rPr>
              <w:t>μ</w:t>
            </w:r>
            <w:proofErr w:type="gramStart"/>
            <w:r w:rsidRPr="00EF25F8">
              <w:rPr>
                <w:rFonts w:ascii="Calibri" w:eastAsia="Times New Roman" w:hAnsi="Calibri" w:cs="Calibri"/>
                <w:sz w:val="20"/>
                <w:szCs w:val="20"/>
                <w:vertAlign w:val="subscript"/>
              </w:rPr>
              <w:t>G,j</w:t>
            </w:r>
            <w:proofErr w:type="spellEnd"/>
            <w:proofErr w:type="gramEnd"/>
          </w:p>
        </w:tc>
        <w:tc>
          <w:tcPr>
            <w:tcW w:w="0" w:type="auto"/>
            <w:tcBorders>
              <w:top w:val="nil"/>
              <w:left w:val="nil"/>
              <w:bottom w:val="nil"/>
              <w:right w:val="nil"/>
            </w:tcBorders>
            <w:shd w:val="clear" w:color="auto" w:fill="auto"/>
            <w:noWrap/>
            <w:vAlign w:val="bottom"/>
            <w:hideMark/>
          </w:tcPr>
          <w:p w14:paraId="5960E419"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Mean of the distribution of SST influences (</w:t>
            </w:r>
            <w:proofErr w:type="spellStart"/>
            <w:r w:rsidRPr="00EF25F8">
              <w:rPr>
                <w:rFonts w:ascii="Calibri" w:eastAsia="Times New Roman" w:hAnsi="Calibri" w:cs="Calibri"/>
                <w:sz w:val="20"/>
                <w:szCs w:val="20"/>
              </w:rPr>
              <w:t>θ</w:t>
            </w:r>
            <w:r w:rsidRPr="00EF25F8">
              <w:rPr>
                <w:rFonts w:ascii="Calibri (Body)" w:eastAsia="Times New Roman" w:hAnsi="Calibri (Body)" w:cs="Calibri"/>
                <w:sz w:val="20"/>
                <w:szCs w:val="20"/>
                <w:vertAlign w:val="subscript"/>
              </w:rPr>
              <w:t>i</w:t>
            </w:r>
            <w:proofErr w:type="spellEnd"/>
            <w:r w:rsidRPr="00EF25F8">
              <w:rPr>
                <w:rFonts w:ascii="Calibri" w:eastAsia="Times New Roman" w:hAnsi="Calibri" w:cs="Calibri"/>
                <w:sz w:val="20"/>
                <w:szCs w:val="20"/>
              </w:rPr>
              <w:t>) for group</w:t>
            </w:r>
            <w:r w:rsidRPr="00EF25F8">
              <w:rPr>
                <w:rFonts w:ascii="Calibri" w:eastAsia="Times New Roman" w:hAnsi="Calibri" w:cs="Calibri"/>
                <w:i/>
                <w:iCs/>
                <w:sz w:val="20"/>
                <w:szCs w:val="20"/>
              </w:rPr>
              <w:t xml:space="preserve"> j</w:t>
            </w:r>
          </w:p>
        </w:tc>
      </w:tr>
      <w:tr w:rsidR="00EF25F8" w:rsidRPr="00EF25F8" w14:paraId="0A1A92AB" w14:textId="77777777" w:rsidTr="00EF25F8">
        <w:trPr>
          <w:trHeight w:val="288"/>
        </w:trPr>
        <w:tc>
          <w:tcPr>
            <w:tcW w:w="0" w:type="auto"/>
            <w:tcBorders>
              <w:top w:val="nil"/>
              <w:left w:val="nil"/>
              <w:bottom w:val="nil"/>
              <w:right w:val="nil"/>
            </w:tcBorders>
            <w:shd w:val="clear" w:color="auto" w:fill="auto"/>
            <w:noWrap/>
            <w:vAlign w:val="bottom"/>
            <w:hideMark/>
          </w:tcPr>
          <w:p w14:paraId="3C251DC1"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Parameter</w:t>
            </w:r>
          </w:p>
        </w:tc>
        <w:tc>
          <w:tcPr>
            <w:tcW w:w="0" w:type="auto"/>
            <w:tcBorders>
              <w:top w:val="nil"/>
              <w:left w:val="nil"/>
              <w:bottom w:val="nil"/>
              <w:right w:val="nil"/>
            </w:tcBorders>
            <w:shd w:val="clear" w:color="auto" w:fill="auto"/>
            <w:noWrap/>
            <w:vAlign w:val="bottom"/>
            <w:hideMark/>
          </w:tcPr>
          <w:p w14:paraId="76F351A6" w14:textId="77777777" w:rsidR="00EF25F8" w:rsidRPr="00EF25F8" w:rsidRDefault="00EF25F8" w:rsidP="00EF25F8">
            <w:pPr>
              <w:rPr>
                <w:rFonts w:ascii="Calibri" w:eastAsia="Times New Roman" w:hAnsi="Calibri" w:cs="Calibri"/>
                <w:sz w:val="20"/>
                <w:szCs w:val="20"/>
              </w:rPr>
            </w:pPr>
            <w:proofErr w:type="spellStart"/>
            <w:r w:rsidRPr="00EF25F8">
              <w:rPr>
                <w:rFonts w:ascii="Calibri" w:eastAsia="Times New Roman" w:hAnsi="Calibri" w:cs="Calibri"/>
                <w:sz w:val="20"/>
                <w:szCs w:val="20"/>
              </w:rPr>
              <w:t>σ</w:t>
            </w:r>
            <w:r w:rsidRPr="00EF25F8">
              <w:rPr>
                <w:rFonts w:ascii="Calibri" w:eastAsia="Times New Roman" w:hAnsi="Calibri" w:cs="Calibri"/>
                <w:sz w:val="20"/>
                <w:szCs w:val="20"/>
                <w:vertAlign w:val="subscript"/>
              </w:rPr>
              <w:t>G</w:t>
            </w:r>
            <w:proofErr w:type="spellEnd"/>
          </w:p>
        </w:tc>
        <w:tc>
          <w:tcPr>
            <w:tcW w:w="0" w:type="auto"/>
            <w:tcBorders>
              <w:top w:val="nil"/>
              <w:left w:val="nil"/>
              <w:bottom w:val="nil"/>
              <w:right w:val="nil"/>
            </w:tcBorders>
            <w:shd w:val="clear" w:color="auto" w:fill="auto"/>
            <w:noWrap/>
            <w:vAlign w:val="bottom"/>
            <w:hideMark/>
          </w:tcPr>
          <w:p w14:paraId="6F9033A7"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Standard deviation of the group-specific distributions of SST influences (</w:t>
            </w:r>
            <w:proofErr w:type="spellStart"/>
            <w:r w:rsidRPr="00EF25F8">
              <w:rPr>
                <w:rFonts w:ascii="Calibri" w:eastAsia="Times New Roman" w:hAnsi="Calibri" w:cs="Calibri"/>
                <w:sz w:val="20"/>
                <w:szCs w:val="20"/>
              </w:rPr>
              <w:t>θ</w:t>
            </w:r>
            <w:r w:rsidRPr="00EF25F8">
              <w:rPr>
                <w:rFonts w:ascii="Calibri (Body)" w:eastAsia="Times New Roman" w:hAnsi="Calibri (Body)" w:cs="Calibri"/>
                <w:sz w:val="20"/>
                <w:szCs w:val="20"/>
                <w:vertAlign w:val="subscript"/>
              </w:rPr>
              <w:t>i</w:t>
            </w:r>
            <w:proofErr w:type="spellEnd"/>
            <w:r w:rsidRPr="00EF25F8">
              <w:rPr>
                <w:rFonts w:ascii="Calibri" w:eastAsia="Times New Roman" w:hAnsi="Calibri" w:cs="Calibri"/>
                <w:sz w:val="20"/>
                <w:szCs w:val="20"/>
              </w:rPr>
              <w:t>)</w:t>
            </w:r>
          </w:p>
        </w:tc>
      </w:tr>
      <w:tr w:rsidR="00EF25F8" w:rsidRPr="00EF25F8" w14:paraId="4DF90293" w14:textId="77777777" w:rsidTr="00EF25F8">
        <w:trPr>
          <w:trHeight w:val="288"/>
        </w:trPr>
        <w:tc>
          <w:tcPr>
            <w:tcW w:w="0" w:type="auto"/>
            <w:tcBorders>
              <w:top w:val="nil"/>
              <w:left w:val="nil"/>
              <w:bottom w:val="nil"/>
              <w:right w:val="nil"/>
            </w:tcBorders>
            <w:shd w:val="clear" w:color="auto" w:fill="auto"/>
            <w:noWrap/>
            <w:vAlign w:val="bottom"/>
            <w:hideMark/>
          </w:tcPr>
          <w:p w14:paraId="38796D7B"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Parameter</w:t>
            </w:r>
          </w:p>
        </w:tc>
        <w:tc>
          <w:tcPr>
            <w:tcW w:w="0" w:type="auto"/>
            <w:tcBorders>
              <w:top w:val="nil"/>
              <w:left w:val="nil"/>
              <w:bottom w:val="nil"/>
              <w:right w:val="nil"/>
            </w:tcBorders>
            <w:shd w:val="clear" w:color="auto" w:fill="auto"/>
            <w:noWrap/>
            <w:vAlign w:val="bottom"/>
            <w:hideMark/>
          </w:tcPr>
          <w:p w14:paraId="2569ECD7" w14:textId="77777777" w:rsidR="00EF25F8" w:rsidRPr="00EF25F8" w:rsidRDefault="00EF25F8" w:rsidP="00EF25F8">
            <w:pPr>
              <w:rPr>
                <w:rFonts w:ascii="Calibri" w:eastAsia="Times New Roman" w:hAnsi="Calibri" w:cs="Calibri"/>
                <w:sz w:val="20"/>
                <w:szCs w:val="20"/>
              </w:rPr>
            </w:pPr>
            <w:proofErr w:type="spellStart"/>
            <w:r w:rsidRPr="00EF25F8">
              <w:rPr>
                <w:rFonts w:ascii="Calibri" w:eastAsia="Times New Roman" w:hAnsi="Calibri" w:cs="Calibri"/>
                <w:sz w:val="20"/>
                <w:szCs w:val="20"/>
              </w:rPr>
              <w:t>σ</w:t>
            </w:r>
            <w:proofErr w:type="gramStart"/>
            <w:r w:rsidRPr="00EF25F8">
              <w:rPr>
                <w:rFonts w:ascii="Calibri" w:eastAsia="Times New Roman" w:hAnsi="Calibri" w:cs="Calibri"/>
                <w:sz w:val="20"/>
                <w:szCs w:val="20"/>
                <w:vertAlign w:val="subscript"/>
              </w:rPr>
              <w:t>P,i</w:t>
            </w:r>
            <w:proofErr w:type="spellEnd"/>
            <w:proofErr w:type="gramEnd"/>
          </w:p>
        </w:tc>
        <w:tc>
          <w:tcPr>
            <w:tcW w:w="0" w:type="auto"/>
            <w:tcBorders>
              <w:top w:val="nil"/>
              <w:left w:val="nil"/>
              <w:bottom w:val="nil"/>
              <w:right w:val="nil"/>
            </w:tcBorders>
            <w:shd w:val="clear" w:color="auto" w:fill="auto"/>
            <w:noWrap/>
            <w:vAlign w:val="bottom"/>
            <w:hideMark/>
          </w:tcPr>
          <w:p w14:paraId="6BAFAFD2"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 xml:space="preserve">Standard deviation of the residual process variability for stock </w:t>
            </w:r>
            <w:proofErr w:type="spellStart"/>
            <w:r w:rsidRPr="00EF25F8">
              <w:rPr>
                <w:rFonts w:ascii="Calibri" w:eastAsia="Times New Roman" w:hAnsi="Calibri" w:cs="Calibri"/>
                <w:i/>
                <w:iCs/>
                <w:sz w:val="20"/>
                <w:szCs w:val="20"/>
              </w:rPr>
              <w:t>i</w:t>
            </w:r>
            <w:proofErr w:type="spellEnd"/>
          </w:p>
        </w:tc>
      </w:tr>
      <w:tr w:rsidR="00EF25F8" w:rsidRPr="00EF25F8" w14:paraId="664245A7" w14:textId="77777777" w:rsidTr="00EF25F8">
        <w:trPr>
          <w:trHeight w:val="288"/>
        </w:trPr>
        <w:tc>
          <w:tcPr>
            <w:tcW w:w="0" w:type="auto"/>
            <w:tcBorders>
              <w:top w:val="nil"/>
              <w:left w:val="nil"/>
              <w:bottom w:val="nil"/>
              <w:right w:val="nil"/>
            </w:tcBorders>
            <w:shd w:val="clear" w:color="auto" w:fill="auto"/>
            <w:noWrap/>
            <w:vAlign w:val="bottom"/>
            <w:hideMark/>
          </w:tcPr>
          <w:p w14:paraId="64E4A1D5"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Parameter</w:t>
            </w:r>
          </w:p>
        </w:tc>
        <w:tc>
          <w:tcPr>
            <w:tcW w:w="0" w:type="auto"/>
            <w:tcBorders>
              <w:top w:val="nil"/>
              <w:left w:val="nil"/>
              <w:bottom w:val="nil"/>
              <w:right w:val="nil"/>
            </w:tcBorders>
            <w:shd w:val="clear" w:color="auto" w:fill="auto"/>
            <w:noWrap/>
            <w:vAlign w:val="bottom"/>
            <w:hideMark/>
          </w:tcPr>
          <w:p w14:paraId="32215FD1" w14:textId="77777777" w:rsidR="00EF25F8" w:rsidRPr="00EF25F8" w:rsidRDefault="00EF25F8" w:rsidP="00EF25F8">
            <w:pPr>
              <w:rPr>
                <w:rFonts w:ascii="Calibri" w:eastAsia="Times New Roman" w:hAnsi="Calibri" w:cs="Calibri"/>
                <w:sz w:val="20"/>
                <w:szCs w:val="20"/>
              </w:rPr>
            </w:pPr>
            <w:proofErr w:type="spellStart"/>
            <w:r w:rsidRPr="00EF25F8">
              <w:rPr>
                <w:rFonts w:ascii="Calibri" w:eastAsia="Times New Roman" w:hAnsi="Calibri" w:cs="Calibri"/>
                <w:sz w:val="20"/>
                <w:szCs w:val="20"/>
              </w:rPr>
              <w:t>ρ</w:t>
            </w:r>
            <w:r w:rsidRPr="00EF25F8">
              <w:rPr>
                <w:rFonts w:ascii="Calibri" w:eastAsia="Times New Roman" w:hAnsi="Calibri" w:cs="Calibri"/>
                <w:sz w:val="20"/>
                <w:szCs w:val="20"/>
                <w:vertAlign w:val="subscript"/>
              </w:rPr>
              <w:t>i</w:t>
            </w:r>
            <w:proofErr w:type="spellEnd"/>
          </w:p>
        </w:tc>
        <w:tc>
          <w:tcPr>
            <w:tcW w:w="0" w:type="auto"/>
            <w:tcBorders>
              <w:top w:val="nil"/>
              <w:left w:val="nil"/>
              <w:bottom w:val="nil"/>
              <w:right w:val="nil"/>
            </w:tcBorders>
            <w:shd w:val="clear" w:color="auto" w:fill="auto"/>
            <w:noWrap/>
            <w:vAlign w:val="bottom"/>
            <w:hideMark/>
          </w:tcPr>
          <w:p w14:paraId="45659CEF"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 xml:space="preserve">First-order (AR1) autocorrelation coefficient for stock </w:t>
            </w:r>
            <w:proofErr w:type="spellStart"/>
            <w:r w:rsidRPr="00EF25F8">
              <w:rPr>
                <w:rFonts w:ascii="Calibri" w:eastAsia="Times New Roman" w:hAnsi="Calibri" w:cs="Calibri"/>
                <w:i/>
                <w:iCs/>
                <w:sz w:val="20"/>
                <w:szCs w:val="20"/>
              </w:rPr>
              <w:t>i</w:t>
            </w:r>
            <w:proofErr w:type="spellEnd"/>
          </w:p>
        </w:tc>
      </w:tr>
      <w:tr w:rsidR="00EF25F8" w:rsidRPr="00EF25F8" w14:paraId="06FC7CBB" w14:textId="77777777" w:rsidTr="00EF25F8">
        <w:trPr>
          <w:trHeight w:val="288"/>
        </w:trPr>
        <w:tc>
          <w:tcPr>
            <w:tcW w:w="0" w:type="auto"/>
            <w:tcBorders>
              <w:top w:val="nil"/>
              <w:left w:val="nil"/>
              <w:bottom w:val="nil"/>
              <w:right w:val="nil"/>
            </w:tcBorders>
            <w:shd w:val="clear" w:color="auto" w:fill="auto"/>
            <w:noWrap/>
            <w:vAlign w:val="bottom"/>
            <w:hideMark/>
          </w:tcPr>
          <w:p w14:paraId="177706CA"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Index</w:t>
            </w:r>
          </w:p>
        </w:tc>
        <w:tc>
          <w:tcPr>
            <w:tcW w:w="0" w:type="auto"/>
            <w:tcBorders>
              <w:top w:val="nil"/>
              <w:left w:val="nil"/>
              <w:bottom w:val="nil"/>
              <w:right w:val="nil"/>
            </w:tcBorders>
            <w:shd w:val="clear" w:color="auto" w:fill="auto"/>
            <w:noWrap/>
            <w:vAlign w:val="bottom"/>
            <w:hideMark/>
          </w:tcPr>
          <w:p w14:paraId="4C4C352B"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t</w:t>
            </w:r>
          </w:p>
        </w:tc>
        <w:tc>
          <w:tcPr>
            <w:tcW w:w="0" w:type="auto"/>
            <w:tcBorders>
              <w:top w:val="nil"/>
              <w:left w:val="nil"/>
              <w:bottom w:val="nil"/>
              <w:right w:val="nil"/>
            </w:tcBorders>
            <w:shd w:val="clear" w:color="auto" w:fill="auto"/>
            <w:noWrap/>
            <w:vAlign w:val="bottom"/>
            <w:hideMark/>
          </w:tcPr>
          <w:p w14:paraId="22A09EE5"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Year</w:t>
            </w:r>
          </w:p>
        </w:tc>
      </w:tr>
      <w:tr w:rsidR="00EF25F8" w:rsidRPr="00EF25F8" w14:paraId="539CF13B" w14:textId="77777777" w:rsidTr="00EF25F8">
        <w:trPr>
          <w:trHeight w:val="288"/>
        </w:trPr>
        <w:tc>
          <w:tcPr>
            <w:tcW w:w="0" w:type="auto"/>
            <w:tcBorders>
              <w:top w:val="nil"/>
              <w:left w:val="nil"/>
              <w:bottom w:val="nil"/>
              <w:right w:val="nil"/>
            </w:tcBorders>
            <w:shd w:val="clear" w:color="auto" w:fill="auto"/>
            <w:noWrap/>
            <w:vAlign w:val="bottom"/>
            <w:hideMark/>
          </w:tcPr>
          <w:p w14:paraId="1F49B4A1"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Index</w:t>
            </w:r>
          </w:p>
        </w:tc>
        <w:tc>
          <w:tcPr>
            <w:tcW w:w="0" w:type="auto"/>
            <w:tcBorders>
              <w:top w:val="nil"/>
              <w:left w:val="nil"/>
              <w:bottom w:val="nil"/>
              <w:right w:val="nil"/>
            </w:tcBorders>
            <w:shd w:val="clear" w:color="auto" w:fill="auto"/>
            <w:noWrap/>
            <w:vAlign w:val="bottom"/>
            <w:hideMark/>
          </w:tcPr>
          <w:p w14:paraId="69A33BC8" w14:textId="77777777" w:rsidR="00EF25F8" w:rsidRPr="00EF25F8" w:rsidRDefault="00EF25F8" w:rsidP="00EF25F8">
            <w:pPr>
              <w:rPr>
                <w:rFonts w:ascii="Calibri" w:eastAsia="Times New Roman" w:hAnsi="Calibri" w:cs="Calibri"/>
                <w:sz w:val="20"/>
                <w:szCs w:val="20"/>
              </w:rPr>
            </w:pPr>
            <w:proofErr w:type="spellStart"/>
            <w:r w:rsidRPr="00EF25F8">
              <w:rPr>
                <w:rFonts w:ascii="Calibri" w:eastAsia="Times New Roman" w:hAnsi="Calibri" w:cs="Calibri"/>
                <w:sz w:val="20"/>
                <w:szCs w:val="20"/>
              </w:rPr>
              <w:t>i</w:t>
            </w:r>
            <w:proofErr w:type="spellEnd"/>
          </w:p>
        </w:tc>
        <w:tc>
          <w:tcPr>
            <w:tcW w:w="0" w:type="auto"/>
            <w:tcBorders>
              <w:top w:val="nil"/>
              <w:left w:val="nil"/>
              <w:bottom w:val="nil"/>
              <w:right w:val="nil"/>
            </w:tcBorders>
            <w:shd w:val="clear" w:color="auto" w:fill="auto"/>
            <w:noWrap/>
            <w:vAlign w:val="bottom"/>
            <w:hideMark/>
          </w:tcPr>
          <w:p w14:paraId="363969CF"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Stock</w:t>
            </w:r>
          </w:p>
        </w:tc>
      </w:tr>
      <w:tr w:rsidR="00EF25F8" w:rsidRPr="00EF25F8" w14:paraId="06B17753" w14:textId="77777777" w:rsidTr="00EF25F8">
        <w:trPr>
          <w:trHeight w:val="288"/>
        </w:trPr>
        <w:tc>
          <w:tcPr>
            <w:tcW w:w="0" w:type="auto"/>
            <w:tcBorders>
              <w:top w:val="nil"/>
              <w:left w:val="nil"/>
              <w:bottom w:val="nil"/>
              <w:right w:val="nil"/>
            </w:tcBorders>
            <w:shd w:val="clear" w:color="auto" w:fill="auto"/>
            <w:noWrap/>
            <w:vAlign w:val="bottom"/>
            <w:hideMark/>
          </w:tcPr>
          <w:p w14:paraId="46DF45C4"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Index</w:t>
            </w:r>
          </w:p>
        </w:tc>
        <w:tc>
          <w:tcPr>
            <w:tcW w:w="0" w:type="auto"/>
            <w:tcBorders>
              <w:top w:val="nil"/>
              <w:left w:val="nil"/>
              <w:bottom w:val="nil"/>
              <w:right w:val="nil"/>
            </w:tcBorders>
            <w:shd w:val="clear" w:color="auto" w:fill="auto"/>
            <w:noWrap/>
            <w:vAlign w:val="bottom"/>
            <w:hideMark/>
          </w:tcPr>
          <w:p w14:paraId="7E84482A"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j</w:t>
            </w:r>
          </w:p>
        </w:tc>
        <w:tc>
          <w:tcPr>
            <w:tcW w:w="0" w:type="auto"/>
            <w:tcBorders>
              <w:top w:val="nil"/>
              <w:left w:val="nil"/>
              <w:bottom w:val="nil"/>
              <w:right w:val="nil"/>
            </w:tcBorders>
            <w:shd w:val="clear" w:color="auto" w:fill="auto"/>
            <w:noWrap/>
            <w:vAlign w:val="bottom"/>
            <w:hideMark/>
          </w:tcPr>
          <w:p w14:paraId="33D17CE7" w14:textId="77777777" w:rsidR="00EF25F8" w:rsidRPr="00EF25F8" w:rsidRDefault="00EF25F8" w:rsidP="00EF25F8">
            <w:pPr>
              <w:rPr>
                <w:rFonts w:ascii="Calibri" w:eastAsia="Times New Roman" w:hAnsi="Calibri" w:cs="Calibri"/>
                <w:sz w:val="20"/>
                <w:szCs w:val="20"/>
              </w:rPr>
            </w:pPr>
            <w:r w:rsidRPr="00EF25F8">
              <w:rPr>
                <w:rFonts w:ascii="Calibri" w:eastAsia="Times New Roman" w:hAnsi="Calibri" w:cs="Calibri"/>
                <w:sz w:val="20"/>
                <w:szCs w:val="20"/>
              </w:rPr>
              <w:t>Group (taxonomic or geographic)</w:t>
            </w:r>
          </w:p>
        </w:tc>
      </w:tr>
    </w:tbl>
    <w:p w14:paraId="0ADB0C91" w14:textId="77777777" w:rsidR="00EF25F8" w:rsidRPr="009D61BC" w:rsidRDefault="00EF25F8">
      <w:pPr>
        <w:rPr>
          <w:rFonts w:cstheme="minorHAnsi"/>
          <w:color w:val="000000" w:themeColor="text1"/>
        </w:rPr>
      </w:pPr>
    </w:p>
    <w:p w14:paraId="6D89959D" w14:textId="0E495958" w:rsidR="007A52C1" w:rsidRDefault="007A52C1">
      <w:pPr>
        <w:rPr>
          <w:rFonts w:cstheme="minorHAnsi"/>
          <w:color w:val="FF0000"/>
        </w:rPr>
      </w:pPr>
      <w:r>
        <w:rPr>
          <w:rFonts w:cstheme="minorHAnsi"/>
          <w:color w:val="FF0000"/>
        </w:rPr>
        <w:br w:type="page"/>
      </w:r>
    </w:p>
    <w:p w14:paraId="47005348" w14:textId="463C281B" w:rsidR="00C26590" w:rsidRPr="007A52C1" w:rsidRDefault="007A52C1" w:rsidP="00C26590">
      <w:pPr>
        <w:rPr>
          <w:rFonts w:cstheme="minorHAnsi"/>
          <w:b/>
          <w:color w:val="000000" w:themeColor="text1"/>
        </w:rPr>
      </w:pPr>
      <w:r w:rsidRPr="007A52C1">
        <w:rPr>
          <w:rFonts w:cstheme="minorHAnsi"/>
          <w:b/>
          <w:color w:val="000000" w:themeColor="text1"/>
        </w:rPr>
        <w:lastRenderedPageBreak/>
        <w:t>Appendix captions</w:t>
      </w:r>
    </w:p>
    <w:p w14:paraId="6C03A259" w14:textId="0CDB6059" w:rsidR="00856210" w:rsidRDefault="00856210" w:rsidP="00C26590">
      <w:pPr>
        <w:rPr>
          <w:rFonts w:cstheme="minorHAnsi"/>
          <w:color w:val="FF0000"/>
        </w:rPr>
      </w:pPr>
    </w:p>
    <w:p w14:paraId="570BFAF7" w14:textId="5108C908" w:rsidR="007A52C1" w:rsidRDefault="00D46ABD" w:rsidP="00C26590">
      <w:pPr>
        <w:rPr>
          <w:rFonts w:cstheme="minorHAnsi"/>
          <w:color w:val="FF0000"/>
        </w:rPr>
      </w:pPr>
      <w:r w:rsidRPr="00AD4B3E">
        <w:rPr>
          <w:rFonts w:cstheme="minorHAnsi"/>
          <w:b/>
        </w:rPr>
        <w:t xml:space="preserve">Appendix A. </w:t>
      </w:r>
      <w:r w:rsidRPr="00AD4B3E">
        <w:rPr>
          <w:rFonts w:cstheme="minorHAnsi"/>
        </w:rPr>
        <w:t xml:space="preserve">Biomass, recruitment, and catch time series and associated </w:t>
      </w:r>
      <w:r w:rsidR="0023313C">
        <w:rPr>
          <w:rFonts w:cstheme="minorHAnsi"/>
        </w:rPr>
        <w:t xml:space="preserve">stock-recruit and </w:t>
      </w:r>
      <w:r w:rsidRPr="00AD4B3E">
        <w:rPr>
          <w:rFonts w:cstheme="minorHAnsi"/>
        </w:rPr>
        <w:t xml:space="preserve">surplus production relationships for </w:t>
      </w:r>
      <w:r w:rsidRPr="00C749FF">
        <w:rPr>
          <w:rFonts w:cstheme="minorHAnsi"/>
          <w:color w:val="FF0000"/>
        </w:rPr>
        <w:t>3</w:t>
      </w:r>
      <w:r w:rsidR="00D14E42">
        <w:rPr>
          <w:rFonts w:cstheme="minorHAnsi"/>
          <w:color w:val="FF0000"/>
        </w:rPr>
        <w:t>28</w:t>
      </w:r>
      <w:r w:rsidRPr="00AD4B3E">
        <w:rPr>
          <w:rFonts w:cstheme="minorHAnsi"/>
        </w:rPr>
        <w:t xml:space="preserve"> candidate RAM</w:t>
      </w:r>
      <w:r w:rsidR="00C749FF">
        <w:rPr>
          <w:rFonts w:cstheme="minorHAnsi"/>
        </w:rPr>
        <w:t xml:space="preserve"> Legacy Database</w:t>
      </w:r>
      <w:r w:rsidRPr="00AD4B3E">
        <w:rPr>
          <w:rFonts w:cstheme="minorHAnsi"/>
        </w:rPr>
        <w:t xml:space="preserve"> stocks. In the time series plots, vertical dashed lines indicate whe</w:t>
      </w:r>
      <w:bookmarkStart w:id="0" w:name="_GoBack"/>
      <w:bookmarkEnd w:id="0"/>
      <w:r w:rsidRPr="00AD4B3E">
        <w:rPr>
          <w:rFonts w:cstheme="minorHAnsi"/>
        </w:rPr>
        <w:t xml:space="preserve">re time series were trimmed to remove strong model assumptions. In the stock-recruit </w:t>
      </w:r>
      <w:r w:rsidR="00937C9B">
        <w:rPr>
          <w:rFonts w:cstheme="minorHAnsi"/>
        </w:rPr>
        <w:t xml:space="preserve">and </w:t>
      </w:r>
      <w:r w:rsidR="00937C9B" w:rsidRPr="00AD4B3E">
        <w:rPr>
          <w:rFonts w:cstheme="minorHAnsi"/>
        </w:rPr>
        <w:t xml:space="preserve">surplus production </w:t>
      </w:r>
      <w:r w:rsidRPr="00AD4B3E">
        <w:rPr>
          <w:rFonts w:cstheme="minorHAnsi"/>
        </w:rPr>
        <w:t xml:space="preserve">plots, red points indicate years trimmed from the time series. Stocks labeled in red and with a red asterisk in their </w:t>
      </w:r>
      <w:r w:rsidR="007D7AC4">
        <w:rPr>
          <w:rFonts w:cstheme="minorHAnsi"/>
        </w:rPr>
        <w:t>stock-recruit</w:t>
      </w:r>
      <w:r w:rsidRPr="00AD4B3E">
        <w:rPr>
          <w:rFonts w:cstheme="minorHAnsi"/>
        </w:rPr>
        <w:t xml:space="preserve"> plots were removed from the analysis due to </w:t>
      </w:r>
      <w:r w:rsidR="00292A09">
        <w:rPr>
          <w:rFonts w:cstheme="minorHAnsi"/>
        </w:rPr>
        <w:t>an assumed stock-recruit relationship</w:t>
      </w:r>
      <w:r w:rsidRPr="00AD4B3E">
        <w:rPr>
          <w:rFonts w:cstheme="minorHAnsi"/>
        </w:rPr>
        <w:t>.</w:t>
      </w:r>
    </w:p>
    <w:p w14:paraId="3D2FCBA9" w14:textId="6DA4E09E" w:rsidR="00D46ABD" w:rsidRDefault="00D46ABD" w:rsidP="00C26590">
      <w:pPr>
        <w:rPr>
          <w:rFonts w:cstheme="minorHAnsi"/>
          <w:color w:val="FF0000"/>
        </w:rPr>
      </w:pPr>
    </w:p>
    <w:p w14:paraId="4F00D11B" w14:textId="67DE5C72" w:rsidR="005A760B" w:rsidRPr="00AD4B3E" w:rsidRDefault="00D46ABD" w:rsidP="00D46ABD">
      <w:pPr>
        <w:rPr>
          <w:rFonts w:cstheme="minorHAnsi"/>
        </w:rPr>
      </w:pPr>
      <w:r w:rsidRPr="00AD4B3E">
        <w:rPr>
          <w:rFonts w:cstheme="minorHAnsi"/>
          <w:b/>
        </w:rPr>
        <w:t xml:space="preserve">Appendix </w:t>
      </w:r>
      <w:r>
        <w:rPr>
          <w:rFonts w:cstheme="minorHAnsi"/>
          <w:b/>
        </w:rPr>
        <w:t>B</w:t>
      </w:r>
      <w:r w:rsidRPr="00AD4B3E">
        <w:rPr>
          <w:rFonts w:cstheme="minorHAnsi"/>
          <w:b/>
        </w:rPr>
        <w:t>.</w:t>
      </w:r>
      <w:r w:rsidRPr="00AD4B3E">
        <w:rPr>
          <w:rFonts w:cstheme="minorHAnsi"/>
        </w:rPr>
        <w:t xml:space="preserve"> SST-linked </w:t>
      </w:r>
      <w:r>
        <w:rPr>
          <w:rFonts w:cstheme="minorHAnsi"/>
        </w:rPr>
        <w:t xml:space="preserve">stock-recruit relationships </w:t>
      </w:r>
      <w:r w:rsidRPr="00AD4B3E">
        <w:rPr>
          <w:rFonts w:cstheme="minorHAnsi"/>
        </w:rPr>
        <w:t>for the 23</w:t>
      </w:r>
      <w:r>
        <w:rPr>
          <w:rFonts w:cstheme="minorHAnsi"/>
        </w:rPr>
        <w:t>9</w:t>
      </w:r>
      <w:r w:rsidRPr="00AD4B3E">
        <w:rPr>
          <w:rFonts w:cstheme="minorHAnsi"/>
        </w:rPr>
        <w:t xml:space="preserve"> stocks used in the analysis. Blue points represent cooler than average years and red points represent warmer than average years. </w:t>
      </w:r>
      <w:r>
        <w:rPr>
          <w:rFonts w:cstheme="minorHAnsi"/>
        </w:rPr>
        <w:t>Black</w:t>
      </w:r>
      <w:r w:rsidRPr="00AD4B3E">
        <w:rPr>
          <w:rFonts w:cstheme="minorHAnsi"/>
        </w:rPr>
        <w:t xml:space="preserve"> lines show </w:t>
      </w:r>
      <w:r>
        <w:rPr>
          <w:rFonts w:cstheme="minorHAnsi"/>
        </w:rPr>
        <w:t>stock-recruit relationships</w:t>
      </w:r>
      <w:r w:rsidRPr="00AD4B3E">
        <w:rPr>
          <w:rFonts w:cstheme="minorHAnsi"/>
        </w:rPr>
        <w:t xml:space="preserve"> at each stock’s average temperature. Blue and red lines show </w:t>
      </w:r>
      <w:r w:rsidR="00554D9D">
        <w:rPr>
          <w:rFonts w:cstheme="minorHAnsi"/>
        </w:rPr>
        <w:t>stock-recruit relationships</w:t>
      </w:r>
      <w:r w:rsidRPr="00AD4B3E">
        <w:rPr>
          <w:rFonts w:cstheme="minorHAnsi"/>
        </w:rPr>
        <w:t xml:space="preserve"> at temperatures progressively cooler and warmer from the average, respectively. Stocks with positive SST influences are more productive at warmer temperatures (red curves on top) and stocks with negative SST influences are more productive at cooler temperatures (blue curves on top). SST influences (</w:t>
      </w:r>
      <w:proofErr w:type="spellStart"/>
      <w:r w:rsidRPr="00AD4B3E">
        <w:rPr>
          <w:rFonts w:cstheme="minorHAnsi"/>
          <w:color w:val="222222"/>
          <w:shd w:val="clear" w:color="auto" w:fill="FFFFFF"/>
        </w:rPr>
        <w:t>θ</w:t>
      </w:r>
      <w:r w:rsidRPr="00AD4B3E">
        <w:rPr>
          <w:rFonts w:cstheme="minorHAnsi"/>
          <w:vertAlign w:val="subscript"/>
        </w:rPr>
        <w:t>i</w:t>
      </w:r>
      <w:proofErr w:type="spellEnd"/>
      <w:r w:rsidRPr="00AD4B3E">
        <w:rPr>
          <w:rFonts w:cstheme="minorHAnsi"/>
        </w:rPr>
        <w:t>) are shown in the top-left corner of each plot and are colored to indicate the direction and significance of the SST influence (blue=positive, red=negative, bold=significant).</w:t>
      </w:r>
    </w:p>
    <w:p w14:paraId="6949FF83" w14:textId="77777777" w:rsidR="00D46ABD" w:rsidRDefault="00D46ABD" w:rsidP="00C26590">
      <w:pPr>
        <w:rPr>
          <w:rFonts w:cstheme="minorHAnsi"/>
          <w:color w:val="FF0000"/>
        </w:rPr>
      </w:pPr>
    </w:p>
    <w:p w14:paraId="7FDD8963" w14:textId="77777777" w:rsidR="00C26590" w:rsidRPr="00065068" w:rsidRDefault="00C26590" w:rsidP="00C26590">
      <w:pPr>
        <w:rPr>
          <w:rFonts w:cstheme="minorHAnsi"/>
          <w:color w:val="FF0000"/>
        </w:rPr>
      </w:pPr>
    </w:p>
    <w:p w14:paraId="78405B55" w14:textId="77777777" w:rsidR="001A6EC3" w:rsidRPr="004C68AD" w:rsidRDefault="001A6EC3"/>
    <w:sectPr w:rsidR="001A6EC3" w:rsidRPr="004C68AD" w:rsidSect="0095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Body)">
    <w:altName w:val="Calibri"/>
    <w:panose1 w:val="020B0604020202020204"/>
    <w:charset w:val="00"/>
    <w:family w:val="auto"/>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E2D"/>
    <w:multiLevelType w:val="hybridMultilevel"/>
    <w:tmpl w:val="2448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B35D4"/>
    <w:multiLevelType w:val="hybridMultilevel"/>
    <w:tmpl w:val="832A5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807969"/>
    <w:multiLevelType w:val="hybridMultilevel"/>
    <w:tmpl w:val="F00A46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2205A"/>
    <w:multiLevelType w:val="hybridMultilevel"/>
    <w:tmpl w:val="C4C2E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AD"/>
    <w:rsid w:val="00007D3F"/>
    <w:rsid w:val="00020F92"/>
    <w:rsid w:val="00023C5D"/>
    <w:rsid w:val="000506BB"/>
    <w:rsid w:val="00055E79"/>
    <w:rsid w:val="00065068"/>
    <w:rsid w:val="000929B8"/>
    <w:rsid w:val="000A70B4"/>
    <w:rsid w:val="000B0BE0"/>
    <w:rsid w:val="000D4543"/>
    <w:rsid w:val="000F6AA3"/>
    <w:rsid w:val="000F7F55"/>
    <w:rsid w:val="00100426"/>
    <w:rsid w:val="00132E04"/>
    <w:rsid w:val="001464DE"/>
    <w:rsid w:val="0016257F"/>
    <w:rsid w:val="00180AF8"/>
    <w:rsid w:val="00181136"/>
    <w:rsid w:val="001A6EC3"/>
    <w:rsid w:val="001D6437"/>
    <w:rsid w:val="001E1608"/>
    <w:rsid w:val="00213F40"/>
    <w:rsid w:val="00226ECC"/>
    <w:rsid w:val="00232ECE"/>
    <w:rsid w:val="0023313C"/>
    <w:rsid w:val="00233178"/>
    <w:rsid w:val="0027434A"/>
    <w:rsid w:val="00281BDB"/>
    <w:rsid w:val="00292A09"/>
    <w:rsid w:val="002B36E6"/>
    <w:rsid w:val="002B6CD3"/>
    <w:rsid w:val="002C1E8F"/>
    <w:rsid w:val="002E0FF3"/>
    <w:rsid w:val="002E38B3"/>
    <w:rsid w:val="002E4977"/>
    <w:rsid w:val="002F1CB9"/>
    <w:rsid w:val="002F4954"/>
    <w:rsid w:val="003118CA"/>
    <w:rsid w:val="00314C21"/>
    <w:rsid w:val="0033467D"/>
    <w:rsid w:val="00384454"/>
    <w:rsid w:val="00387A7D"/>
    <w:rsid w:val="0039255A"/>
    <w:rsid w:val="003970FA"/>
    <w:rsid w:val="003A37D4"/>
    <w:rsid w:val="003B2BF4"/>
    <w:rsid w:val="003B2EAB"/>
    <w:rsid w:val="003B447B"/>
    <w:rsid w:val="003B4B93"/>
    <w:rsid w:val="003B664F"/>
    <w:rsid w:val="003D6F42"/>
    <w:rsid w:val="003E0B40"/>
    <w:rsid w:val="003E14DA"/>
    <w:rsid w:val="003E326B"/>
    <w:rsid w:val="004111AD"/>
    <w:rsid w:val="00412992"/>
    <w:rsid w:val="00446982"/>
    <w:rsid w:val="00454C44"/>
    <w:rsid w:val="0047000E"/>
    <w:rsid w:val="004B2AB9"/>
    <w:rsid w:val="004B3BE4"/>
    <w:rsid w:val="004C68AD"/>
    <w:rsid w:val="004E0813"/>
    <w:rsid w:val="004F6B25"/>
    <w:rsid w:val="00502517"/>
    <w:rsid w:val="00523B41"/>
    <w:rsid w:val="00540387"/>
    <w:rsid w:val="00553767"/>
    <w:rsid w:val="00554D9D"/>
    <w:rsid w:val="00560253"/>
    <w:rsid w:val="005A760B"/>
    <w:rsid w:val="005B76B3"/>
    <w:rsid w:val="005C6817"/>
    <w:rsid w:val="005D769C"/>
    <w:rsid w:val="00611D91"/>
    <w:rsid w:val="00620E9C"/>
    <w:rsid w:val="00672DA8"/>
    <w:rsid w:val="00672F2D"/>
    <w:rsid w:val="00687018"/>
    <w:rsid w:val="00691194"/>
    <w:rsid w:val="006A6FDD"/>
    <w:rsid w:val="006B4ACA"/>
    <w:rsid w:val="006E7C9A"/>
    <w:rsid w:val="00726A17"/>
    <w:rsid w:val="00726CE2"/>
    <w:rsid w:val="00736078"/>
    <w:rsid w:val="007872DB"/>
    <w:rsid w:val="007A52C1"/>
    <w:rsid w:val="007B7A92"/>
    <w:rsid w:val="007D7AC4"/>
    <w:rsid w:val="007F1289"/>
    <w:rsid w:val="007F5533"/>
    <w:rsid w:val="007F659B"/>
    <w:rsid w:val="00802CE8"/>
    <w:rsid w:val="0085459E"/>
    <w:rsid w:val="00856210"/>
    <w:rsid w:val="0086256E"/>
    <w:rsid w:val="0086308B"/>
    <w:rsid w:val="008633C2"/>
    <w:rsid w:val="00870C74"/>
    <w:rsid w:val="00895A38"/>
    <w:rsid w:val="0089711A"/>
    <w:rsid w:val="00897A22"/>
    <w:rsid w:val="008A5C59"/>
    <w:rsid w:val="008B2434"/>
    <w:rsid w:val="008B3548"/>
    <w:rsid w:val="008C14AE"/>
    <w:rsid w:val="008D5F1E"/>
    <w:rsid w:val="008E324E"/>
    <w:rsid w:val="00903E23"/>
    <w:rsid w:val="00931863"/>
    <w:rsid w:val="00933472"/>
    <w:rsid w:val="00937C9B"/>
    <w:rsid w:val="009537B2"/>
    <w:rsid w:val="00957B75"/>
    <w:rsid w:val="00961D13"/>
    <w:rsid w:val="009A2357"/>
    <w:rsid w:val="009A6C19"/>
    <w:rsid w:val="009B59A6"/>
    <w:rsid w:val="009C52B6"/>
    <w:rsid w:val="009C5EEE"/>
    <w:rsid w:val="009D35C7"/>
    <w:rsid w:val="009D61BC"/>
    <w:rsid w:val="00A0223E"/>
    <w:rsid w:val="00A328D2"/>
    <w:rsid w:val="00A41439"/>
    <w:rsid w:val="00A50D0B"/>
    <w:rsid w:val="00A532EF"/>
    <w:rsid w:val="00A804D3"/>
    <w:rsid w:val="00A84740"/>
    <w:rsid w:val="00A95B4D"/>
    <w:rsid w:val="00A9639C"/>
    <w:rsid w:val="00AD02C9"/>
    <w:rsid w:val="00B30CC6"/>
    <w:rsid w:val="00B56741"/>
    <w:rsid w:val="00B7552B"/>
    <w:rsid w:val="00B75BEE"/>
    <w:rsid w:val="00B83319"/>
    <w:rsid w:val="00B8559F"/>
    <w:rsid w:val="00B904EE"/>
    <w:rsid w:val="00BE04FC"/>
    <w:rsid w:val="00BE31E9"/>
    <w:rsid w:val="00BE3489"/>
    <w:rsid w:val="00BF1DC7"/>
    <w:rsid w:val="00C05D85"/>
    <w:rsid w:val="00C073C7"/>
    <w:rsid w:val="00C26590"/>
    <w:rsid w:val="00C33A56"/>
    <w:rsid w:val="00C41968"/>
    <w:rsid w:val="00C43398"/>
    <w:rsid w:val="00C51742"/>
    <w:rsid w:val="00C749FF"/>
    <w:rsid w:val="00C90BD9"/>
    <w:rsid w:val="00C94065"/>
    <w:rsid w:val="00CC73CD"/>
    <w:rsid w:val="00CD085D"/>
    <w:rsid w:val="00CE0760"/>
    <w:rsid w:val="00D14E42"/>
    <w:rsid w:val="00D2718D"/>
    <w:rsid w:val="00D32C29"/>
    <w:rsid w:val="00D35114"/>
    <w:rsid w:val="00D46ABD"/>
    <w:rsid w:val="00D55E96"/>
    <w:rsid w:val="00D6725D"/>
    <w:rsid w:val="00D901D8"/>
    <w:rsid w:val="00DA36F4"/>
    <w:rsid w:val="00DD250B"/>
    <w:rsid w:val="00DF0442"/>
    <w:rsid w:val="00E2562C"/>
    <w:rsid w:val="00E36066"/>
    <w:rsid w:val="00E6184A"/>
    <w:rsid w:val="00E72AC2"/>
    <w:rsid w:val="00E76217"/>
    <w:rsid w:val="00E85D7B"/>
    <w:rsid w:val="00EA42A4"/>
    <w:rsid w:val="00EB7218"/>
    <w:rsid w:val="00EB76FF"/>
    <w:rsid w:val="00EC7781"/>
    <w:rsid w:val="00EC7C66"/>
    <w:rsid w:val="00ED5998"/>
    <w:rsid w:val="00ED6D19"/>
    <w:rsid w:val="00EE73F9"/>
    <w:rsid w:val="00EF25F8"/>
    <w:rsid w:val="00F14074"/>
    <w:rsid w:val="00F3655F"/>
    <w:rsid w:val="00F4331E"/>
    <w:rsid w:val="00F46EE7"/>
    <w:rsid w:val="00F6272F"/>
    <w:rsid w:val="00F77A80"/>
    <w:rsid w:val="00F84D80"/>
    <w:rsid w:val="00F90D10"/>
    <w:rsid w:val="00FB6898"/>
    <w:rsid w:val="00FE0DC2"/>
    <w:rsid w:val="00FF3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37611B"/>
  <w15:chartTrackingRefBased/>
  <w15:docId w15:val="{01A50BC6-0ADB-B648-A32F-CB8E329B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308B"/>
    <w:rPr>
      <w:color w:val="808080"/>
    </w:rPr>
  </w:style>
  <w:style w:type="paragraph" w:styleId="ListParagraph">
    <w:name w:val="List Paragraph"/>
    <w:basedOn w:val="Normal"/>
    <w:uiPriority w:val="34"/>
    <w:qFormat/>
    <w:rsid w:val="006B4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1964">
      <w:bodyDiv w:val="1"/>
      <w:marLeft w:val="0"/>
      <w:marRight w:val="0"/>
      <w:marTop w:val="0"/>
      <w:marBottom w:val="0"/>
      <w:divBdr>
        <w:top w:val="none" w:sz="0" w:space="0" w:color="auto"/>
        <w:left w:val="none" w:sz="0" w:space="0" w:color="auto"/>
        <w:bottom w:val="none" w:sz="0" w:space="0" w:color="auto"/>
        <w:right w:val="none" w:sz="0" w:space="0" w:color="auto"/>
      </w:divBdr>
    </w:div>
    <w:div w:id="298070458">
      <w:bodyDiv w:val="1"/>
      <w:marLeft w:val="0"/>
      <w:marRight w:val="0"/>
      <w:marTop w:val="0"/>
      <w:marBottom w:val="0"/>
      <w:divBdr>
        <w:top w:val="none" w:sz="0" w:space="0" w:color="auto"/>
        <w:left w:val="none" w:sz="0" w:space="0" w:color="auto"/>
        <w:bottom w:val="none" w:sz="0" w:space="0" w:color="auto"/>
        <w:right w:val="none" w:sz="0" w:space="0" w:color="auto"/>
      </w:divBdr>
    </w:div>
    <w:div w:id="342168652">
      <w:bodyDiv w:val="1"/>
      <w:marLeft w:val="0"/>
      <w:marRight w:val="0"/>
      <w:marTop w:val="0"/>
      <w:marBottom w:val="0"/>
      <w:divBdr>
        <w:top w:val="none" w:sz="0" w:space="0" w:color="auto"/>
        <w:left w:val="none" w:sz="0" w:space="0" w:color="auto"/>
        <w:bottom w:val="none" w:sz="0" w:space="0" w:color="auto"/>
        <w:right w:val="none" w:sz="0" w:space="0" w:color="auto"/>
      </w:divBdr>
    </w:div>
    <w:div w:id="567619634">
      <w:bodyDiv w:val="1"/>
      <w:marLeft w:val="0"/>
      <w:marRight w:val="0"/>
      <w:marTop w:val="0"/>
      <w:marBottom w:val="0"/>
      <w:divBdr>
        <w:top w:val="none" w:sz="0" w:space="0" w:color="auto"/>
        <w:left w:val="none" w:sz="0" w:space="0" w:color="auto"/>
        <w:bottom w:val="none" w:sz="0" w:space="0" w:color="auto"/>
        <w:right w:val="none" w:sz="0" w:space="0" w:color="auto"/>
      </w:divBdr>
      <w:divsChild>
        <w:div w:id="1054348314">
          <w:marLeft w:val="0"/>
          <w:marRight w:val="0"/>
          <w:marTop w:val="0"/>
          <w:marBottom w:val="0"/>
          <w:divBdr>
            <w:top w:val="none" w:sz="0" w:space="0" w:color="auto"/>
            <w:left w:val="none" w:sz="0" w:space="0" w:color="auto"/>
            <w:bottom w:val="none" w:sz="0" w:space="0" w:color="auto"/>
            <w:right w:val="none" w:sz="0" w:space="0" w:color="auto"/>
          </w:divBdr>
        </w:div>
      </w:divsChild>
    </w:div>
    <w:div w:id="629484042">
      <w:bodyDiv w:val="1"/>
      <w:marLeft w:val="0"/>
      <w:marRight w:val="0"/>
      <w:marTop w:val="0"/>
      <w:marBottom w:val="0"/>
      <w:divBdr>
        <w:top w:val="none" w:sz="0" w:space="0" w:color="auto"/>
        <w:left w:val="none" w:sz="0" w:space="0" w:color="auto"/>
        <w:bottom w:val="none" w:sz="0" w:space="0" w:color="auto"/>
        <w:right w:val="none" w:sz="0" w:space="0" w:color="auto"/>
      </w:divBdr>
      <w:divsChild>
        <w:div w:id="1918245891">
          <w:marLeft w:val="0"/>
          <w:marRight w:val="0"/>
          <w:marTop w:val="0"/>
          <w:marBottom w:val="0"/>
          <w:divBdr>
            <w:top w:val="none" w:sz="0" w:space="0" w:color="auto"/>
            <w:left w:val="none" w:sz="0" w:space="0" w:color="auto"/>
            <w:bottom w:val="none" w:sz="0" w:space="0" w:color="auto"/>
            <w:right w:val="none" w:sz="0" w:space="0" w:color="auto"/>
          </w:divBdr>
        </w:div>
      </w:divsChild>
    </w:div>
    <w:div w:id="698119286">
      <w:bodyDiv w:val="1"/>
      <w:marLeft w:val="0"/>
      <w:marRight w:val="0"/>
      <w:marTop w:val="0"/>
      <w:marBottom w:val="0"/>
      <w:divBdr>
        <w:top w:val="none" w:sz="0" w:space="0" w:color="auto"/>
        <w:left w:val="none" w:sz="0" w:space="0" w:color="auto"/>
        <w:bottom w:val="none" w:sz="0" w:space="0" w:color="auto"/>
        <w:right w:val="none" w:sz="0" w:space="0" w:color="auto"/>
      </w:divBdr>
      <w:divsChild>
        <w:div w:id="1077047388">
          <w:marLeft w:val="0"/>
          <w:marRight w:val="0"/>
          <w:marTop w:val="0"/>
          <w:marBottom w:val="0"/>
          <w:divBdr>
            <w:top w:val="none" w:sz="0" w:space="0" w:color="auto"/>
            <w:left w:val="none" w:sz="0" w:space="0" w:color="auto"/>
            <w:bottom w:val="none" w:sz="0" w:space="0" w:color="auto"/>
            <w:right w:val="none" w:sz="0" w:space="0" w:color="auto"/>
          </w:divBdr>
          <w:divsChild>
            <w:div w:id="1855462697">
              <w:marLeft w:val="0"/>
              <w:marRight w:val="0"/>
              <w:marTop w:val="0"/>
              <w:marBottom w:val="0"/>
              <w:divBdr>
                <w:top w:val="none" w:sz="0" w:space="0" w:color="auto"/>
                <w:left w:val="none" w:sz="0" w:space="0" w:color="auto"/>
                <w:bottom w:val="none" w:sz="0" w:space="0" w:color="auto"/>
                <w:right w:val="none" w:sz="0" w:space="0" w:color="auto"/>
              </w:divBdr>
              <w:divsChild>
                <w:div w:id="10625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81777">
      <w:bodyDiv w:val="1"/>
      <w:marLeft w:val="0"/>
      <w:marRight w:val="0"/>
      <w:marTop w:val="0"/>
      <w:marBottom w:val="0"/>
      <w:divBdr>
        <w:top w:val="none" w:sz="0" w:space="0" w:color="auto"/>
        <w:left w:val="none" w:sz="0" w:space="0" w:color="auto"/>
        <w:bottom w:val="none" w:sz="0" w:space="0" w:color="auto"/>
        <w:right w:val="none" w:sz="0" w:space="0" w:color="auto"/>
      </w:divBdr>
    </w:div>
    <w:div w:id="1123765430">
      <w:bodyDiv w:val="1"/>
      <w:marLeft w:val="0"/>
      <w:marRight w:val="0"/>
      <w:marTop w:val="0"/>
      <w:marBottom w:val="0"/>
      <w:divBdr>
        <w:top w:val="none" w:sz="0" w:space="0" w:color="auto"/>
        <w:left w:val="none" w:sz="0" w:space="0" w:color="auto"/>
        <w:bottom w:val="none" w:sz="0" w:space="0" w:color="auto"/>
        <w:right w:val="none" w:sz="0" w:space="0" w:color="auto"/>
      </w:divBdr>
    </w:div>
    <w:div w:id="1193836404">
      <w:bodyDiv w:val="1"/>
      <w:marLeft w:val="0"/>
      <w:marRight w:val="0"/>
      <w:marTop w:val="0"/>
      <w:marBottom w:val="0"/>
      <w:divBdr>
        <w:top w:val="none" w:sz="0" w:space="0" w:color="auto"/>
        <w:left w:val="none" w:sz="0" w:space="0" w:color="auto"/>
        <w:bottom w:val="none" w:sz="0" w:space="0" w:color="auto"/>
        <w:right w:val="none" w:sz="0" w:space="0" w:color="auto"/>
      </w:divBdr>
    </w:div>
    <w:div w:id="1387994952">
      <w:bodyDiv w:val="1"/>
      <w:marLeft w:val="0"/>
      <w:marRight w:val="0"/>
      <w:marTop w:val="0"/>
      <w:marBottom w:val="0"/>
      <w:divBdr>
        <w:top w:val="none" w:sz="0" w:space="0" w:color="auto"/>
        <w:left w:val="none" w:sz="0" w:space="0" w:color="auto"/>
        <w:bottom w:val="none" w:sz="0" w:space="0" w:color="auto"/>
        <w:right w:val="none" w:sz="0" w:space="0" w:color="auto"/>
      </w:divBdr>
    </w:div>
    <w:div w:id="1391033047">
      <w:bodyDiv w:val="1"/>
      <w:marLeft w:val="0"/>
      <w:marRight w:val="0"/>
      <w:marTop w:val="0"/>
      <w:marBottom w:val="0"/>
      <w:divBdr>
        <w:top w:val="none" w:sz="0" w:space="0" w:color="auto"/>
        <w:left w:val="none" w:sz="0" w:space="0" w:color="auto"/>
        <w:bottom w:val="none" w:sz="0" w:space="0" w:color="auto"/>
        <w:right w:val="none" w:sz="0" w:space="0" w:color="auto"/>
      </w:divBdr>
    </w:div>
    <w:div w:id="1527252059">
      <w:bodyDiv w:val="1"/>
      <w:marLeft w:val="0"/>
      <w:marRight w:val="0"/>
      <w:marTop w:val="0"/>
      <w:marBottom w:val="0"/>
      <w:divBdr>
        <w:top w:val="none" w:sz="0" w:space="0" w:color="auto"/>
        <w:left w:val="none" w:sz="0" w:space="0" w:color="auto"/>
        <w:bottom w:val="none" w:sz="0" w:space="0" w:color="auto"/>
        <w:right w:val="none" w:sz="0" w:space="0" w:color="auto"/>
      </w:divBdr>
      <w:divsChild>
        <w:div w:id="31003204">
          <w:marLeft w:val="0"/>
          <w:marRight w:val="0"/>
          <w:marTop w:val="0"/>
          <w:marBottom w:val="0"/>
          <w:divBdr>
            <w:top w:val="none" w:sz="0" w:space="0" w:color="auto"/>
            <w:left w:val="none" w:sz="0" w:space="0" w:color="auto"/>
            <w:bottom w:val="none" w:sz="0" w:space="0" w:color="auto"/>
            <w:right w:val="none" w:sz="0" w:space="0" w:color="auto"/>
          </w:divBdr>
          <w:divsChild>
            <w:div w:id="816145695">
              <w:marLeft w:val="0"/>
              <w:marRight w:val="0"/>
              <w:marTop w:val="0"/>
              <w:marBottom w:val="0"/>
              <w:divBdr>
                <w:top w:val="none" w:sz="0" w:space="0" w:color="auto"/>
                <w:left w:val="none" w:sz="0" w:space="0" w:color="auto"/>
                <w:bottom w:val="none" w:sz="0" w:space="0" w:color="auto"/>
                <w:right w:val="none" w:sz="0" w:space="0" w:color="auto"/>
              </w:divBdr>
              <w:divsChild>
                <w:div w:id="5500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79828">
      <w:bodyDiv w:val="1"/>
      <w:marLeft w:val="0"/>
      <w:marRight w:val="0"/>
      <w:marTop w:val="0"/>
      <w:marBottom w:val="0"/>
      <w:divBdr>
        <w:top w:val="none" w:sz="0" w:space="0" w:color="auto"/>
        <w:left w:val="none" w:sz="0" w:space="0" w:color="auto"/>
        <w:bottom w:val="none" w:sz="0" w:space="0" w:color="auto"/>
        <w:right w:val="none" w:sz="0" w:space="0" w:color="auto"/>
      </w:divBdr>
    </w:div>
    <w:div w:id="1554390655">
      <w:bodyDiv w:val="1"/>
      <w:marLeft w:val="0"/>
      <w:marRight w:val="0"/>
      <w:marTop w:val="0"/>
      <w:marBottom w:val="0"/>
      <w:divBdr>
        <w:top w:val="none" w:sz="0" w:space="0" w:color="auto"/>
        <w:left w:val="none" w:sz="0" w:space="0" w:color="auto"/>
        <w:bottom w:val="none" w:sz="0" w:space="0" w:color="auto"/>
        <w:right w:val="none" w:sz="0" w:space="0" w:color="auto"/>
      </w:divBdr>
    </w:div>
    <w:div w:id="1620334004">
      <w:bodyDiv w:val="1"/>
      <w:marLeft w:val="0"/>
      <w:marRight w:val="0"/>
      <w:marTop w:val="0"/>
      <w:marBottom w:val="0"/>
      <w:divBdr>
        <w:top w:val="none" w:sz="0" w:space="0" w:color="auto"/>
        <w:left w:val="none" w:sz="0" w:space="0" w:color="auto"/>
        <w:bottom w:val="none" w:sz="0" w:space="0" w:color="auto"/>
        <w:right w:val="none" w:sz="0" w:space="0" w:color="auto"/>
      </w:divBdr>
    </w:div>
    <w:div w:id="1631478276">
      <w:bodyDiv w:val="1"/>
      <w:marLeft w:val="0"/>
      <w:marRight w:val="0"/>
      <w:marTop w:val="0"/>
      <w:marBottom w:val="0"/>
      <w:divBdr>
        <w:top w:val="none" w:sz="0" w:space="0" w:color="auto"/>
        <w:left w:val="none" w:sz="0" w:space="0" w:color="auto"/>
        <w:bottom w:val="none" w:sz="0" w:space="0" w:color="auto"/>
        <w:right w:val="none" w:sz="0" w:space="0" w:color="auto"/>
      </w:divBdr>
    </w:div>
    <w:div w:id="1807354157">
      <w:bodyDiv w:val="1"/>
      <w:marLeft w:val="0"/>
      <w:marRight w:val="0"/>
      <w:marTop w:val="0"/>
      <w:marBottom w:val="0"/>
      <w:divBdr>
        <w:top w:val="none" w:sz="0" w:space="0" w:color="auto"/>
        <w:left w:val="none" w:sz="0" w:space="0" w:color="auto"/>
        <w:bottom w:val="none" w:sz="0" w:space="0" w:color="auto"/>
        <w:right w:val="none" w:sz="0" w:space="0" w:color="auto"/>
      </w:divBdr>
    </w:div>
    <w:div w:id="1842505279">
      <w:bodyDiv w:val="1"/>
      <w:marLeft w:val="0"/>
      <w:marRight w:val="0"/>
      <w:marTop w:val="0"/>
      <w:marBottom w:val="0"/>
      <w:divBdr>
        <w:top w:val="none" w:sz="0" w:space="0" w:color="auto"/>
        <w:left w:val="none" w:sz="0" w:space="0" w:color="auto"/>
        <w:bottom w:val="none" w:sz="0" w:space="0" w:color="auto"/>
        <w:right w:val="none" w:sz="0" w:space="0" w:color="auto"/>
      </w:divBdr>
    </w:div>
    <w:div w:id="1925608223">
      <w:bodyDiv w:val="1"/>
      <w:marLeft w:val="0"/>
      <w:marRight w:val="0"/>
      <w:marTop w:val="0"/>
      <w:marBottom w:val="0"/>
      <w:divBdr>
        <w:top w:val="none" w:sz="0" w:space="0" w:color="auto"/>
        <w:left w:val="none" w:sz="0" w:space="0" w:color="auto"/>
        <w:bottom w:val="none" w:sz="0" w:space="0" w:color="auto"/>
        <w:right w:val="none" w:sz="0" w:space="0" w:color="auto"/>
      </w:divBdr>
    </w:div>
    <w:div w:id="2024282637">
      <w:bodyDiv w:val="1"/>
      <w:marLeft w:val="0"/>
      <w:marRight w:val="0"/>
      <w:marTop w:val="0"/>
      <w:marBottom w:val="0"/>
      <w:divBdr>
        <w:top w:val="none" w:sz="0" w:space="0" w:color="auto"/>
        <w:left w:val="none" w:sz="0" w:space="0" w:color="auto"/>
        <w:bottom w:val="none" w:sz="0" w:space="0" w:color="auto"/>
        <w:right w:val="none" w:sz="0" w:space="0" w:color="auto"/>
      </w:divBdr>
    </w:div>
    <w:div w:id="214061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11</Pages>
  <Words>3436</Words>
  <Characters>19588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200</cp:revision>
  <dcterms:created xsi:type="dcterms:W3CDTF">2019-01-03T22:01:00Z</dcterms:created>
  <dcterms:modified xsi:type="dcterms:W3CDTF">2019-01-11T23:30:00Z</dcterms:modified>
</cp:coreProperties>
</file>