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8FD" w:rsidRPr="000D78FD" w:rsidRDefault="000D78FD">
      <w:pPr>
        <w:rPr>
          <w:b/>
        </w:rPr>
      </w:pPr>
      <w:r>
        <w:rPr>
          <w:b/>
        </w:rPr>
        <w:t>Performance of</w:t>
      </w:r>
      <w:r w:rsidR="00885EC3">
        <w:rPr>
          <w:b/>
        </w:rPr>
        <w:t xml:space="preserve"> catch-only stock assessment models</w:t>
      </w:r>
      <w:r>
        <w:rPr>
          <w:b/>
        </w:rPr>
        <w:t xml:space="preserve"> at estimating time series of stock status</w:t>
      </w:r>
    </w:p>
    <w:p w:rsidR="000D78FD" w:rsidRDefault="000D78FD"/>
    <w:p w:rsidR="000D78FD" w:rsidRPr="000D78FD" w:rsidRDefault="000D78FD">
      <w:r w:rsidRPr="000D78FD">
        <w:t>Christopher M. Free, Olaf P. Jensen</w:t>
      </w:r>
    </w:p>
    <w:p w:rsidR="00E8522C" w:rsidRPr="00BF179A" w:rsidRDefault="00BF179A">
      <w:pPr>
        <w:rPr>
          <w:i/>
          <w:sz w:val="20"/>
          <w:szCs w:val="20"/>
        </w:rPr>
      </w:pPr>
      <w:r w:rsidRPr="00BF179A">
        <w:rPr>
          <w:i/>
          <w:sz w:val="20"/>
          <w:szCs w:val="20"/>
        </w:rPr>
        <w:t>Rutgers University, Department of Marine &amp; Coastal Sciences</w:t>
      </w:r>
    </w:p>
    <w:p w:rsidR="000D78FD" w:rsidRDefault="000D78FD">
      <w:pPr>
        <w:rPr>
          <w:b/>
        </w:rPr>
      </w:pPr>
    </w:p>
    <w:p w:rsidR="00D32C29" w:rsidRPr="00514A83" w:rsidRDefault="00514A83">
      <w:pPr>
        <w:rPr>
          <w:b/>
        </w:rPr>
      </w:pPr>
      <w:r w:rsidRPr="00514A83">
        <w:rPr>
          <w:b/>
        </w:rPr>
        <w:t>Methods</w:t>
      </w:r>
    </w:p>
    <w:p w:rsidR="00514A83" w:rsidRPr="00C12BB7" w:rsidRDefault="00514A83"/>
    <w:p w:rsidR="00553DC0" w:rsidRPr="00B040D7" w:rsidRDefault="000D78FD" w:rsidP="00553DC0">
      <w:pPr>
        <w:rPr>
          <w:rFonts w:eastAsiaTheme="minorEastAsia" w:cstheme="minorHAnsi"/>
        </w:rPr>
      </w:pPr>
      <w:r>
        <w:tab/>
        <w:t>We extended the analysis of Free et al. (in review) to evaluate the ability of six catch-only stock assessment models (</w:t>
      </w:r>
      <w:r w:rsidRPr="00FD3A29">
        <w:rPr>
          <w:b/>
        </w:rPr>
        <w:t>Table 1</w:t>
      </w:r>
      <w:r>
        <w:t>) to estimate time series of stock status (i.e., B/B</w:t>
      </w:r>
      <w:r w:rsidRPr="000D78FD">
        <w:rPr>
          <w:vertAlign w:val="subscript"/>
        </w:rPr>
        <w:t>MSY</w:t>
      </w:r>
      <w:r>
        <w:t xml:space="preserve">). </w:t>
      </w:r>
      <w:r w:rsidR="00FD3A29">
        <w:t xml:space="preserve">We evaluated their performance by applying them to simulated fish stocks from Rosenberg et al. (2014). The simulated stocks represent a fully </w:t>
      </w:r>
      <w:r w:rsidR="00FD3A29" w:rsidRPr="00300137">
        <w:rPr>
          <w:rFonts w:eastAsiaTheme="minorEastAsia" w:cstheme="minorHAnsi"/>
        </w:rPr>
        <w:t xml:space="preserve">factorial dataset of simulated fisheries including three fish life histories, three levels of initial biomass depletion, four exploitation scenarios, two levels of recruitment variability, two levels of </w:t>
      </w:r>
      <w:r w:rsidR="00680276">
        <w:rPr>
          <w:rFonts w:eastAsiaTheme="minorEastAsia" w:cstheme="minorHAnsi"/>
        </w:rPr>
        <w:t>recruitment autocorrelation,</w:t>
      </w:r>
      <w:r w:rsidR="00FD3A29" w:rsidRPr="00300137">
        <w:rPr>
          <w:rFonts w:eastAsiaTheme="minorEastAsia" w:cstheme="minorHAnsi"/>
        </w:rPr>
        <w:t xml:space="preserve"> two levels of measurement error, </w:t>
      </w:r>
      <w:r w:rsidR="00680276">
        <w:rPr>
          <w:rFonts w:eastAsiaTheme="minorEastAsia" w:cstheme="minorHAnsi"/>
        </w:rPr>
        <w:t xml:space="preserve">and two time series lengths (20 and 60 years), </w:t>
      </w:r>
      <w:r w:rsidR="00FD3A29" w:rsidRPr="00300137">
        <w:rPr>
          <w:rFonts w:eastAsiaTheme="minorEastAsia" w:cstheme="minorHAnsi"/>
        </w:rPr>
        <w:t>with each combination of parameters run through ten stochastic iterations</w:t>
      </w:r>
      <w:r w:rsidR="00480088">
        <w:rPr>
          <w:rFonts w:eastAsiaTheme="minorEastAsia" w:cstheme="minorHAnsi"/>
        </w:rPr>
        <w:t xml:space="preserve"> (</w:t>
      </w:r>
      <w:r w:rsidR="00480088" w:rsidRPr="00480088">
        <w:rPr>
          <w:rFonts w:eastAsiaTheme="minorEastAsia" w:cstheme="minorHAnsi"/>
          <w:b/>
        </w:rPr>
        <w:t>Table S1</w:t>
      </w:r>
      <w:r w:rsidR="00480088">
        <w:rPr>
          <w:rFonts w:eastAsiaTheme="minorEastAsia" w:cstheme="minorHAnsi"/>
        </w:rPr>
        <w:t>)</w:t>
      </w:r>
      <w:r w:rsidR="00FD3A29">
        <w:rPr>
          <w:rFonts w:eastAsiaTheme="minorEastAsia" w:cstheme="minorHAnsi"/>
        </w:rPr>
        <w:t xml:space="preserve">. </w:t>
      </w:r>
      <w:r w:rsidR="00680276">
        <w:rPr>
          <w:rFonts w:eastAsiaTheme="minorEastAsia" w:cstheme="minorHAnsi"/>
        </w:rPr>
        <w:t>Although w</w:t>
      </w:r>
      <w:r w:rsidR="00FD3A29">
        <w:rPr>
          <w:rFonts w:eastAsiaTheme="minorEastAsia" w:cstheme="minorHAnsi"/>
        </w:rPr>
        <w:t>e u</w:t>
      </w:r>
      <w:r w:rsidR="00680276">
        <w:rPr>
          <w:rFonts w:eastAsiaTheme="minorEastAsia" w:cstheme="minorHAnsi"/>
        </w:rPr>
        <w:t xml:space="preserve">sed both the 20- and 60-year simulations when evaluating the performance of terminal year status predictions (Free et al. in review), we only used </w:t>
      </w:r>
      <w:r w:rsidR="00FD3A29">
        <w:rPr>
          <w:rFonts w:eastAsiaTheme="minorEastAsia" w:cstheme="minorHAnsi"/>
        </w:rPr>
        <w:t xml:space="preserve">the </w:t>
      </w:r>
      <w:r w:rsidR="00680276">
        <w:rPr>
          <w:rFonts w:eastAsiaTheme="minorEastAsia" w:cstheme="minorHAnsi"/>
        </w:rPr>
        <w:t xml:space="preserve">60-year simulations in evaluating the performance of full time series </w:t>
      </w:r>
      <w:r w:rsidR="00480088">
        <w:rPr>
          <w:rFonts w:eastAsiaTheme="minorEastAsia" w:cstheme="minorHAnsi"/>
        </w:rPr>
        <w:t>status predictions (n=2880 stocks).</w:t>
      </w:r>
      <w:r w:rsidR="00553DC0">
        <w:rPr>
          <w:rFonts w:eastAsiaTheme="minorEastAsia" w:cstheme="minorHAnsi"/>
        </w:rPr>
        <w:t xml:space="preserve"> </w:t>
      </w:r>
      <w:r w:rsidR="00553DC0" w:rsidRPr="00300137">
        <w:rPr>
          <w:rFonts w:cstheme="minorHAnsi"/>
        </w:rPr>
        <w:t>We evaluated</w:t>
      </w:r>
      <w:r w:rsidR="00553DC0">
        <w:rPr>
          <w:rFonts w:cstheme="minorHAnsi"/>
        </w:rPr>
        <w:t xml:space="preserve"> the ability of each model to estimate status </w:t>
      </w:r>
      <w:r w:rsidR="00553DC0" w:rsidRPr="00300137">
        <w:rPr>
          <w:rFonts w:cstheme="minorHAnsi"/>
        </w:rPr>
        <w:t>by measuring each m</w:t>
      </w:r>
      <w:r w:rsidR="00074EA4">
        <w:rPr>
          <w:rFonts w:cstheme="minorHAnsi"/>
        </w:rPr>
        <w:t>odel</w:t>
      </w:r>
      <w:r w:rsidR="00553DC0" w:rsidRPr="00300137">
        <w:rPr>
          <w:rFonts w:cstheme="minorHAnsi"/>
        </w:rPr>
        <w:t>’s bias, accuracy, and ability to correctly rank or correlate across populations</w:t>
      </w:r>
      <w:r w:rsidR="0074663E">
        <w:rPr>
          <w:rFonts w:cstheme="minorHAnsi"/>
        </w:rPr>
        <w:t xml:space="preserve"> in the last 40 years of the </w:t>
      </w:r>
      <w:r w:rsidR="00F824AE">
        <w:rPr>
          <w:rFonts w:cstheme="minorHAnsi"/>
        </w:rPr>
        <w:t>60-year</w:t>
      </w:r>
      <w:r w:rsidR="0074663E">
        <w:rPr>
          <w:rFonts w:cstheme="minorHAnsi"/>
        </w:rPr>
        <w:t xml:space="preserve"> time series</w:t>
      </w:r>
      <w:r w:rsidR="00553DC0" w:rsidRPr="00300137">
        <w:rPr>
          <w:rFonts w:cstheme="minorHAnsi"/>
        </w:rPr>
        <w:t xml:space="preserve">. We measured bias </w:t>
      </w:r>
      <w:r w:rsidR="00553DC0" w:rsidRPr="00300137">
        <w:rPr>
          <w:rFonts w:eastAsiaTheme="minorEastAsia" w:cstheme="minorHAnsi"/>
        </w:rPr>
        <w:t xml:space="preserve">as the median proportional error (MPE) and </w:t>
      </w:r>
      <w:r w:rsidR="00553DC0">
        <w:rPr>
          <w:rFonts w:eastAsiaTheme="minorEastAsia" w:cstheme="minorHAnsi"/>
        </w:rPr>
        <w:t xml:space="preserve">measured </w:t>
      </w:r>
      <w:r w:rsidR="00553DC0" w:rsidRPr="00300137">
        <w:rPr>
          <w:rFonts w:eastAsiaTheme="minorEastAsia" w:cstheme="minorHAnsi"/>
        </w:rPr>
        <w:t xml:space="preserve">accuracy as the median absolute proportional error (MAPE). Proportional error is calculated as </w:t>
      </w:r>
      <m:oMath>
        <m:d>
          <m:dPr>
            <m:ctrlPr>
              <w:rPr>
                <w:rFonts w:ascii="Cambria Math" w:hAnsi="Cambria Math" w:cstheme="minorHAnsi"/>
                <w:i/>
              </w:rPr>
            </m:ctrlPr>
          </m:dPr>
          <m:e>
            <m:acc>
              <m:accPr>
                <m:ctrlPr>
                  <w:rPr>
                    <w:rFonts w:ascii="Cambria Math" w:hAnsi="Cambria Math" w:cstheme="minorHAnsi"/>
                    <w:i/>
                  </w:rPr>
                </m:ctrlPr>
              </m:accPr>
              <m:e>
                <m:r>
                  <w:rPr>
                    <w:rFonts w:ascii="Cambria Math" w:hAnsi="Cambria Math" w:cstheme="minorHAnsi"/>
                  </w:rPr>
                  <m:t>θ</m:t>
                </m:r>
              </m:e>
            </m:acc>
            <m:r>
              <w:rPr>
                <w:rFonts w:ascii="Cambria Math" w:hAnsi="Cambria Math" w:cstheme="minorHAnsi"/>
              </w:rPr>
              <m:t>-θ</m:t>
            </m:r>
          </m:e>
        </m:d>
        <m:r>
          <w:rPr>
            <w:rFonts w:ascii="Cambria Math" w:hAnsi="Cambria Math" w:cstheme="minorHAnsi"/>
          </w:rPr>
          <m:t xml:space="preserve"> / </m:t>
        </m:r>
        <m:d>
          <m:dPr>
            <m:begChr m:val="|"/>
            <m:endChr m:val="|"/>
            <m:ctrlPr>
              <w:rPr>
                <w:rFonts w:ascii="Cambria Math" w:hAnsi="Cambria Math" w:cstheme="minorHAnsi"/>
                <w:i/>
              </w:rPr>
            </m:ctrlPr>
          </m:dPr>
          <m:e>
            <m:r>
              <w:rPr>
                <w:rFonts w:ascii="Cambria Math" w:hAnsi="Cambria Math" w:cstheme="minorHAnsi"/>
              </w:rPr>
              <m:t>θ</m:t>
            </m:r>
          </m:e>
        </m:d>
      </m:oMath>
      <w:r w:rsidR="00553DC0" w:rsidRPr="00300137">
        <w:rPr>
          <w:rFonts w:eastAsiaTheme="minorEastAsia" w:cstheme="minorHAnsi"/>
        </w:rPr>
        <w:t xml:space="preserve">, </w:t>
      </w:r>
      <w:r w:rsidR="00553DC0" w:rsidRPr="00300137">
        <w:rPr>
          <w:rFonts w:cstheme="minorHAnsi"/>
        </w:rPr>
        <w:t xml:space="preserve">where </w:t>
      </w:r>
      <m:oMath>
        <m:acc>
          <m:accPr>
            <m:ctrlPr>
              <w:rPr>
                <w:rFonts w:ascii="Cambria Math" w:hAnsi="Cambria Math" w:cstheme="minorHAnsi"/>
                <w:i/>
              </w:rPr>
            </m:ctrlPr>
          </m:accPr>
          <m:e>
            <m:r>
              <w:rPr>
                <w:rFonts w:ascii="Cambria Math" w:hAnsi="Cambria Math" w:cstheme="minorHAnsi"/>
              </w:rPr>
              <m:t>θ</m:t>
            </m:r>
          </m:e>
        </m:acc>
        <m:r>
          <w:rPr>
            <w:rFonts w:ascii="Cambria Math" w:hAnsi="Cambria Math" w:cstheme="minorHAnsi"/>
          </w:rPr>
          <m:t xml:space="preserve"> </m:t>
        </m:r>
      </m:oMath>
      <w:r w:rsidR="00553DC0" w:rsidRPr="00300137">
        <w:rPr>
          <w:rFonts w:eastAsiaTheme="minorEastAsia" w:cstheme="minorHAnsi"/>
        </w:rPr>
        <w:t xml:space="preserve">and </w:t>
      </w:r>
      <m:oMath>
        <m:r>
          <w:rPr>
            <w:rFonts w:ascii="Cambria Math" w:hAnsi="Cambria Math" w:cstheme="minorHAnsi"/>
          </w:rPr>
          <m:t>θ</m:t>
        </m:r>
      </m:oMath>
      <w:r w:rsidR="00553DC0">
        <w:rPr>
          <w:rFonts w:eastAsiaTheme="minorEastAsia" w:cstheme="minorHAnsi"/>
        </w:rPr>
        <w:t xml:space="preserve"> represent predicted and </w:t>
      </w:r>
      <w:r w:rsidR="00553DC0" w:rsidRPr="00300137">
        <w:rPr>
          <w:rFonts w:eastAsiaTheme="minorEastAsia" w:cstheme="minorHAnsi"/>
        </w:rPr>
        <w:t>true B/B</w:t>
      </w:r>
      <w:r w:rsidR="00553DC0" w:rsidRPr="00300137">
        <w:rPr>
          <w:rFonts w:eastAsiaTheme="minorEastAsia" w:cstheme="minorHAnsi"/>
          <w:vertAlign w:val="subscript"/>
        </w:rPr>
        <w:t>MSY</w:t>
      </w:r>
      <w:r w:rsidR="00553DC0" w:rsidRPr="00300137">
        <w:rPr>
          <w:rFonts w:eastAsiaTheme="minorEastAsia" w:cstheme="minorHAnsi"/>
        </w:rPr>
        <w:t xml:space="preserve"> values, respectively. We measured the ability to correctly rank populations as Spearman’s rank-order cor</w:t>
      </w:r>
      <w:r w:rsidR="00553DC0">
        <w:rPr>
          <w:rFonts w:eastAsiaTheme="minorEastAsia" w:cstheme="minorHAnsi"/>
        </w:rPr>
        <w:t>relation between predicted and true</w:t>
      </w:r>
      <w:r w:rsidR="00553DC0" w:rsidRPr="00300137">
        <w:rPr>
          <w:rFonts w:eastAsiaTheme="minorEastAsia" w:cstheme="minorHAnsi"/>
        </w:rPr>
        <w:t xml:space="preserve"> values.</w:t>
      </w:r>
      <w:r w:rsidR="00BF179A">
        <w:rPr>
          <w:rFonts w:eastAsiaTheme="minorEastAsia" w:cstheme="minorHAnsi"/>
        </w:rPr>
        <w:t xml:space="preserve"> </w:t>
      </w:r>
    </w:p>
    <w:p w:rsidR="00553DC0" w:rsidRPr="00C12BB7" w:rsidRDefault="00553DC0"/>
    <w:p w:rsidR="00514A83" w:rsidRPr="00C12BB7" w:rsidRDefault="00514A83"/>
    <w:p w:rsidR="00514A83" w:rsidRDefault="00514A83">
      <w:pPr>
        <w:rPr>
          <w:b/>
        </w:rPr>
      </w:pPr>
      <w:r w:rsidRPr="00514A83">
        <w:rPr>
          <w:b/>
        </w:rPr>
        <w:t>Results</w:t>
      </w:r>
      <w:r w:rsidR="00F824AE">
        <w:rPr>
          <w:b/>
        </w:rPr>
        <w:t xml:space="preserve"> &amp; Discussion</w:t>
      </w:r>
    </w:p>
    <w:p w:rsidR="00514A83" w:rsidRDefault="00514A83"/>
    <w:p w:rsidR="00514A83" w:rsidRDefault="00AF1BC0">
      <w:r>
        <w:tab/>
      </w:r>
      <w:r w:rsidR="00177522">
        <w:t>All of the evaluated cat</w:t>
      </w:r>
      <w:r w:rsidR="00EE3C91">
        <w:t xml:space="preserve">ch-only models exhibit trends in </w:t>
      </w:r>
      <w:r w:rsidR="00177522">
        <w:t xml:space="preserve">performance over </w:t>
      </w:r>
      <w:r w:rsidR="00EE3C91">
        <w:t>time</w:t>
      </w:r>
      <w:r w:rsidR="00177522">
        <w:t xml:space="preserve">. The </w:t>
      </w:r>
      <w:r w:rsidR="002264A1">
        <w:t xml:space="preserve">performance of the </w:t>
      </w:r>
      <w:r w:rsidR="00177522">
        <w:t>superensemble model improves over time while the performance of the other models degrades over time (</w:t>
      </w:r>
      <w:r w:rsidR="00177522" w:rsidRPr="00177522">
        <w:rPr>
          <w:b/>
        </w:rPr>
        <w:t>Figure 1</w:t>
      </w:r>
      <w:r w:rsidR="00177522">
        <w:t xml:space="preserve">). The superensemble </w:t>
      </w:r>
      <w:r w:rsidR="007E5695">
        <w:t xml:space="preserve">model predictions increase in both </w:t>
      </w:r>
      <w:r w:rsidR="00177522">
        <w:t>accurac</w:t>
      </w:r>
      <w:r w:rsidR="007E5695">
        <w:t xml:space="preserve">y (i.e., decrease in </w:t>
      </w:r>
      <w:r w:rsidR="00EE3C91">
        <w:t>inaccuracy) and</w:t>
      </w:r>
      <w:r w:rsidR="007E5695">
        <w:t xml:space="preserve"> </w:t>
      </w:r>
      <w:r w:rsidR="00EE3C91">
        <w:t>correlation</w:t>
      </w:r>
      <w:r w:rsidR="007E5695">
        <w:t xml:space="preserve"> over time</w:t>
      </w:r>
      <w:r w:rsidR="00EE3C91">
        <w:t xml:space="preserve">. It exhibits </w:t>
      </w:r>
      <w:r w:rsidR="007E5695">
        <w:t>the narrowest range in bias over time</w:t>
      </w:r>
      <w:r w:rsidR="00EE3C91">
        <w:t xml:space="preserve"> though it </w:t>
      </w:r>
      <w:r w:rsidR="007E5695">
        <w:t>transitions from being negatively to positively biased (</w:t>
      </w:r>
      <w:r w:rsidR="007E5695" w:rsidRPr="007E5695">
        <w:rPr>
          <w:b/>
        </w:rPr>
        <w:t>Figure 1</w:t>
      </w:r>
      <w:r w:rsidR="007E5695">
        <w:t>). The other models show decreasing accuracy (i.e</w:t>
      </w:r>
      <w:r w:rsidR="007C7E14">
        <w:t>.</w:t>
      </w:r>
      <w:r w:rsidR="007E5695">
        <w:t>, increasing</w:t>
      </w:r>
      <w:r w:rsidR="000A3439">
        <w:t xml:space="preserve"> inaccuracy) and correlation over time; trends in bias vary among models (</w:t>
      </w:r>
      <w:r w:rsidR="000A3439" w:rsidRPr="000A3439">
        <w:rPr>
          <w:b/>
        </w:rPr>
        <w:t>Figure 1</w:t>
      </w:r>
      <w:r w:rsidR="000A3439">
        <w:t xml:space="preserve">). The degrading performance of the other catch-only models likely occurs because </w:t>
      </w:r>
      <w:r w:rsidR="002B238A">
        <w:t>(1) these models assume low levels of depletion at the beginning of the catch time series and this assumption proves to be generally correct and (2) information in the catch time series degrades when management reduces fishing effort in response to population depletion (e.g., in the two-way trip scenario).</w:t>
      </w:r>
      <w:r w:rsidR="00D80941">
        <w:t xml:space="preserve"> </w:t>
      </w:r>
      <w:r w:rsidR="00E65858">
        <w:t xml:space="preserve">As a result, we recommend that the superensemble model be favored over other catch-only models in making both terminal year </w:t>
      </w:r>
      <w:r w:rsidR="00730941">
        <w:t xml:space="preserve">(Free et al. in review) </w:t>
      </w:r>
      <w:r w:rsidR="00E65858">
        <w:t>and full time series predictions of stocks status.</w:t>
      </w:r>
    </w:p>
    <w:p w:rsidR="00F824AE" w:rsidRDefault="00F824AE">
      <w:pPr>
        <w:rPr>
          <w:b/>
        </w:rPr>
      </w:pPr>
      <w:r>
        <w:rPr>
          <w:b/>
        </w:rPr>
        <w:br w:type="page"/>
      </w:r>
    </w:p>
    <w:p w:rsidR="000D78FD" w:rsidRPr="000D78FD" w:rsidRDefault="000D78FD">
      <w:pPr>
        <w:rPr>
          <w:b/>
        </w:rPr>
      </w:pPr>
      <w:r w:rsidRPr="000D78FD">
        <w:rPr>
          <w:b/>
        </w:rPr>
        <w:lastRenderedPageBreak/>
        <w:t>References</w:t>
      </w:r>
    </w:p>
    <w:p w:rsidR="000D78FD" w:rsidRDefault="000D78FD"/>
    <w:p w:rsidR="00F824AE" w:rsidRPr="00300137" w:rsidRDefault="00F824AE" w:rsidP="00F824AE">
      <w:pPr>
        <w:ind w:left="360" w:hanging="360"/>
        <w:contextualSpacing/>
        <w:mirrorIndents/>
        <w:rPr>
          <w:rFonts w:cstheme="minorHAnsi"/>
          <w:sz w:val="20"/>
          <w:szCs w:val="20"/>
        </w:rPr>
      </w:pPr>
      <w:r w:rsidRPr="00300137">
        <w:rPr>
          <w:rFonts w:eastAsiaTheme="minorEastAsia" w:cstheme="minorHAnsi"/>
          <w:sz w:val="20"/>
          <w:szCs w:val="20"/>
        </w:rPr>
        <w:t xml:space="preserve">Anderson, S.C, A.B. Cooper, O.P. Jensen, C. Minto, J.T. Thorson, J.C. Walsh, J. </w:t>
      </w:r>
      <w:proofErr w:type="spellStart"/>
      <w:r w:rsidRPr="00300137">
        <w:rPr>
          <w:rFonts w:eastAsiaTheme="minorEastAsia" w:cstheme="minorHAnsi"/>
          <w:sz w:val="20"/>
          <w:szCs w:val="20"/>
        </w:rPr>
        <w:t>Afflerbach</w:t>
      </w:r>
      <w:proofErr w:type="spellEnd"/>
      <w:r w:rsidRPr="00300137">
        <w:rPr>
          <w:rFonts w:eastAsiaTheme="minorEastAsia" w:cstheme="minorHAnsi"/>
          <w:sz w:val="20"/>
          <w:szCs w:val="20"/>
        </w:rPr>
        <w:t>, M. Dickey-</w:t>
      </w:r>
      <w:proofErr w:type="spellStart"/>
      <w:r w:rsidRPr="00300137">
        <w:rPr>
          <w:rFonts w:eastAsiaTheme="minorEastAsia" w:cstheme="minorHAnsi"/>
          <w:sz w:val="20"/>
          <w:szCs w:val="20"/>
        </w:rPr>
        <w:t>Collas</w:t>
      </w:r>
      <w:proofErr w:type="spellEnd"/>
      <w:r w:rsidRPr="00300137">
        <w:rPr>
          <w:rFonts w:eastAsiaTheme="minorEastAsia" w:cstheme="minorHAnsi"/>
          <w:sz w:val="20"/>
          <w:szCs w:val="20"/>
        </w:rPr>
        <w:t xml:space="preserve">, K.M. </w:t>
      </w:r>
      <w:proofErr w:type="spellStart"/>
      <w:r w:rsidRPr="00300137">
        <w:rPr>
          <w:rFonts w:eastAsiaTheme="minorEastAsia" w:cstheme="minorHAnsi"/>
          <w:sz w:val="20"/>
          <w:szCs w:val="20"/>
        </w:rPr>
        <w:t>Kleisner</w:t>
      </w:r>
      <w:proofErr w:type="spellEnd"/>
      <w:r w:rsidRPr="00300137">
        <w:rPr>
          <w:rFonts w:eastAsiaTheme="minorEastAsia" w:cstheme="minorHAnsi"/>
          <w:sz w:val="20"/>
          <w:szCs w:val="20"/>
        </w:rPr>
        <w:t xml:space="preserve">, C. Longo, G.C. </w:t>
      </w:r>
      <w:proofErr w:type="spellStart"/>
      <w:r w:rsidRPr="00300137">
        <w:rPr>
          <w:rFonts w:eastAsiaTheme="minorEastAsia" w:cstheme="minorHAnsi"/>
          <w:sz w:val="20"/>
          <w:szCs w:val="20"/>
        </w:rPr>
        <w:t>Osio</w:t>
      </w:r>
      <w:proofErr w:type="spellEnd"/>
      <w:r w:rsidRPr="00300137">
        <w:rPr>
          <w:rFonts w:eastAsiaTheme="minorEastAsia" w:cstheme="minorHAnsi"/>
          <w:sz w:val="20"/>
          <w:szCs w:val="20"/>
        </w:rPr>
        <w:t xml:space="preserve">, D. </w:t>
      </w:r>
      <w:proofErr w:type="spellStart"/>
      <w:r w:rsidRPr="00300137">
        <w:rPr>
          <w:rFonts w:eastAsiaTheme="minorEastAsia" w:cstheme="minorHAnsi"/>
          <w:sz w:val="20"/>
          <w:szCs w:val="20"/>
        </w:rPr>
        <w:t>Ovando</w:t>
      </w:r>
      <w:proofErr w:type="spellEnd"/>
      <w:r w:rsidRPr="00300137">
        <w:rPr>
          <w:rFonts w:eastAsiaTheme="minorEastAsia" w:cstheme="minorHAnsi"/>
          <w:sz w:val="20"/>
          <w:szCs w:val="20"/>
        </w:rPr>
        <w:t xml:space="preserve">, I. </w:t>
      </w:r>
      <w:proofErr w:type="spellStart"/>
      <w:r w:rsidRPr="00300137">
        <w:rPr>
          <w:rFonts w:eastAsiaTheme="minorEastAsia" w:cstheme="minorHAnsi"/>
          <w:sz w:val="20"/>
          <w:szCs w:val="20"/>
        </w:rPr>
        <w:t>Mosqueira</w:t>
      </w:r>
      <w:proofErr w:type="spellEnd"/>
      <w:r w:rsidRPr="00300137">
        <w:rPr>
          <w:rFonts w:eastAsiaTheme="minorEastAsia" w:cstheme="minorHAnsi"/>
          <w:sz w:val="20"/>
          <w:szCs w:val="20"/>
        </w:rPr>
        <w:t>, A.A. Rosenberg, and E.R. Selig. 2017. Improving estimates of population status and trend with superensemble models. Fish and Fisheries 18(4):732</w:t>
      </w:r>
      <w:r w:rsidRPr="00300137">
        <w:rPr>
          <w:rFonts w:eastAsiaTheme="minorEastAsia" w:cstheme="minorHAnsi"/>
          <w:color w:val="222222"/>
          <w:sz w:val="20"/>
          <w:szCs w:val="20"/>
          <w:shd w:val="clear" w:color="auto" w:fill="FFFFFF"/>
        </w:rPr>
        <w:t>–</w:t>
      </w:r>
      <w:r w:rsidRPr="00300137">
        <w:rPr>
          <w:rFonts w:eastAsiaTheme="minorEastAsia" w:cstheme="minorHAnsi"/>
          <w:sz w:val="20"/>
          <w:szCs w:val="20"/>
        </w:rPr>
        <w:t>741.</w:t>
      </w:r>
    </w:p>
    <w:p w:rsidR="00F824AE" w:rsidRPr="00300137" w:rsidRDefault="00F824AE" w:rsidP="00F824AE">
      <w:pPr>
        <w:contextualSpacing/>
        <w:mirrorIndents/>
        <w:rPr>
          <w:rFonts w:cstheme="minorHAnsi"/>
          <w:sz w:val="20"/>
          <w:szCs w:val="20"/>
        </w:rPr>
      </w:pPr>
    </w:p>
    <w:p w:rsidR="00F824AE" w:rsidRPr="00300137" w:rsidRDefault="00F824AE" w:rsidP="00F824AE">
      <w:pPr>
        <w:ind w:left="360" w:hanging="360"/>
        <w:contextualSpacing/>
        <w:mirrorIndents/>
        <w:rPr>
          <w:rFonts w:cstheme="minorHAnsi"/>
          <w:sz w:val="20"/>
          <w:szCs w:val="20"/>
        </w:rPr>
      </w:pPr>
      <w:r w:rsidRPr="00300137">
        <w:rPr>
          <w:rFonts w:eastAsiaTheme="minorEastAsia" w:cstheme="minorHAnsi"/>
          <w:sz w:val="20"/>
          <w:szCs w:val="20"/>
        </w:rPr>
        <w:t xml:space="preserve">Costello, C., D. </w:t>
      </w:r>
      <w:proofErr w:type="spellStart"/>
      <w:r w:rsidRPr="00300137">
        <w:rPr>
          <w:rFonts w:eastAsiaTheme="minorEastAsia" w:cstheme="minorHAnsi"/>
          <w:sz w:val="20"/>
          <w:szCs w:val="20"/>
        </w:rPr>
        <w:t>Ovando</w:t>
      </w:r>
      <w:proofErr w:type="spellEnd"/>
      <w:r w:rsidRPr="00300137">
        <w:rPr>
          <w:rFonts w:eastAsiaTheme="minorEastAsia" w:cstheme="minorHAnsi"/>
          <w:sz w:val="20"/>
          <w:szCs w:val="20"/>
        </w:rPr>
        <w:t xml:space="preserve">, R. </w:t>
      </w:r>
      <w:proofErr w:type="spellStart"/>
      <w:r w:rsidRPr="00300137">
        <w:rPr>
          <w:rFonts w:eastAsiaTheme="minorEastAsia" w:cstheme="minorHAnsi"/>
          <w:sz w:val="20"/>
          <w:szCs w:val="20"/>
        </w:rPr>
        <w:t>Hilborn</w:t>
      </w:r>
      <w:proofErr w:type="spellEnd"/>
      <w:r w:rsidRPr="00300137">
        <w:rPr>
          <w:rFonts w:eastAsiaTheme="minorEastAsia" w:cstheme="minorHAnsi"/>
          <w:sz w:val="20"/>
          <w:szCs w:val="20"/>
        </w:rPr>
        <w:t>, S.D. Gaines, O. Deschenes, and S.E. Lester. 2012. Status and solutions for the world’s unassessed fisheries. Science</w:t>
      </w:r>
      <w:r w:rsidRPr="00300137">
        <w:rPr>
          <w:rFonts w:eastAsiaTheme="minorEastAsia" w:cstheme="minorHAnsi"/>
          <w:i/>
          <w:iCs/>
          <w:sz w:val="20"/>
          <w:szCs w:val="20"/>
        </w:rPr>
        <w:t xml:space="preserve"> </w:t>
      </w:r>
      <w:r w:rsidRPr="00300137">
        <w:rPr>
          <w:rFonts w:eastAsiaTheme="minorEastAsia" w:cstheme="minorHAnsi"/>
          <w:sz w:val="20"/>
          <w:szCs w:val="20"/>
        </w:rPr>
        <w:t>338:517</w:t>
      </w:r>
      <w:r w:rsidRPr="00300137">
        <w:rPr>
          <w:rFonts w:eastAsiaTheme="minorEastAsia" w:cstheme="minorHAnsi"/>
          <w:color w:val="222222"/>
          <w:sz w:val="20"/>
          <w:szCs w:val="20"/>
          <w:shd w:val="clear" w:color="auto" w:fill="FFFFFF"/>
        </w:rPr>
        <w:t>–</w:t>
      </w:r>
      <w:r w:rsidRPr="00300137">
        <w:rPr>
          <w:rFonts w:eastAsiaTheme="minorEastAsia" w:cstheme="minorHAnsi"/>
          <w:sz w:val="20"/>
          <w:szCs w:val="20"/>
        </w:rPr>
        <w:t>520.</w:t>
      </w:r>
    </w:p>
    <w:p w:rsidR="00F824AE" w:rsidRPr="00300137" w:rsidRDefault="00F824AE" w:rsidP="00F824AE">
      <w:pPr>
        <w:contextualSpacing/>
        <w:mirrorIndents/>
        <w:rPr>
          <w:rFonts w:cstheme="minorHAnsi"/>
          <w:sz w:val="20"/>
          <w:szCs w:val="20"/>
        </w:rPr>
      </w:pPr>
    </w:p>
    <w:p w:rsidR="00F824AE" w:rsidRPr="00300137" w:rsidRDefault="00F824AE" w:rsidP="00F824AE">
      <w:pPr>
        <w:ind w:left="360" w:hanging="360"/>
        <w:contextualSpacing/>
        <w:mirrorIndents/>
        <w:rPr>
          <w:rFonts w:cstheme="minorHAnsi"/>
          <w:sz w:val="20"/>
          <w:szCs w:val="20"/>
        </w:rPr>
      </w:pPr>
      <w:r w:rsidRPr="00300137">
        <w:rPr>
          <w:rFonts w:eastAsiaTheme="minorEastAsia" w:cstheme="minorHAnsi"/>
          <w:sz w:val="20"/>
          <w:szCs w:val="20"/>
        </w:rPr>
        <w:t xml:space="preserve">Froese, R., N. </w:t>
      </w:r>
      <w:proofErr w:type="spellStart"/>
      <w:r w:rsidRPr="00300137">
        <w:rPr>
          <w:rFonts w:eastAsiaTheme="minorEastAsia" w:cstheme="minorHAnsi"/>
          <w:sz w:val="20"/>
          <w:szCs w:val="20"/>
        </w:rPr>
        <w:t>Demirel</w:t>
      </w:r>
      <w:proofErr w:type="spellEnd"/>
      <w:r w:rsidRPr="00300137">
        <w:rPr>
          <w:rFonts w:eastAsiaTheme="minorEastAsia" w:cstheme="minorHAnsi"/>
          <w:sz w:val="20"/>
          <w:szCs w:val="20"/>
        </w:rPr>
        <w:t xml:space="preserve">, G. Coro, K.M. </w:t>
      </w:r>
      <w:proofErr w:type="spellStart"/>
      <w:r w:rsidRPr="00300137">
        <w:rPr>
          <w:rFonts w:eastAsiaTheme="minorEastAsia" w:cstheme="minorHAnsi"/>
          <w:sz w:val="20"/>
          <w:szCs w:val="20"/>
        </w:rPr>
        <w:t>Kleisner</w:t>
      </w:r>
      <w:proofErr w:type="spellEnd"/>
      <w:r w:rsidRPr="00300137">
        <w:rPr>
          <w:rFonts w:eastAsiaTheme="minorEastAsia" w:cstheme="minorHAnsi"/>
          <w:sz w:val="20"/>
          <w:szCs w:val="20"/>
        </w:rPr>
        <w:t>, and H. Winker. 2017</w:t>
      </w:r>
      <w:r w:rsidRPr="00300137">
        <w:rPr>
          <w:rFonts w:eastAsiaTheme="minorEastAsia" w:cstheme="minorHAnsi"/>
          <w:i/>
          <w:iCs/>
          <w:sz w:val="20"/>
          <w:szCs w:val="20"/>
        </w:rPr>
        <w:t>.</w:t>
      </w:r>
      <w:r w:rsidRPr="00300137">
        <w:rPr>
          <w:rFonts w:eastAsiaTheme="minorEastAsia" w:cstheme="minorHAnsi"/>
          <w:sz w:val="20"/>
          <w:szCs w:val="20"/>
        </w:rPr>
        <w:t xml:space="preserve"> Estimating fisheries reference points from catch and resilience. Fish and Fisheries 18(3):506</w:t>
      </w:r>
      <w:r w:rsidRPr="00300137">
        <w:rPr>
          <w:rFonts w:eastAsiaTheme="minorEastAsia" w:cstheme="minorHAnsi"/>
          <w:color w:val="222222"/>
          <w:sz w:val="20"/>
          <w:szCs w:val="20"/>
          <w:shd w:val="clear" w:color="auto" w:fill="FFFFFF"/>
        </w:rPr>
        <w:t>–</w:t>
      </w:r>
      <w:r w:rsidRPr="00300137">
        <w:rPr>
          <w:rFonts w:eastAsiaTheme="minorEastAsia" w:cstheme="minorHAnsi"/>
          <w:sz w:val="20"/>
          <w:szCs w:val="20"/>
        </w:rPr>
        <w:t xml:space="preserve">526. </w:t>
      </w:r>
    </w:p>
    <w:p w:rsidR="00F824AE" w:rsidRPr="00300137" w:rsidRDefault="00F824AE" w:rsidP="00F824AE">
      <w:pPr>
        <w:contextualSpacing/>
        <w:mirrorIndents/>
        <w:rPr>
          <w:rFonts w:cstheme="minorHAnsi"/>
          <w:sz w:val="20"/>
          <w:szCs w:val="20"/>
        </w:rPr>
      </w:pPr>
    </w:p>
    <w:p w:rsidR="00F824AE" w:rsidRPr="00300137" w:rsidRDefault="00F824AE" w:rsidP="00F824AE">
      <w:pPr>
        <w:ind w:left="360" w:hanging="360"/>
        <w:contextualSpacing/>
        <w:mirrorIndents/>
        <w:rPr>
          <w:rFonts w:cstheme="minorHAnsi"/>
          <w:sz w:val="20"/>
          <w:szCs w:val="20"/>
          <w:shd w:val="clear" w:color="auto" w:fill="FFFFFF"/>
        </w:rPr>
      </w:pPr>
      <w:r w:rsidRPr="00300137">
        <w:rPr>
          <w:rFonts w:eastAsiaTheme="minorEastAsia" w:cstheme="minorHAnsi"/>
          <w:sz w:val="20"/>
          <w:szCs w:val="20"/>
          <w:shd w:val="clear" w:color="auto" w:fill="FFFFFF"/>
        </w:rPr>
        <w:t>Martell, S., and R. Froese. 2013. A simple method for estimating MSY from catch and resilience. Fish and Fisheries 14:504</w:t>
      </w:r>
      <w:r w:rsidRPr="00300137">
        <w:rPr>
          <w:rFonts w:eastAsiaTheme="minorEastAsia" w:cstheme="minorHAnsi"/>
          <w:color w:val="222222"/>
          <w:sz w:val="20"/>
          <w:szCs w:val="20"/>
          <w:shd w:val="clear" w:color="auto" w:fill="FFFFFF"/>
        </w:rPr>
        <w:t>–</w:t>
      </w:r>
      <w:r w:rsidRPr="00300137">
        <w:rPr>
          <w:rFonts w:eastAsiaTheme="minorEastAsia" w:cstheme="minorHAnsi"/>
          <w:sz w:val="20"/>
          <w:szCs w:val="20"/>
          <w:shd w:val="clear" w:color="auto" w:fill="FFFFFF"/>
        </w:rPr>
        <w:t>514.</w:t>
      </w:r>
    </w:p>
    <w:p w:rsidR="00F824AE" w:rsidRPr="00300137" w:rsidRDefault="00F824AE" w:rsidP="00F824AE">
      <w:pPr>
        <w:contextualSpacing/>
        <w:mirrorIndents/>
        <w:rPr>
          <w:rFonts w:cstheme="minorHAnsi"/>
          <w:sz w:val="20"/>
          <w:szCs w:val="20"/>
          <w:shd w:val="clear" w:color="auto" w:fill="FFFFFF"/>
        </w:rPr>
      </w:pPr>
    </w:p>
    <w:p w:rsidR="00F824AE" w:rsidRPr="00300137" w:rsidRDefault="00F824AE" w:rsidP="00F824AE">
      <w:pPr>
        <w:ind w:left="360" w:hanging="360"/>
        <w:contextualSpacing/>
        <w:mirrorIndents/>
        <w:rPr>
          <w:rFonts w:cstheme="minorHAnsi"/>
          <w:sz w:val="20"/>
          <w:szCs w:val="20"/>
          <w:shd w:val="clear" w:color="auto" w:fill="FFFFFF"/>
        </w:rPr>
      </w:pPr>
      <w:r w:rsidRPr="00300137">
        <w:rPr>
          <w:rFonts w:eastAsiaTheme="minorEastAsia" w:cstheme="minorHAnsi"/>
          <w:sz w:val="20"/>
          <w:szCs w:val="20"/>
          <w:shd w:val="clear" w:color="auto" w:fill="FFFFFF"/>
        </w:rPr>
        <w:t>Rosenberg, A.A., M.J. Fogarty, A.B. Cooper, M. Dickey-</w:t>
      </w:r>
      <w:proofErr w:type="spellStart"/>
      <w:r w:rsidRPr="00300137">
        <w:rPr>
          <w:rFonts w:eastAsiaTheme="minorEastAsia" w:cstheme="minorHAnsi"/>
          <w:sz w:val="20"/>
          <w:szCs w:val="20"/>
          <w:shd w:val="clear" w:color="auto" w:fill="FFFFFF"/>
        </w:rPr>
        <w:t>Collas</w:t>
      </w:r>
      <w:proofErr w:type="spellEnd"/>
      <w:r w:rsidRPr="00300137">
        <w:rPr>
          <w:rFonts w:eastAsiaTheme="minorEastAsia" w:cstheme="minorHAnsi"/>
          <w:sz w:val="20"/>
          <w:szCs w:val="20"/>
          <w:shd w:val="clear" w:color="auto" w:fill="FFFFFF"/>
        </w:rPr>
        <w:t xml:space="preserve">, E.A. Fulton, N.L. Gutiérrez, K.J.W. Hyde, K.M. </w:t>
      </w:r>
      <w:proofErr w:type="spellStart"/>
      <w:r w:rsidRPr="00300137">
        <w:rPr>
          <w:rFonts w:eastAsiaTheme="minorEastAsia" w:cstheme="minorHAnsi"/>
          <w:sz w:val="20"/>
          <w:szCs w:val="20"/>
          <w:shd w:val="clear" w:color="auto" w:fill="FFFFFF"/>
        </w:rPr>
        <w:t>Kleisner</w:t>
      </w:r>
      <w:proofErr w:type="spellEnd"/>
      <w:r w:rsidRPr="00300137">
        <w:rPr>
          <w:rFonts w:eastAsiaTheme="minorEastAsia" w:cstheme="minorHAnsi"/>
          <w:sz w:val="20"/>
          <w:szCs w:val="20"/>
          <w:shd w:val="clear" w:color="auto" w:fill="FFFFFF"/>
        </w:rPr>
        <w:t xml:space="preserve">, C. Longo, C.V. </w:t>
      </w:r>
      <w:proofErr w:type="spellStart"/>
      <w:r w:rsidRPr="00300137">
        <w:rPr>
          <w:rFonts w:eastAsiaTheme="minorEastAsia" w:cstheme="minorHAnsi"/>
          <w:sz w:val="20"/>
          <w:szCs w:val="20"/>
          <w:shd w:val="clear" w:color="auto" w:fill="FFFFFF"/>
        </w:rPr>
        <w:t>Minte</w:t>
      </w:r>
      <w:proofErr w:type="spellEnd"/>
      <w:r w:rsidRPr="00300137">
        <w:rPr>
          <w:rFonts w:eastAsiaTheme="minorEastAsia" w:cstheme="minorHAnsi"/>
          <w:sz w:val="20"/>
          <w:szCs w:val="20"/>
          <w:shd w:val="clear" w:color="auto" w:fill="FFFFFF"/>
        </w:rPr>
        <w:t xml:space="preserve">-Vera, C. Minto, I. </w:t>
      </w:r>
      <w:proofErr w:type="spellStart"/>
      <w:r w:rsidRPr="00300137">
        <w:rPr>
          <w:rFonts w:eastAsiaTheme="minorEastAsia" w:cstheme="minorHAnsi"/>
          <w:sz w:val="20"/>
          <w:szCs w:val="20"/>
          <w:shd w:val="clear" w:color="auto" w:fill="FFFFFF"/>
        </w:rPr>
        <w:t>Mosqueira</w:t>
      </w:r>
      <w:proofErr w:type="spellEnd"/>
      <w:r w:rsidRPr="00300137">
        <w:rPr>
          <w:rFonts w:eastAsiaTheme="minorEastAsia" w:cstheme="minorHAnsi"/>
          <w:sz w:val="20"/>
          <w:szCs w:val="20"/>
          <w:shd w:val="clear" w:color="auto" w:fill="FFFFFF"/>
        </w:rPr>
        <w:t xml:space="preserve">, G.C. </w:t>
      </w:r>
      <w:proofErr w:type="spellStart"/>
      <w:r w:rsidRPr="00300137">
        <w:rPr>
          <w:rFonts w:eastAsiaTheme="minorEastAsia" w:cstheme="minorHAnsi"/>
          <w:sz w:val="20"/>
          <w:szCs w:val="20"/>
          <w:shd w:val="clear" w:color="auto" w:fill="FFFFFF"/>
        </w:rPr>
        <w:t>Osio</w:t>
      </w:r>
      <w:proofErr w:type="spellEnd"/>
      <w:r w:rsidRPr="00300137">
        <w:rPr>
          <w:rFonts w:eastAsiaTheme="minorEastAsia" w:cstheme="minorHAnsi"/>
          <w:sz w:val="20"/>
          <w:szCs w:val="20"/>
          <w:shd w:val="clear" w:color="auto" w:fill="FFFFFF"/>
        </w:rPr>
        <w:t xml:space="preserve">, D. </w:t>
      </w:r>
      <w:proofErr w:type="spellStart"/>
      <w:r w:rsidRPr="00300137">
        <w:rPr>
          <w:rFonts w:eastAsiaTheme="minorEastAsia" w:cstheme="minorHAnsi"/>
          <w:sz w:val="20"/>
          <w:szCs w:val="20"/>
          <w:shd w:val="clear" w:color="auto" w:fill="FFFFFF"/>
        </w:rPr>
        <w:t>Ovando</w:t>
      </w:r>
      <w:proofErr w:type="spellEnd"/>
      <w:r w:rsidRPr="00300137">
        <w:rPr>
          <w:rFonts w:eastAsiaTheme="minorEastAsia" w:cstheme="minorHAnsi"/>
          <w:sz w:val="20"/>
          <w:szCs w:val="20"/>
          <w:shd w:val="clear" w:color="auto" w:fill="FFFFFF"/>
        </w:rPr>
        <w:t>, E.R. Selig, J.T. Thorson, and Y. Ye. 2014. Developing new approaches to global stock status assessment and fishery production potential of the seas. FAO Fisheries and Aquaculture Circular, Rome, Italy.</w:t>
      </w:r>
    </w:p>
    <w:p w:rsidR="00F824AE" w:rsidRPr="00300137" w:rsidRDefault="00F824AE" w:rsidP="00F824AE">
      <w:pPr>
        <w:contextualSpacing/>
        <w:mirrorIndents/>
        <w:rPr>
          <w:rFonts w:cstheme="minorHAnsi"/>
          <w:color w:val="222222"/>
          <w:sz w:val="20"/>
          <w:szCs w:val="20"/>
          <w:shd w:val="clear" w:color="auto" w:fill="FFFFFF"/>
        </w:rPr>
      </w:pPr>
    </w:p>
    <w:p w:rsidR="00F824AE" w:rsidRPr="00300137" w:rsidRDefault="00F824AE" w:rsidP="00F824AE">
      <w:pPr>
        <w:ind w:left="360" w:hanging="360"/>
        <w:contextualSpacing/>
        <w:mirrorIndents/>
        <w:rPr>
          <w:rFonts w:cstheme="minorHAnsi"/>
          <w:sz w:val="20"/>
          <w:szCs w:val="20"/>
        </w:rPr>
      </w:pPr>
      <w:r w:rsidRPr="00300137">
        <w:rPr>
          <w:rFonts w:cstheme="minorHAnsi"/>
          <w:sz w:val="20"/>
          <w:szCs w:val="20"/>
        </w:rPr>
        <w:t xml:space="preserve">Thorson, J.T., C. Minto, C.V. </w:t>
      </w:r>
      <w:proofErr w:type="spellStart"/>
      <w:r w:rsidRPr="00300137">
        <w:rPr>
          <w:rFonts w:cstheme="minorHAnsi"/>
          <w:sz w:val="20"/>
          <w:szCs w:val="20"/>
        </w:rPr>
        <w:t>Minte</w:t>
      </w:r>
      <w:proofErr w:type="spellEnd"/>
      <w:r w:rsidRPr="00300137">
        <w:rPr>
          <w:rFonts w:cstheme="minorHAnsi"/>
          <w:sz w:val="20"/>
          <w:szCs w:val="20"/>
        </w:rPr>
        <w:t xml:space="preserve">-Vera, K.M. </w:t>
      </w:r>
      <w:proofErr w:type="spellStart"/>
      <w:r w:rsidRPr="00300137">
        <w:rPr>
          <w:rFonts w:cstheme="minorHAnsi"/>
          <w:sz w:val="20"/>
          <w:szCs w:val="20"/>
        </w:rPr>
        <w:t>Kleisner</w:t>
      </w:r>
      <w:proofErr w:type="spellEnd"/>
      <w:r w:rsidRPr="00300137">
        <w:rPr>
          <w:rFonts w:cstheme="minorHAnsi"/>
          <w:sz w:val="20"/>
          <w:szCs w:val="20"/>
        </w:rPr>
        <w:t>, and C. Longo. 2013. A new role for effort dynamics in the theory of harvested populations and data-poor stock assessment. Canadian Journal of Fisheries and Aquatic Sciences 70(12):1829–1844.</w:t>
      </w:r>
    </w:p>
    <w:p w:rsidR="00F824AE" w:rsidRPr="00300137" w:rsidRDefault="00F824AE" w:rsidP="00F824AE">
      <w:pPr>
        <w:contextualSpacing/>
        <w:mirrorIndents/>
        <w:rPr>
          <w:rFonts w:cstheme="minorHAnsi"/>
          <w:sz w:val="20"/>
          <w:szCs w:val="20"/>
        </w:rPr>
      </w:pPr>
    </w:p>
    <w:p w:rsidR="00F824AE" w:rsidRPr="00300137" w:rsidRDefault="00F824AE" w:rsidP="00F824AE">
      <w:pPr>
        <w:ind w:left="360" w:hanging="360"/>
        <w:contextualSpacing/>
        <w:mirrorIndents/>
        <w:rPr>
          <w:rFonts w:cstheme="minorHAnsi"/>
          <w:sz w:val="20"/>
          <w:szCs w:val="20"/>
        </w:rPr>
      </w:pPr>
      <w:r w:rsidRPr="00300137">
        <w:rPr>
          <w:rFonts w:cstheme="minorHAnsi"/>
          <w:sz w:val="20"/>
          <w:szCs w:val="20"/>
        </w:rPr>
        <w:t xml:space="preserve">Vasconcellos, M., and K. Cochrane. 2005. Overview of world status of data-limited fisheries: inferences from landings statistics. In: Kruse, G.H., V.F. Gallucci, D.E. Hay, R.I. Perry, R.M. Peterman, T.C. Shirley, P.D. Spencer, B. Wilson, and R. </w:t>
      </w:r>
      <w:proofErr w:type="spellStart"/>
      <w:r w:rsidRPr="00300137">
        <w:rPr>
          <w:rFonts w:cstheme="minorHAnsi"/>
          <w:sz w:val="20"/>
          <w:szCs w:val="20"/>
        </w:rPr>
        <w:t>Woodby</w:t>
      </w:r>
      <w:proofErr w:type="spellEnd"/>
      <w:r w:rsidRPr="00300137">
        <w:rPr>
          <w:rFonts w:cstheme="minorHAnsi"/>
          <w:sz w:val="20"/>
          <w:szCs w:val="20"/>
        </w:rPr>
        <w:t xml:space="preserve"> (eds.), Fisheries Assessment and Management in Data-Limited Situations. Alaska Sea Grant College Program, University of Alaska Fairbanks, Fairbanks, AK.</w:t>
      </w:r>
    </w:p>
    <w:p w:rsidR="00F824AE" w:rsidRPr="00300137" w:rsidRDefault="00F824AE" w:rsidP="00F824AE">
      <w:pPr>
        <w:contextualSpacing/>
        <w:mirrorIndents/>
        <w:rPr>
          <w:rFonts w:cstheme="minorHAnsi"/>
          <w:sz w:val="20"/>
          <w:szCs w:val="20"/>
        </w:rPr>
      </w:pPr>
    </w:p>
    <w:p w:rsidR="00F824AE" w:rsidRDefault="00F824AE" w:rsidP="00F824AE">
      <w:pPr>
        <w:ind w:left="360" w:hanging="360"/>
        <w:contextualSpacing/>
        <w:mirrorIndents/>
        <w:rPr>
          <w:rFonts w:cstheme="minorHAnsi"/>
          <w:sz w:val="20"/>
          <w:szCs w:val="20"/>
        </w:rPr>
      </w:pPr>
      <w:r w:rsidRPr="00300137">
        <w:rPr>
          <w:rFonts w:cstheme="minorHAnsi"/>
          <w:sz w:val="20"/>
          <w:szCs w:val="20"/>
        </w:rPr>
        <w:t xml:space="preserve">Zhou, S., A.E. Punt, Y. Ye, N. Ellis, C.M. </w:t>
      </w:r>
      <w:proofErr w:type="spellStart"/>
      <w:r w:rsidRPr="00300137">
        <w:rPr>
          <w:rFonts w:cstheme="minorHAnsi"/>
          <w:sz w:val="20"/>
          <w:szCs w:val="20"/>
        </w:rPr>
        <w:t>Dichmont</w:t>
      </w:r>
      <w:proofErr w:type="spellEnd"/>
      <w:r w:rsidRPr="00300137">
        <w:rPr>
          <w:rFonts w:cstheme="minorHAnsi"/>
          <w:sz w:val="20"/>
          <w:szCs w:val="20"/>
        </w:rPr>
        <w:t>, M. Haddon, D.C. Smith, and A.D.M. Smith. 2017a. Estimating stock depletion level from patterns of catch history. Fish and Fisheries 18(4):742–751.</w:t>
      </w:r>
    </w:p>
    <w:p w:rsidR="00F824AE" w:rsidRDefault="00F824AE" w:rsidP="00F824AE">
      <w:pPr>
        <w:ind w:left="360" w:hanging="360"/>
        <w:contextualSpacing/>
        <w:mirrorIndents/>
        <w:rPr>
          <w:rFonts w:cstheme="minorHAnsi"/>
          <w:sz w:val="20"/>
          <w:szCs w:val="20"/>
        </w:rPr>
      </w:pPr>
    </w:p>
    <w:p w:rsidR="00937C24" w:rsidRPr="00F824AE" w:rsidRDefault="00F824AE" w:rsidP="00F824AE">
      <w:pPr>
        <w:ind w:left="360" w:hanging="360"/>
        <w:contextualSpacing/>
        <w:mirrorIndents/>
        <w:rPr>
          <w:rFonts w:cstheme="minorHAnsi"/>
          <w:sz w:val="20"/>
          <w:szCs w:val="20"/>
        </w:rPr>
      </w:pPr>
      <w:r w:rsidRPr="00300137">
        <w:rPr>
          <w:rFonts w:eastAsia="Calibri" w:cstheme="minorHAnsi"/>
          <w:color w:val="222222"/>
          <w:sz w:val="20"/>
          <w:szCs w:val="20"/>
          <w:shd w:val="clear" w:color="auto" w:fill="FFFFFF"/>
        </w:rPr>
        <w:t xml:space="preserve">Zhou, S., A.E. Punt, A.D.M. Smith, Y. Ye, M. Haddon, C.M. </w:t>
      </w:r>
      <w:proofErr w:type="spellStart"/>
      <w:r w:rsidRPr="00300137">
        <w:rPr>
          <w:rFonts w:eastAsia="Calibri" w:cstheme="minorHAnsi"/>
          <w:color w:val="222222"/>
          <w:sz w:val="20"/>
          <w:szCs w:val="20"/>
          <w:shd w:val="clear" w:color="auto" w:fill="FFFFFF"/>
        </w:rPr>
        <w:t>Dichmont</w:t>
      </w:r>
      <w:proofErr w:type="spellEnd"/>
      <w:r w:rsidRPr="00300137">
        <w:rPr>
          <w:rFonts w:eastAsia="Calibri" w:cstheme="minorHAnsi"/>
          <w:color w:val="222222"/>
          <w:sz w:val="20"/>
          <w:szCs w:val="20"/>
          <w:shd w:val="clear" w:color="auto" w:fill="FFFFFF"/>
        </w:rPr>
        <w:t>, and D.C. Smith. 2017b. An optimized catch-only assessment method for data poor fisheries. ICES Journal of Marine Science 75(3):964-976.</w:t>
      </w:r>
    </w:p>
    <w:p w:rsidR="000D78FD" w:rsidRPr="00C12BB7" w:rsidRDefault="000D78FD"/>
    <w:p w:rsidR="00480088" w:rsidRDefault="00480088">
      <w:pPr>
        <w:rPr>
          <w:b/>
        </w:rPr>
      </w:pPr>
      <w:r>
        <w:rPr>
          <w:b/>
        </w:rPr>
        <w:br w:type="page"/>
      </w:r>
    </w:p>
    <w:p w:rsidR="00514A83" w:rsidRDefault="000D78FD">
      <w:pPr>
        <w:rPr>
          <w:b/>
        </w:rPr>
      </w:pPr>
      <w:r>
        <w:rPr>
          <w:b/>
        </w:rPr>
        <w:lastRenderedPageBreak/>
        <w:t xml:space="preserve">Tables &amp; </w:t>
      </w:r>
      <w:r w:rsidR="00514A83">
        <w:rPr>
          <w:b/>
        </w:rPr>
        <w:t>Figures</w:t>
      </w:r>
    </w:p>
    <w:p w:rsidR="00514A83" w:rsidRDefault="00514A83">
      <w:pPr>
        <w:rPr>
          <w:b/>
        </w:rPr>
      </w:pPr>
    </w:p>
    <w:p w:rsidR="00514A83" w:rsidRDefault="0091745E">
      <w:pPr>
        <w:rPr>
          <w:b/>
        </w:rPr>
      </w:pPr>
      <w:r>
        <w:rPr>
          <w:b/>
          <w:noProof/>
        </w:rPr>
        <w:drawing>
          <wp:inline distT="0" distB="0" distL="0" distR="0">
            <wp:extent cx="5943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ig3_com_time_series_performanc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480088" w:rsidRPr="0091745E" w:rsidRDefault="00514A83">
      <w:r>
        <w:rPr>
          <w:b/>
        </w:rPr>
        <w:t xml:space="preserve">Figure 1. </w:t>
      </w:r>
      <w:r w:rsidRPr="00514A83">
        <w:t>Statu</w:t>
      </w:r>
      <w:r w:rsidR="002B25BF">
        <w:t>s estimation performance of six</w:t>
      </w:r>
      <w:r w:rsidRPr="00514A83">
        <w:t xml:space="preserve"> catch-only stock status models.</w:t>
      </w:r>
      <w:r>
        <w:rPr>
          <w:b/>
        </w:rPr>
        <w:t xml:space="preserve"> </w:t>
      </w:r>
      <w:r w:rsidR="0091745E">
        <w:t xml:space="preserve">The performance of the superensemble model improves over time while the performance of the other catch-only models </w:t>
      </w:r>
      <w:r w:rsidR="009F3189">
        <w:t>degrades</w:t>
      </w:r>
      <w:r w:rsidR="0091745E">
        <w:t xml:space="preserve"> over time.</w:t>
      </w:r>
      <w:bookmarkStart w:id="0" w:name="_GoBack"/>
      <w:bookmarkEnd w:id="0"/>
    </w:p>
    <w:p w:rsidR="00480088" w:rsidRDefault="00480088">
      <w:pPr>
        <w:rPr>
          <w:b/>
        </w:rPr>
      </w:pPr>
      <w:r>
        <w:rPr>
          <w:b/>
        </w:rPr>
        <w:br w:type="page"/>
      </w:r>
    </w:p>
    <w:p w:rsidR="00822499" w:rsidRDefault="00822499" w:rsidP="00480088">
      <w:pPr>
        <w:rPr>
          <w:rFonts w:ascii="Calibri" w:hAnsi="Calibri" w:cs="Calibri"/>
          <w:b/>
        </w:rPr>
        <w:sectPr w:rsidR="00822499" w:rsidSect="009537B2">
          <w:pgSz w:w="12240" w:h="15840"/>
          <w:pgMar w:top="1440" w:right="1440" w:bottom="1440" w:left="1440" w:header="720" w:footer="720" w:gutter="0"/>
          <w:cols w:space="720"/>
          <w:docGrid w:linePitch="360"/>
        </w:sectPr>
      </w:pPr>
    </w:p>
    <w:p w:rsidR="00822499" w:rsidRDefault="00822499" w:rsidP="00822499">
      <w:pPr>
        <w:rPr>
          <w:rFonts w:cstheme="minorHAnsi"/>
        </w:rPr>
      </w:pPr>
      <w:r>
        <w:rPr>
          <w:rFonts w:ascii="Calibri" w:hAnsi="Calibri" w:cs="Calibri"/>
          <w:b/>
        </w:rPr>
        <w:lastRenderedPageBreak/>
        <w:t xml:space="preserve">Table 1. </w:t>
      </w:r>
      <w:r w:rsidRPr="00300137">
        <w:rPr>
          <w:rFonts w:cstheme="minorHAnsi"/>
        </w:rPr>
        <w:t>Catch-only stock assessment methods</w:t>
      </w:r>
      <w:r w:rsidRPr="00300137">
        <w:rPr>
          <w:rFonts w:cstheme="minorHAnsi"/>
          <w:vertAlign w:val="superscript"/>
        </w:rPr>
        <w:t>†</w:t>
      </w:r>
      <w:r w:rsidRPr="00300137">
        <w:rPr>
          <w:rFonts w:cstheme="minorHAnsi"/>
        </w:rPr>
        <w:t>.</w:t>
      </w:r>
    </w:p>
    <w:p w:rsidR="00822499" w:rsidRPr="00300137" w:rsidRDefault="00822499" w:rsidP="00822499">
      <w:pPr>
        <w:rPr>
          <w:rFonts w:cstheme="minorHAnsi"/>
        </w:rPr>
      </w:pPr>
    </w:p>
    <w:p w:rsidR="00822499" w:rsidRPr="00300137" w:rsidRDefault="00822499" w:rsidP="00822499">
      <w:pPr>
        <w:rPr>
          <w:rFonts w:cstheme="minorHAnsi"/>
          <w:sz w:val="8"/>
          <w:szCs w:val="8"/>
        </w:rPr>
      </w:pPr>
    </w:p>
    <w:tbl>
      <w:tblPr>
        <w:tblW w:w="5000" w:type="pct"/>
        <w:tblLook w:val="04A0" w:firstRow="1" w:lastRow="0" w:firstColumn="1" w:lastColumn="0" w:noHBand="0" w:noVBand="1"/>
      </w:tblPr>
      <w:tblGrid>
        <w:gridCol w:w="420"/>
        <w:gridCol w:w="2846"/>
        <w:gridCol w:w="2509"/>
        <w:gridCol w:w="2452"/>
        <w:gridCol w:w="4733"/>
      </w:tblGrid>
      <w:tr w:rsidR="00822499" w:rsidRPr="00300137" w:rsidTr="004D1501">
        <w:trPr>
          <w:trHeight w:val="102"/>
        </w:trPr>
        <w:tc>
          <w:tcPr>
            <w:tcW w:w="162" w:type="pct"/>
            <w:tcBorders>
              <w:top w:val="nil"/>
              <w:left w:val="nil"/>
              <w:bottom w:val="double" w:sz="6" w:space="0" w:color="auto"/>
              <w:right w:val="nil"/>
            </w:tcBorders>
            <w:shd w:val="clear" w:color="auto" w:fill="auto"/>
            <w:noWrap/>
            <w:vAlign w:val="bottom"/>
            <w:hideMark/>
          </w:tcPr>
          <w:p w:rsidR="00822499" w:rsidRPr="00300137" w:rsidRDefault="00822499" w:rsidP="004D1501">
            <w:pPr>
              <w:rPr>
                <w:rFonts w:ascii="Calibri" w:hAnsi="Calibri" w:cs="Calibri"/>
                <w:b/>
                <w:bCs/>
                <w:color w:val="000000"/>
                <w:sz w:val="18"/>
                <w:szCs w:val="18"/>
              </w:rPr>
            </w:pPr>
            <w:r w:rsidRPr="00300137">
              <w:rPr>
                <w:rFonts w:ascii="Calibri" w:hAnsi="Calibri" w:cs="Calibri"/>
                <w:b/>
                <w:bCs/>
                <w:color w:val="000000"/>
                <w:sz w:val="18"/>
                <w:szCs w:val="18"/>
              </w:rPr>
              <w:t> </w:t>
            </w:r>
          </w:p>
        </w:tc>
        <w:tc>
          <w:tcPr>
            <w:tcW w:w="1098" w:type="pct"/>
            <w:tcBorders>
              <w:top w:val="nil"/>
              <w:left w:val="nil"/>
              <w:bottom w:val="double" w:sz="6" w:space="0" w:color="auto"/>
              <w:right w:val="nil"/>
            </w:tcBorders>
            <w:shd w:val="clear" w:color="auto" w:fill="auto"/>
            <w:noWrap/>
            <w:vAlign w:val="bottom"/>
            <w:hideMark/>
          </w:tcPr>
          <w:p w:rsidR="00822499" w:rsidRPr="00300137" w:rsidRDefault="00822499" w:rsidP="004D1501">
            <w:pPr>
              <w:rPr>
                <w:rFonts w:ascii="Calibri" w:hAnsi="Calibri" w:cs="Calibri"/>
                <w:b/>
                <w:bCs/>
                <w:color w:val="000000"/>
                <w:sz w:val="18"/>
                <w:szCs w:val="18"/>
              </w:rPr>
            </w:pPr>
            <w:r w:rsidRPr="00300137">
              <w:rPr>
                <w:rFonts w:ascii="Calibri" w:hAnsi="Calibri" w:cs="Calibri"/>
                <w:b/>
                <w:bCs/>
                <w:color w:val="000000"/>
                <w:sz w:val="18"/>
                <w:szCs w:val="18"/>
              </w:rPr>
              <w:t>Method</w:t>
            </w:r>
          </w:p>
        </w:tc>
        <w:tc>
          <w:tcPr>
            <w:tcW w:w="968" w:type="pct"/>
            <w:tcBorders>
              <w:top w:val="nil"/>
              <w:left w:val="nil"/>
              <w:bottom w:val="double" w:sz="6" w:space="0" w:color="auto"/>
              <w:right w:val="nil"/>
            </w:tcBorders>
            <w:shd w:val="clear" w:color="auto" w:fill="auto"/>
            <w:noWrap/>
            <w:vAlign w:val="bottom"/>
            <w:hideMark/>
          </w:tcPr>
          <w:p w:rsidR="00822499" w:rsidRPr="00300137" w:rsidRDefault="00822499" w:rsidP="004D1501">
            <w:pPr>
              <w:rPr>
                <w:rFonts w:ascii="Calibri" w:hAnsi="Calibri" w:cs="Calibri"/>
                <w:b/>
                <w:bCs/>
                <w:color w:val="000000"/>
                <w:sz w:val="18"/>
                <w:szCs w:val="18"/>
              </w:rPr>
            </w:pPr>
            <w:r w:rsidRPr="00300137">
              <w:rPr>
                <w:rFonts w:ascii="Calibri" w:hAnsi="Calibri" w:cs="Calibri"/>
                <w:b/>
                <w:bCs/>
                <w:color w:val="000000"/>
                <w:sz w:val="18"/>
                <w:szCs w:val="18"/>
              </w:rPr>
              <w:t>References</w:t>
            </w:r>
          </w:p>
        </w:tc>
        <w:tc>
          <w:tcPr>
            <w:tcW w:w="946" w:type="pct"/>
            <w:tcBorders>
              <w:top w:val="nil"/>
              <w:left w:val="nil"/>
              <w:bottom w:val="double" w:sz="6" w:space="0" w:color="auto"/>
              <w:right w:val="nil"/>
            </w:tcBorders>
            <w:shd w:val="clear" w:color="auto" w:fill="auto"/>
            <w:noWrap/>
            <w:vAlign w:val="bottom"/>
            <w:hideMark/>
          </w:tcPr>
          <w:p w:rsidR="00822499" w:rsidRPr="00300137" w:rsidRDefault="00822499" w:rsidP="004D1501">
            <w:pPr>
              <w:rPr>
                <w:rFonts w:ascii="Calibri" w:hAnsi="Calibri" w:cs="Calibri"/>
                <w:b/>
                <w:bCs/>
                <w:color w:val="000000"/>
                <w:sz w:val="18"/>
                <w:szCs w:val="18"/>
              </w:rPr>
            </w:pPr>
            <w:r w:rsidRPr="00300137">
              <w:rPr>
                <w:rFonts w:ascii="Calibri" w:hAnsi="Calibri" w:cs="Calibri"/>
                <w:b/>
                <w:bCs/>
                <w:color w:val="000000"/>
                <w:sz w:val="18"/>
                <w:szCs w:val="18"/>
              </w:rPr>
              <w:t>Data input/output</w:t>
            </w:r>
          </w:p>
        </w:tc>
        <w:tc>
          <w:tcPr>
            <w:tcW w:w="1826" w:type="pct"/>
            <w:tcBorders>
              <w:top w:val="nil"/>
              <w:left w:val="nil"/>
              <w:bottom w:val="double" w:sz="6" w:space="0" w:color="auto"/>
              <w:right w:val="nil"/>
            </w:tcBorders>
            <w:shd w:val="clear" w:color="auto" w:fill="auto"/>
            <w:noWrap/>
            <w:vAlign w:val="bottom"/>
            <w:hideMark/>
          </w:tcPr>
          <w:p w:rsidR="00822499" w:rsidRPr="00300137" w:rsidRDefault="00822499" w:rsidP="004D1501">
            <w:pPr>
              <w:rPr>
                <w:rFonts w:ascii="Calibri" w:hAnsi="Calibri" w:cs="Calibri"/>
                <w:b/>
                <w:bCs/>
                <w:color w:val="000000"/>
                <w:sz w:val="18"/>
                <w:szCs w:val="18"/>
              </w:rPr>
            </w:pPr>
            <w:r w:rsidRPr="00300137">
              <w:rPr>
                <w:rFonts w:ascii="Calibri" w:hAnsi="Calibri" w:cs="Calibri"/>
                <w:b/>
                <w:bCs/>
                <w:color w:val="000000"/>
                <w:sz w:val="18"/>
                <w:szCs w:val="18"/>
              </w:rPr>
              <w:t>Brief description</w:t>
            </w:r>
          </w:p>
        </w:tc>
      </w:tr>
      <w:tr w:rsidR="00822499" w:rsidRPr="00300137" w:rsidTr="00822499">
        <w:trPr>
          <w:trHeight w:val="459"/>
        </w:trPr>
        <w:tc>
          <w:tcPr>
            <w:tcW w:w="162" w:type="pct"/>
            <w:tcBorders>
              <w:top w:val="nil"/>
              <w:left w:val="nil"/>
              <w:bottom w:val="nil"/>
              <w:right w:val="nil"/>
            </w:tcBorders>
            <w:shd w:val="clear" w:color="auto" w:fill="D9D9D9" w:themeFill="background1" w:themeFillShade="D9"/>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1</w:t>
            </w:r>
          </w:p>
        </w:tc>
        <w:tc>
          <w:tcPr>
            <w:tcW w:w="109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proofErr w:type="spellStart"/>
            <w:r w:rsidRPr="00300137">
              <w:rPr>
                <w:rFonts w:ascii="Calibri" w:hAnsi="Calibri" w:cs="Calibri"/>
                <w:b/>
                <w:bCs/>
                <w:color w:val="000000"/>
                <w:sz w:val="18"/>
                <w:szCs w:val="18"/>
              </w:rPr>
              <w:t>mPRM</w:t>
            </w:r>
            <w:proofErr w:type="spellEnd"/>
            <w:r w:rsidRPr="00300137">
              <w:rPr>
                <w:rFonts w:ascii="Calibri" w:hAnsi="Calibri" w:cs="Calibri"/>
                <w:b/>
                <w:bCs/>
                <w:color w:val="000000"/>
                <w:sz w:val="18"/>
                <w:szCs w:val="18"/>
              </w:rPr>
              <w:t>*</w:t>
            </w:r>
            <w:r w:rsidRPr="00300137">
              <w:rPr>
                <w:rFonts w:ascii="Calibri" w:hAnsi="Calibri" w:cs="Calibri"/>
                <w:b/>
                <w:bCs/>
                <w:color w:val="000000"/>
                <w:sz w:val="18"/>
                <w:szCs w:val="18"/>
              </w:rPr>
              <w:br/>
            </w:r>
            <w:r w:rsidRPr="00300137">
              <w:rPr>
                <w:rFonts w:ascii="Calibri" w:hAnsi="Calibri" w:cs="Calibri"/>
                <w:color w:val="000000"/>
                <w:sz w:val="18"/>
                <w:szCs w:val="18"/>
              </w:rPr>
              <w:t>Modified panel regression model</w:t>
            </w:r>
          </w:p>
        </w:tc>
        <w:tc>
          <w:tcPr>
            <w:tcW w:w="96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Costello et al. 2012</w:t>
            </w:r>
            <w:r w:rsidRPr="00300137">
              <w:rPr>
                <w:rFonts w:ascii="Calibri" w:hAnsi="Calibri" w:cs="Calibri"/>
                <w:color w:val="000000"/>
                <w:sz w:val="18"/>
                <w:szCs w:val="18"/>
              </w:rPr>
              <w:br/>
              <w:t>Anderson et al. 2017</w:t>
            </w:r>
          </w:p>
        </w:tc>
        <w:tc>
          <w:tcPr>
            <w:tcW w:w="94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taxonomic group</w:t>
            </w:r>
            <w:r w:rsidRPr="00300137">
              <w:rPr>
                <w:rFonts w:ascii="Calibri" w:hAnsi="Calibri" w:cs="Calibri"/>
                <w:color w:val="000000"/>
                <w:sz w:val="18"/>
                <w:szCs w:val="18"/>
              </w:rPr>
              <w:br/>
              <w:t>Out: B/B</w:t>
            </w:r>
            <w:r w:rsidRPr="00300137">
              <w:rPr>
                <w:rFonts w:ascii="Calibri" w:hAnsi="Calibri" w:cs="Calibri"/>
                <w:color w:val="000000"/>
                <w:sz w:val="18"/>
                <w:szCs w:val="18"/>
                <w:vertAlign w:val="subscript"/>
              </w:rPr>
              <w:t>MSY</w:t>
            </w:r>
          </w:p>
        </w:tc>
        <w:tc>
          <w:tcPr>
            <w:tcW w:w="182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Uses a panel regression model trained on the RAMLDB to predict status from characteristics of the catch time series and taxonomic group</w:t>
            </w:r>
          </w:p>
        </w:tc>
      </w:tr>
      <w:tr w:rsidR="00822499" w:rsidRPr="00300137" w:rsidTr="00822499">
        <w:trPr>
          <w:trHeight w:val="459"/>
        </w:trPr>
        <w:tc>
          <w:tcPr>
            <w:tcW w:w="162" w:type="pct"/>
            <w:tcBorders>
              <w:top w:val="nil"/>
              <w:left w:val="nil"/>
              <w:bottom w:val="nil"/>
              <w:right w:val="nil"/>
            </w:tcBorders>
            <w:shd w:val="clear" w:color="auto" w:fill="auto"/>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2</w:t>
            </w:r>
          </w:p>
        </w:tc>
        <w:tc>
          <w:tcPr>
            <w:tcW w:w="109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b/>
                <w:bCs/>
                <w:color w:val="000000"/>
                <w:sz w:val="18"/>
                <w:szCs w:val="18"/>
              </w:rPr>
              <w:t>cMSY-2013*</w:t>
            </w:r>
            <w:r w:rsidRPr="00300137">
              <w:rPr>
                <w:rFonts w:ascii="Calibri" w:hAnsi="Calibri" w:cs="Calibri"/>
                <w:b/>
                <w:bCs/>
                <w:color w:val="000000"/>
                <w:sz w:val="18"/>
                <w:szCs w:val="18"/>
              </w:rPr>
              <w:br/>
            </w:r>
            <w:r w:rsidRPr="00300137">
              <w:rPr>
                <w:rFonts w:ascii="Calibri" w:hAnsi="Calibri" w:cs="Calibri"/>
                <w:color w:val="000000"/>
                <w:sz w:val="18"/>
                <w:szCs w:val="18"/>
              </w:rPr>
              <w:t>Catch-MSY</w:t>
            </w:r>
          </w:p>
        </w:tc>
        <w:tc>
          <w:tcPr>
            <w:tcW w:w="96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lang w:val="nb-NO"/>
              </w:rPr>
            </w:pPr>
            <w:r w:rsidRPr="00300137">
              <w:rPr>
                <w:rFonts w:ascii="Calibri" w:hAnsi="Calibri" w:cs="Calibri"/>
                <w:color w:val="000000"/>
                <w:sz w:val="18"/>
                <w:szCs w:val="18"/>
                <w:lang w:val="nb-NO"/>
              </w:rPr>
              <w:t xml:space="preserve">Martell &amp; </w:t>
            </w:r>
            <w:proofErr w:type="spellStart"/>
            <w:r w:rsidRPr="00300137">
              <w:rPr>
                <w:rFonts w:ascii="Calibri" w:hAnsi="Calibri" w:cs="Calibri"/>
                <w:color w:val="000000"/>
                <w:sz w:val="18"/>
                <w:szCs w:val="18"/>
                <w:lang w:val="nb-NO"/>
              </w:rPr>
              <w:t>Froese</w:t>
            </w:r>
            <w:proofErr w:type="spellEnd"/>
            <w:r w:rsidRPr="00300137">
              <w:rPr>
                <w:rFonts w:ascii="Calibri" w:hAnsi="Calibri" w:cs="Calibri"/>
                <w:color w:val="000000"/>
                <w:sz w:val="18"/>
                <w:szCs w:val="18"/>
                <w:lang w:val="nb-NO"/>
              </w:rPr>
              <w:t xml:space="preserve"> 2013</w:t>
            </w:r>
            <w:r w:rsidRPr="00300137">
              <w:rPr>
                <w:rFonts w:ascii="Calibri" w:hAnsi="Calibri" w:cs="Calibri"/>
                <w:color w:val="000000"/>
                <w:sz w:val="18"/>
                <w:szCs w:val="18"/>
                <w:lang w:val="nb-NO"/>
              </w:rPr>
              <w:br/>
              <w:t>Rosenberg et al. 2014</w:t>
            </w:r>
          </w:p>
        </w:tc>
        <w:tc>
          <w:tcPr>
            <w:tcW w:w="94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resilience</w:t>
            </w:r>
            <w:r w:rsidRPr="00300137">
              <w:rPr>
                <w:rFonts w:ascii="Calibri" w:hAnsi="Calibri" w:cs="Calibri"/>
                <w:color w:val="000000"/>
                <w:sz w:val="18"/>
                <w:szCs w:val="18"/>
              </w:rPr>
              <w:br/>
              <w:t>Out: B/B</w:t>
            </w:r>
            <w:r w:rsidRPr="00300137">
              <w:rPr>
                <w:rFonts w:ascii="Calibri" w:hAnsi="Calibri" w:cs="Calibri"/>
                <w:color w:val="000000"/>
                <w:sz w:val="18"/>
                <w:szCs w:val="18"/>
                <w:vertAlign w:val="subscript"/>
              </w:rPr>
              <w:t>MSY</w:t>
            </w:r>
            <w:r w:rsidRPr="00300137">
              <w:rPr>
                <w:rFonts w:ascii="Calibri" w:hAnsi="Calibri" w:cs="Calibri"/>
                <w:color w:val="000000"/>
                <w:sz w:val="18"/>
                <w:szCs w:val="18"/>
              </w:rPr>
              <w:t>, MSY, B, B</w:t>
            </w:r>
            <w:r w:rsidRPr="00300137">
              <w:rPr>
                <w:rFonts w:ascii="Calibri" w:hAnsi="Calibri" w:cs="Calibri"/>
                <w:color w:val="000000"/>
                <w:sz w:val="18"/>
                <w:szCs w:val="18"/>
                <w:vertAlign w:val="subscript"/>
              </w:rPr>
              <w:t>MSY</w:t>
            </w:r>
          </w:p>
        </w:tc>
        <w:tc>
          <w:tcPr>
            <w:tcW w:w="182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 xml:space="preserve">Uses a stock reduction analysis with priors for </w:t>
            </w:r>
            <w:r w:rsidRPr="00300137">
              <w:rPr>
                <w:rFonts w:ascii="Calibri" w:hAnsi="Calibri" w:cs="Calibri"/>
                <w:i/>
                <w:color w:val="000000"/>
                <w:sz w:val="18"/>
                <w:szCs w:val="18"/>
              </w:rPr>
              <w:t>r</w:t>
            </w:r>
            <w:r w:rsidRPr="00300137">
              <w:rPr>
                <w:rFonts w:ascii="Calibri" w:hAnsi="Calibri" w:cs="Calibri"/>
                <w:color w:val="000000"/>
                <w:sz w:val="18"/>
                <w:szCs w:val="18"/>
              </w:rPr>
              <w:t xml:space="preserve">, </w:t>
            </w:r>
            <w:r w:rsidRPr="00300137">
              <w:rPr>
                <w:rFonts w:ascii="Calibri" w:hAnsi="Calibri" w:cs="Calibri"/>
                <w:i/>
                <w:color w:val="000000"/>
                <w:sz w:val="18"/>
                <w:szCs w:val="18"/>
              </w:rPr>
              <w:t>K</w:t>
            </w:r>
            <w:r w:rsidRPr="00300137">
              <w:rPr>
                <w:rFonts w:ascii="Calibri" w:hAnsi="Calibri" w:cs="Calibri"/>
                <w:color w:val="000000"/>
                <w:sz w:val="18"/>
                <w:szCs w:val="18"/>
              </w:rPr>
              <w:t>, and initial/final year depletion derived from resilience and maximum catch to estimate status</w:t>
            </w:r>
          </w:p>
        </w:tc>
      </w:tr>
      <w:tr w:rsidR="00822499" w:rsidRPr="00300137" w:rsidTr="00822499">
        <w:trPr>
          <w:trHeight w:val="459"/>
        </w:trPr>
        <w:tc>
          <w:tcPr>
            <w:tcW w:w="162" w:type="pct"/>
            <w:tcBorders>
              <w:top w:val="nil"/>
              <w:left w:val="nil"/>
              <w:bottom w:val="nil"/>
              <w:right w:val="nil"/>
            </w:tcBorders>
            <w:shd w:val="clear" w:color="auto" w:fill="D9D9D9" w:themeFill="background1" w:themeFillShade="D9"/>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3</w:t>
            </w:r>
          </w:p>
        </w:tc>
        <w:tc>
          <w:tcPr>
            <w:tcW w:w="109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b/>
                <w:bCs/>
                <w:color w:val="000000"/>
                <w:sz w:val="18"/>
                <w:szCs w:val="18"/>
              </w:rPr>
              <w:t>OCOM</w:t>
            </w:r>
            <w:r w:rsidRPr="00300137">
              <w:rPr>
                <w:rFonts w:ascii="Calibri" w:hAnsi="Calibri" w:cs="Calibri"/>
                <w:color w:val="000000"/>
                <w:sz w:val="18"/>
                <w:szCs w:val="18"/>
              </w:rPr>
              <w:br/>
              <w:t>Optimized catch-only model</w:t>
            </w:r>
          </w:p>
        </w:tc>
        <w:tc>
          <w:tcPr>
            <w:tcW w:w="96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Zhou et al. 2017b</w:t>
            </w:r>
          </w:p>
        </w:tc>
        <w:tc>
          <w:tcPr>
            <w:tcW w:w="94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natural mortality (M)</w:t>
            </w:r>
            <w:r w:rsidRPr="00300137">
              <w:rPr>
                <w:rFonts w:ascii="Calibri" w:hAnsi="Calibri" w:cs="Calibri"/>
                <w:color w:val="000000"/>
                <w:sz w:val="18"/>
                <w:szCs w:val="18"/>
              </w:rPr>
              <w:br/>
              <w:t>Out: Saturation, MSY</w:t>
            </w:r>
          </w:p>
        </w:tc>
        <w:tc>
          <w:tcPr>
            <w:tcW w:w="182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 xml:space="preserve">Uses a stock reduction analysis with priors for </w:t>
            </w:r>
            <w:r w:rsidRPr="00300137">
              <w:rPr>
                <w:rFonts w:ascii="Calibri" w:hAnsi="Calibri" w:cs="Calibri"/>
                <w:i/>
                <w:color w:val="000000"/>
                <w:sz w:val="18"/>
                <w:szCs w:val="18"/>
              </w:rPr>
              <w:t>r</w:t>
            </w:r>
            <w:r w:rsidRPr="00300137">
              <w:rPr>
                <w:rFonts w:ascii="Calibri" w:hAnsi="Calibri" w:cs="Calibri"/>
                <w:color w:val="000000"/>
                <w:sz w:val="18"/>
                <w:szCs w:val="18"/>
              </w:rPr>
              <w:t xml:space="preserve"> and final year depletion derived from </w:t>
            </w:r>
            <w:r w:rsidRPr="00300137">
              <w:rPr>
                <w:rFonts w:ascii="Calibri" w:hAnsi="Calibri" w:cs="Calibri"/>
                <w:i/>
                <w:color w:val="000000"/>
                <w:sz w:val="18"/>
                <w:szCs w:val="18"/>
              </w:rPr>
              <w:t>M</w:t>
            </w:r>
            <w:r w:rsidRPr="00300137">
              <w:rPr>
                <w:rFonts w:ascii="Calibri" w:hAnsi="Calibri" w:cs="Calibri"/>
                <w:color w:val="000000"/>
                <w:sz w:val="18"/>
                <w:szCs w:val="18"/>
              </w:rPr>
              <w:t xml:space="preserve"> and saturation from </w:t>
            </w:r>
            <w:proofErr w:type="spellStart"/>
            <w:r w:rsidRPr="00300137">
              <w:rPr>
                <w:rFonts w:ascii="Calibri" w:hAnsi="Calibri" w:cs="Calibri"/>
                <w:color w:val="000000"/>
                <w:sz w:val="18"/>
                <w:szCs w:val="18"/>
              </w:rPr>
              <w:t>zBRT</w:t>
            </w:r>
            <w:proofErr w:type="spellEnd"/>
            <w:r w:rsidRPr="00300137">
              <w:rPr>
                <w:rFonts w:ascii="Calibri" w:hAnsi="Calibri" w:cs="Calibri"/>
                <w:color w:val="000000"/>
                <w:sz w:val="18"/>
                <w:szCs w:val="18"/>
              </w:rPr>
              <w:t xml:space="preserve"> to estimate status</w:t>
            </w:r>
          </w:p>
        </w:tc>
      </w:tr>
      <w:tr w:rsidR="00822499" w:rsidRPr="00300137" w:rsidTr="004D1501">
        <w:trPr>
          <w:trHeight w:val="459"/>
        </w:trPr>
        <w:tc>
          <w:tcPr>
            <w:tcW w:w="162" w:type="pct"/>
            <w:tcBorders>
              <w:top w:val="nil"/>
              <w:left w:val="nil"/>
              <w:bottom w:val="nil"/>
              <w:right w:val="nil"/>
            </w:tcBorders>
            <w:shd w:val="clear" w:color="auto" w:fill="auto"/>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4</w:t>
            </w:r>
          </w:p>
        </w:tc>
        <w:tc>
          <w:tcPr>
            <w:tcW w:w="109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b/>
                <w:bCs/>
                <w:color w:val="000000"/>
                <w:sz w:val="18"/>
                <w:szCs w:val="18"/>
              </w:rPr>
              <w:t>COM-SIR*</w:t>
            </w:r>
            <w:r w:rsidRPr="00300137">
              <w:rPr>
                <w:rFonts w:ascii="Calibri" w:hAnsi="Calibri" w:cs="Calibri"/>
                <w:b/>
                <w:bCs/>
                <w:color w:val="000000"/>
                <w:sz w:val="18"/>
                <w:szCs w:val="18"/>
              </w:rPr>
              <w:br/>
            </w:r>
            <w:r w:rsidRPr="00300137">
              <w:rPr>
                <w:rFonts w:ascii="Calibri" w:hAnsi="Calibri" w:cs="Calibri"/>
                <w:color w:val="000000"/>
                <w:sz w:val="18"/>
                <w:szCs w:val="18"/>
              </w:rPr>
              <w:t>Catch-only-model with sampling-importance-resampling</w:t>
            </w:r>
          </w:p>
        </w:tc>
        <w:tc>
          <w:tcPr>
            <w:tcW w:w="96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Vasconcellos &amp; Cochrane 2005</w:t>
            </w:r>
            <w:r w:rsidRPr="00300137">
              <w:rPr>
                <w:rFonts w:ascii="Calibri" w:hAnsi="Calibri" w:cs="Calibri"/>
                <w:color w:val="000000"/>
                <w:sz w:val="18"/>
                <w:szCs w:val="18"/>
              </w:rPr>
              <w:br/>
              <w:t>Rosenberg et al. 2014</w:t>
            </w:r>
          </w:p>
        </w:tc>
        <w:tc>
          <w:tcPr>
            <w:tcW w:w="94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resilience</w:t>
            </w:r>
            <w:r w:rsidRPr="00300137">
              <w:rPr>
                <w:rFonts w:ascii="Calibri" w:hAnsi="Calibri" w:cs="Calibri"/>
                <w:color w:val="000000"/>
                <w:sz w:val="18"/>
                <w:szCs w:val="18"/>
              </w:rPr>
              <w:br/>
              <w:t>Out: B/B</w:t>
            </w:r>
            <w:r w:rsidRPr="00300137">
              <w:rPr>
                <w:rFonts w:ascii="Calibri" w:hAnsi="Calibri" w:cs="Calibri"/>
                <w:color w:val="000000"/>
                <w:sz w:val="18"/>
                <w:szCs w:val="18"/>
                <w:vertAlign w:val="subscript"/>
              </w:rPr>
              <w:t>MSY</w:t>
            </w:r>
          </w:p>
        </w:tc>
        <w:tc>
          <w:tcPr>
            <w:tcW w:w="182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Uses a coupled harvest-dynamics model fit using a sampling-importance-resampling algorithm to estimate status</w:t>
            </w:r>
          </w:p>
        </w:tc>
      </w:tr>
      <w:tr w:rsidR="00822499" w:rsidRPr="00300137" w:rsidTr="00822499">
        <w:trPr>
          <w:trHeight w:val="306"/>
        </w:trPr>
        <w:tc>
          <w:tcPr>
            <w:tcW w:w="162" w:type="pct"/>
            <w:tcBorders>
              <w:top w:val="nil"/>
              <w:left w:val="nil"/>
              <w:bottom w:val="nil"/>
              <w:right w:val="nil"/>
            </w:tcBorders>
            <w:shd w:val="clear" w:color="auto" w:fill="D9D9D9" w:themeFill="background1" w:themeFillShade="D9"/>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5</w:t>
            </w:r>
          </w:p>
        </w:tc>
        <w:tc>
          <w:tcPr>
            <w:tcW w:w="109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b/>
                <w:bCs/>
                <w:color w:val="000000"/>
                <w:sz w:val="18"/>
                <w:szCs w:val="18"/>
              </w:rPr>
              <w:t>SSCOM*</w:t>
            </w:r>
            <w:r w:rsidRPr="00300137">
              <w:rPr>
                <w:rFonts w:ascii="Calibri" w:hAnsi="Calibri" w:cs="Calibri"/>
                <w:b/>
                <w:bCs/>
                <w:color w:val="000000"/>
                <w:sz w:val="18"/>
                <w:szCs w:val="18"/>
              </w:rPr>
              <w:br/>
            </w:r>
            <w:r w:rsidRPr="00300137">
              <w:rPr>
                <w:rFonts w:ascii="Calibri" w:hAnsi="Calibri" w:cs="Calibri"/>
                <w:color w:val="000000"/>
                <w:sz w:val="18"/>
                <w:szCs w:val="18"/>
              </w:rPr>
              <w:t>State-space catch-only model</w:t>
            </w:r>
          </w:p>
        </w:tc>
        <w:tc>
          <w:tcPr>
            <w:tcW w:w="968"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Thorson et al. 2013</w:t>
            </w:r>
          </w:p>
        </w:tc>
        <w:tc>
          <w:tcPr>
            <w:tcW w:w="94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resilience</w:t>
            </w:r>
            <w:r w:rsidRPr="00300137">
              <w:rPr>
                <w:rFonts w:ascii="Calibri" w:hAnsi="Calibri" w:cs="Calibri"/>
                <w:color w:val="000000"/>
                <w:sz w:val="18"/>
                <w:szCs w:val="18"/>
              </w:rPr>
              <w:br/>
              <w:t>Out: B/B</w:t>
            </w:r>
            <w:r w:rsidRPr="00300137">
              <w:rPr>
                <w:rFonts w:ascii="Calibri" w:hAnsi="Calibri" w:cs="Calibri"/>
                <w:color w:val="000000"/>
                <w:sz w:val="18"/>
                <w:szCs w:val="18"/>
                <w:vertAlign w:val="subscript"/>
              </w:rPr>
              <w:t>MSY</w:t>
            </w:r>
          </w:p>
        </w:tc>
        <w:tc>
          <w:tcPr>
            <w:tcW w:w="1826" w:type="pct"/>
            <w:tcBorders>
              <w:top w:val="nil"/>
              <w:left w:val="nil"/>
              <w:bottom w:val="nil"/>
              <w:right w:val="nil"/>
            </w:tcBorders>
            <w:shd w:val="clear" w:color="auto" w:fill="D9D9D9" w:themeFill="background1" w:themeFillShade="D9"/>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Uses a coupled harvest-dynamics model fit using a Bayesian hierarchical state-space framework to estimate status</w:t>
            </w:r>
          </w:p>
        </w:tc>
      </w:tr>
      <w:tr w:rsidR="00822499" w:rsidRPr="00300137" w:rsidTr="004D1501">
        <w:trPr>
          <w:trHeight w:val="908"/>
        </w:trPr>
        <w:tc>
          <w:tcPr>
            <w:tcW w:w="162" w:type="pct"/>
            <w:tcBorders>
              <w:top w:val="nil"/>
              <w:left w:val="nil"/>
              <w:bottom w:val="nil"/>
              <w:right w:val="nil"/>
            </w:tcBorders>
            <w:shd w:val="clear" w:color="auto" w:fill="auto"/>
            <w:noWrap/>
            <w:hideMark/>
          </w:tcPr>
          <w:p w:rsidR="00822499" w:rsidRPr="00300137" w:rsidRDefault="00822499" w:rsidP="004D1501">
            <w:pPr>
              <w:jc w:val="right"/>
              <w:rPr>
                <w:rFonts w:ascii="Calibri" w:hAnsi="Calibri" w:cs="Calibri"/>
                <w:color w:val="000000"/>
                <w:sz w:val="18"/>
                <w:szCs w:val="18"/>
              </w:rPr>
            </w:pPr>
            <w:r>
              <w:rPr>
                <w:rFonts w:ascii="Calibri" w:hAnsi="Calibri" w:cs="Calibri"/>
                <w:color w:val="000000"/>
                <w:sz w:val="18"/>
                <w:szCs w:val="18"/>
              </w:rPr>
              <w:t>6</w:t>
            </w:r>
          </w:p>
        </w:tc>
        <w:tc>
          <w:tcPr>
            <w:tcW w:w="109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b/>
                <w:bCs/>
                <w:color w:val="000000"/>
                <w:sz w:val="18"/>
                <w:szCs w:val="18"/>
              </w:rPr>
              <w:t>Superensemble</w:t>
            </w:r>
            <w:r w:rsidRPr="00300137">
              <w:rPr>
                <w:rFonts w:ascii="Calibri" w:hAnsi="Calibri" w:cs="Calibri"/>
                <w:color w:val="000000"/>
                <w:sz w:val="18"/>
                <w:szCs w:val="18"/>
              </w:rPr>
              <w:br/>
              <w:t>Random forest superensemble model</w:t>
            </w:r>
          </w:p>
        </w:tc>
        <w:tc>
          <w:tcPr>
            <w:tcW w:w="968"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Anderson et al. 2017</w:t>
            </w:r>
          </w:p>
        </w:tc>
        <w:tc>
          <w:tcPr>
            <w:tcW w:w="94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In: Catch, B/B</w:t>
            </w:r>
            <w:r w:rsidRPr="00300137">
              <w:rPr>
                <w:rFonts w:ascii="Calibri" w:hAnsi="Calibri" w:cs="Calibri"/>
                <w:color w:val="000000"/>
                <w:sz w:val="18"/>
                <w:szCs w:val="18"/>
                <w:vertAlign w:val="subscript"/>
              </w:rPr>
              <w:t>MSY</w:t>
            </w:r>
            <w:r w:rsidRPr="00300137">
              <w:rPr>
                <w:rFonts w:ascii="Calibri" w:hAnsi="Calibri" w:cs="Calibri"/>
                <w:color w:val="000000"/>
                <w:sz w:val="18"/>
                <w:szCs w:val="18"/>
              </w:rPr>
              <w:t xml:space="preserve"> from 4 COMs</w:t>
            </w:r>
            <w:r w:rsidRPr="00300137">
              <w:rPr>
                <w:rFonts w:ascii="Calibri" w:hAnsi="Calibri" w:cs="Calibri"/>
                <w:color w:val="000000"/>
                <w:sz w:val="18"/>
                <w:szCs w:val="18"/>
              </w:rPr>
              <w:br/>
              <w:t>Out: B/B</w:t>
            </w:r>
            <w:r w:rsidRPr="00300137">
              <w:rPr>
                <w:rFonts w:ascii="Calibri" w:hAnsi="Calibri" w:cs="Calibri"/>
                <w:color w:val="000000"/>
                <w:sz w:val="18"/>
                <w:szCs w:val="18"/>
                <w:vertAlign w:val="subscript"/>
              </w:rPr>
              <w:t>MSY</w:t>
            </w:r>
          </w:p>
        </w:tc>
        <w:tc>
          <w:tcPr>
            <w:tcW w:w="1826" w:type="pct"/>
            <w:tcBorders>
              <w:top w:val="nil"/>
              <w:left w:val="nil"/>
              <w:bottom w:val="nil"/>
              <w:right w:val="nil"/>
            </w:tcBorders>
            <w:shd w:val="clear" w:color="auto" w:fill="auto"/>
            <w:hideMark/>
          </w:tcPr>
          <w:p w:rsidR="00822499" w:rsidRPr="00300137" w:rsidRDefault="00822499" w:rsidP="004D1501">
            <w:pPr>
              <w:rPr>
                <w:rFonts w:ascii="Calibri" w:hAnsi="Calibri" w:cs="Calibri"/>
                <w:color w:val="000000"/>
                <w:sz w:val="18"/>
                <w:szCs w:val="18"/>
              </w:rPr>
            </w:pPr>
            <w:r w:rsidRPr="00300137">
              <w:rPr>
                <w:rFonts w:ascii="Calibri" w:hAnsi="Calibri" w:cs="Calibri"/>
                <w:color w:val="000000"/>
                <w:sz w:val="18"/>
                <w:szCs w:val="18"/>
              </w:rPr>
              <w:t>Uses a random forest model trained on simulated stocks to predict status from the B/B</w:t>
            </w:r>
            <w:r w:rsidRPr="00300137">
              <w:rPr>
                <w:rFonts w:ascii="Calibri" w:hAnsi="Calibri" w:cs="Calibri"/>
                <w:color w:val="000000"/>
                <w:sz w:val="18"/>
                <w:szCs w:val="18"/>
                <w:vertAlign w:val="subscript"/>
              </w:rPr>
              <w:t>MSY</w:t>
            </w:r>
            <w:r w:rsidRPr="00300137">
              <w:rPr>
                <w:rFonts w:ascii="Calibri" w:hAnsi="Calibri" w:cs="Calibri"/>
                <w:color w:val="000000"/>
                <w:sz w:val="18"/>
                <w:szCs w:val="18"/>
              </w:rPr>
              <w:t xml:space="preserve"> predictions of 4 COMs and two spectral properties of the catch time series</w:t>
            </w:r>
          </w:p>
        </w:tc>
      </w:tr>
    </w:tbl>
    <w:p w:rsidR="00822499" w:rsidRPr="00300137" w:rsidRDefault="00822499" w:rsidP="00822499">
      <w:pPr>
        <w:rPr>
          <w:rFonts w:cstheme="minorHAnsi"/>
          <w:sz w:val="20"/>
          <w:szCs w:val="20"/>
        </w:rPr>
      </w:pPr>
      <w:r>
        <w:rPr>
          <w:rFonts w:cstheme="minorHAnsi"/>
          <w:sz w:val="20"/>
          <w:szCs w:val="20"/>
        </w:rPr>
        <w:t xml:space="preserve">* </w:t>
      </w:r>
      <w:r w:rsidRPr="00300137">
        <w:rPr>
          <w:rFonts w:cstheme="minorHAnsi"/>
          <w:sz w:val="20"/>
          <w:szCs w:val="20"/>
        </w:rPr>
        <w:t>Used as a predictor in the Anderson et al. (2017) superensemble model</w:t>
      </w:r>
    </w:p>
    <w:p w:rsidR="00822499" w:rsidRPr="00300137" w:rsidRDefault="00822499" w:rsidP="00CD6D11">
      <w:pPr>
        <w:contextualSpacing/>
        <w:mirrorIndents/>
        <w:rPr>
          <w:rFonts w:cstheme="minorHAnsi"/>
          <w:sz w:val="20"/>
          <w:szCs w:val="20"/>
        </w:rPr>
        <w:sectPr w:rsidR="00822499" w:rsidRPr="00300137" w:rsidSect="008005E5">
          <w:pgSz w:w="15840" w:h="12240" w:orient="landscape"/>
          <w:pgMar w:top="1440" w:right="1440" w:bottom="1440" w:left="1440" w:header="720" w:footer="720" w:gutter="0"/>
          <w:cols w:space="720"/>
          <w:docGrid w:linePitch="360"/>
        </w:sectPr>
      </w:pPr>
      <w:r w:rsidRPr="00822499">
        <w:rPr>
          <w:rFonts w:ascii="Calibri" w:hAnsi="Calibri"/>
          <w:sz w:val="20"/>
          <w:szCs w:val="20"/>
        </w:rPr>
        <w:t>†</w:t>
      </w:r>
      <w:r>
        <w:rPr>
          <w:rFonts w:ascii="Calibri" w:hAnsi="Calibri"/>
          <w:sz w:val="20"/>
          <w:szCs w:val="20"/>
        </w:rPr>
        <w:t xml:space="preserve"> </w:t>
      </w:r>
      <w:r w:rsidRPr="00300137">
        <w:rPr>
          <w:rFonts w:cstheme="minorHAnsi"/>
          <w:sz w:val="20"/>
          <w:szCs w:val="20"/>
        </w:rPr>
        <w:t xml:space="preserve">We excluded </w:t>
      </w:r>
      <w:r w:rsidR="00CD6D11">
        <w:rPr>
          <w:rFonts w:cstheme="minorHAnsi"/>
          <w:sz w:val="20"/>
          <w:szCs w:val="20"/>
        </w:rPr>
        <w:t xml:space="preserve">two catch-only models evaluated by Free et al. (in review) in this analysis: (1) </w:t>
      </w:r>
      <w:proofErr w:type="spellStart"/>
      <w:r>
        <w:rPr>
          <w:rFonts w:cstheme="minorHAnsi"/>
          <w:sz w:val="20"/>
          <w:szCs w:val="20"/>
        </w:rPr>
        <w:t>zBRT</w:t>
      </w:r>
      <w:proofErr w:type="spellEnd"/>
      <w:r>
        <w:rPr>
          <w:rFonts w:cstheme="minorHAnsi"/>
          <w:sz w:val="20"/>
          <w:szCs w:val="20"/>
        </w:rPr>
        <w:t xml:space="preserve"> (Zhou et al. 2017a) because it is an input in</w:t>
      </w:r>
      <w:r w:rsidR="00CD6D11">
        <w:rPr>
          <w:rFonts w:cstheme="minorHAnsi"/>
          <w:sz w:val="20"/>
          <w:szCs w:val="20"/>
        </w:rPr>
        <w:t>to OCOM and (2) cMSY-2017 (Froese et al. 2017) because the authors’ published code does not output B/B</w:t>
      </w:r>
      <w:r w:rsidR="00CD6D11" w:rsidRPr="00CD6D11">
        <w:rPr>
          <w:rFonts w:cstheme="minorHAnsi"/>
          <w:sz w:val="20"/>
          <w:szCs w:val="20"/>
          <w:vertAlign w:val="subscript"/>
        </w:rPr>
        <w:t>MSY</w:t>
      </w:r>
      <w:r w:rsidR="00CD6D11">
        <w:rPr>
          <w:rFonts w:cstheme="minorHAnsi"/>
          <w:sz w:val="20"/>
          <w:szCs w:val="20"/>
        </w:rPr>
        <w:t xml:space="preserve"> time series. </w:t>
      </w:r>
    </w:p>
    <w:p w:rsidR="00480088" w:rsidRPr="00300137" w:rsidRDefault="00480088" w:rsidP="00480088">
      <w:pPr>
        <w:rPr>
          <w:rFonts w:ascii="Calibri" w:hAnsi="Calibri" w:cs="Calibri"/>
        </w:rPr>
      </w:pPr>
      <w:r>
        <w:rPr>
          <w:rFonts w:ascii="Calibri" w:hAnsi="Calibri" w:cs="Calibri"/>
          <w:b/>
        </w:rPr>
        <w:lastRenderedPageBreak/>
        <w:t>Table S1</w:t>
      </w:r>
      <w:r w:rsidRPr="00300137">
        <w:rPr>
          <w:rFonts w:ascii="Calibri" w:hAnsi="Calibri" w:cs="Calibri"/>
          <w:b/>
        </w:rPr>
        <w:t xml:space="preserve">. </w:t>
      </w:r>
      <w:r w:rsidRPr="00300137">
        <w:rPr>
          <w:rFonts w:ascii="Calibri" w:hAnsi="Calibri" w:cs="Calibri"/>
        </w:rPr>
        <w:t>Factorial design of the Rosenberg et al. (2014) simulated stocks.</w:t>
      </w:r>
    </w:p>
    <w:p w:rsidR="00480088" w:rsidRPr="00300137" w:rsidRDefault="00480088" w:rsidP="00480088"/>
    <w:tbl>
      <w:tblPr>
        <w:tblW w:w="9378" w:type="dxa"/>
        <w:tblLayout w:type="fixed"/>
        <w:tblLook w:val="04A0" w:firstRow="1" w:lastRow="0" w:firstColumn="1" w:lastColumn="0" w:noHBand="0" w:noVBand="1"/>
      </w:tblPr>
      <w:tblGrid>
        <w:gridCol w:w="2808"/>
        <w:gridCol w:w="810"/>
        <w:gridCol w:w="5760"/>
      </w:tblGrid>
      <w:tr w:rsidR="00480088" w:rsidRPr="00300137" w:rsidTr="004D1501">
        <w:trPr>
          <w:trHeight w:val="340"/>
        </w:trPr>
        <w:tc>
          <w:tcPr>
            <w:tcW w:w="2808" w:type="dxa"/>
            <w:tcBorders>
              <w:top w:val="single" w:sz="4" w:space="0" w:color="auto"/>
              <w:left w:val="nil"/>
              <w:bottom w:val="double" w:sz="6" w:space="0" w:color="auto"/>
              <w:right w:val="nil"/>
            </w:tcBorders>
            <w:shd w:val="clear" w:color="auto" w:fill="auto"/>
            <w:noWrap/>
            <w:vAlign w:val="bottom"/>
            <w:hideMark/>
          </w:tcPr>
          <w:p w:rsidR="00480088" w:rsidRPr="00300137" w:rsidRDefault="00480088" w:rsidP="004D1501">
            <w:pPr>
              <w:rPr>
                <w:rFonts w:ascii="Calibri" w:hAnsi="Calibri"/>
                <w:b/>
                <w:bCs/>
                <w:color w:val="000000"/>
                <w:sz w:val="22"/>
                <w:szCs w:val="22"/>
              </w:rPr>
            </w:pPr>
            <w:r w:rsidRPr="00300137">
              <w:rPr>
                <w:rFonts w:ascii="Calibri" w:hAnsi="Calibri"/>
                <w:b/>
                <w:bCs/>
                <w:color w:val="000000"/>
                <w:sz w:val="22"/>
                <w:szCs w:val="22"/>
              </w:rPr>
              <w:t>Factor</w:t>
            </w:r>
          </w:p>
        </w:tc>
        <w:tc>
          <w:tcPr>
            <w:tcW w:w="810" w:type="dxa"/>
            <w:tcBorders>
              <w:top w:val="single" w:sz="4" w:space="0" w:color="auto"/>
              <w:left w:val="nil"/>
              <w:bottom w:val="double" w:sz="6" w:space="0" w:color="auto"/>
              <w:right w:val="nil"/>
            </w:tcBorders>
            <w:shd w:val="clear" w:color="auto" w:fill="auto"/>
            <w:noWrap/>
            <w:vAlign w:val="bottom"/>
            <w:hideMark/>
          </w:tcPr>
          <w:p w:rsidR="00480088" w:rsidRPr="00300137" w:rsidRDefault="00480088" w:rsidP="004D1501">
            <w:pPr>
              <w:rPr>
                <w:rFonts w:ascii="Calibri" w:hAnsi="Calibri"/>
                <w:b/>
                <w:bCs/>
                <w:color w:val="000000"/>
                <w:sz w:val="22"/>
                <w:szCs w:val="22"/>
              </w:rPr>
            </w:pPr>
            <w:r w:rsidRPr="00300137">
              <w:rPr>
                <w:rFonts w:ascii="Calibri" w:hAnsi="Calibri"/>
                <w:b/>
                <w:bCs/>
                <w:color w:val="000000"/>
                <w:sz w:val="22"/>
                <w:szCs w:val="22"/>
              </w:rPr>
              <w:t># of levels</w:t>
            </w:r>
          </w:p>
        </w:tc>
        <w:tc>
          <w:tcPr>
            <w:tcW w:w="5760" w:type="dxa"/>
            <w:tcBorders>
              <w:top w:val="single" w:sz="4" w:space="0" w:color="auto"/>
              <w:left w:val="nil"/>
              <w:bottom w:val="double" w:sz="6" w:space="0" w:color="auto"/>
              <w:right w:val="nil"/>
            </w:tcBorders>
            <w:shd w:val="clear" w:color="auto" w:fill="auto"/>
            <w:noWrap/>
            <w:vAlign w:val="bottom"/>
            <w:hideMark/>
          </w:tcPr>
          <w:p w:rsidR="00480088" w:rsidRPr="00300137" w:rsidRDefault="00480088" w:rsidP="004D1501">
            <w:pPr>
              <w:rPr>
                <w:rFonts w:ascii="Calibri" w:hAnsi="Calibri"/>
                <w:b/>
                <w:bCs/>
                <w:color w:val="000000"/>
                <w:sz w:val="22"/>
                <w:szCs w:val="22"/>
              </w:rPr>
            </w:pPr>
            <w:r w:rsidRPr="00300137">
              <w:rPr>
                <w:rFonts w:ascii="Calibri" w:hAnsi="Calibri"/>
                <w:b/>
                <w:bCs/>
                <w:color w:val="000000"/>
                <w:sz w:val="22"/>
                <w:szCs w:val="22"/>
              </w:rPr>
              <w:t>Levels</w:t>
            </w:r>
          </w:p>
        </w:tc>
      </w:tr>
      <w:tr w:rsidR="00480088" w:rsidRPr="00300137" w:rsidTr="004D1501">
        <w:trPr>
          <w:trHeight w:val="34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Life history</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3</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Demersal, small pelagic, or large pelagic</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Initial biomass depletion</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3</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100%, 70%, or 40% of carrying capacity</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Exploitation dynamics</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4</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Constant, biomass-coupled, increasing, or roller coaster rates</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Recruitment variability</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2</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Low or high variability</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Recruitment autocorrelation</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2</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With or without autocorrelation</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Catch measurement error</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2</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With or without catch measurement error</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Time series length</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2</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20 or 60 years</w:t>
            </w:r>
          </w:p>
        </w:tc>
      </w:tr>
      <w:tr w:rsidR="00480088" w:rsidRPr="00300137" w:rsidTr="004D1501">
        <w:trPr>
          <w:trHeight w:val="320"/>
        </w:trPr>
        <w:tc>
          <w:tcPr>
            <w:tcW w:w="2808" w:type="dxa"/>
            <w:tcBorders>
              <w:top w:val="nil"/>
              <w:left w:val="nil"/>
              <w:bottom w:val="single" w:sz="4" w:space="0" w:color="auto"/>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Iterations</w:t>
            </w:r>
          </w:p>
        </w:tc>
        <w:tc>
          <w:tcPr>
            <w:tcW w:w="810" w:type="dxa"/>
            <w:tcBorders>
              <w:top w:val="nil"/>
              <w:left w:val="nil"/>
              <w:bottom w:val="single" w:sz="4" w:space="0" w:color="auto"/>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10</w:t>
            </w:r>
          </w:p>
        </w:tc>
        <w:tc>
          <w:tcPr>
            <w:tcW w:w="5760" w:type="dxa"/>
            <w:tcBorders>
              <w:top w:val="nil"/>
              <w:left w:val="nil"/>
              <w:bottom w:val="single" w:sz="4" w:space="0" w:color="auto"/>
              <w:right w:val="nil"/>
            </w:tcBorders>
            <w:shd w:val="clear" w:color="auto" w:fill="auto"/>
            <w:noWrap/>
            <w:vAlign w:val="bottom"/>
            <w:hideMark/>
          </w:tcPr>
          <w:p w:rsidR="00480088" w:rsidRPr="00300137" w:rsidRDefault="00480088" w:rsidP="004D1501">
            <w:pPr>
              <w:rPr>
                <w:rFonts w:ascii="Calibri" w:hAnsi="Calibri"/>
                <w:color w:val="000000"/>
                <w:sz w:val="22"/>
                <w:szCs w:val="22"/>
              </w:rPr>
            </w:pPr>
            <w:r w:rsidRPr="00300137">
              <w:rPr>
                <w:rFonts w:ascii="Calibri" w:hAnsi="Calibri"/>
                <w:color w:val="000000"/>
                <w:sz w:val="22"/>
                <w:szCs w:val="22"/>
              </w:rPr>
              <w:t>Iterations for each combination of the above parameters</w:t>
            </w:r>
          </w:p>
        </w:tc>
      </w:tr>
      <w:tr w:rsidR="00480088" w:rsidRPr="00300137" w:rsidTr="004D1501">
        <w:trPr>
          <w:trHeight w:val="320"/>
        </w:trPr>
        <w:tc>
          <w:tcPr>
            <w:tcW w:w="2808"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b/>
                <w:bCs/>
                <w:color w:val="000000"/>
                <w:sz w:val="22"/>
                <w:szCs w:val="22"/>
              </w:rPr>
            </w:pPr>
            <w:r w:rsidRPr="00300137">
              <w:rPr>
                <w:rFonts w:ascii="Calibri" w:hAnsi="Calibri"/>
                <w:b/>
                <w:bCs/>
                <w:color w:val="000000"/>
                <w:sz w:val="22"/>
                <w:szCs w:val="22"/>
              </w:rPr>
              <w:t>Total number of stocks:</w:t>
            </w:r>
          </w:p>
        </w:tc>
        <w:tc>
          <w:tcPr>
            <w:tcW w:w="81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r w:rsidRPr="00300137">
              <w:rPr>
                <w:rFonts w:ascii="Calibri" w:hAnsi="Calibri"/>
                <w:color w:val="000000"/>
                <w:sz w:val="22"/>
                <w:szCs w:val="22"/>
              </w:rPr>
              <w:t>5760</w:t>
            </w:r>
          </w:p>
        </w:tc>
        <w:tc>
          <w:tcPr>
            <w:tcW w:w="5760" w:type="dxa"/>
            <w:tcBorders>
              <w:top w:val="nil"/>
              <w:left w:val="nil"/>
              <w:bottom w:val="nil"/>
              <w:right w:val="nil"/>
            </w:tcBorders>
            <w:shd w:val="clear" w:color="auto" w:fill="auto"/>
            <w:noWrap/>
            <w:vAlign w:val="bottom"/>
            <w:hideMark/>
          </w:tcPr>
          <w:p w:rsidR="00480088" w:rsidRPr="00300137" w:rsidRDefault="00480088" w:rsidP="004D1501">
            <w:pPr>
              <w:jc w:val="right"/>
              <w:rPr>
                <w:rFonts w:ascii="Calibri" w:hAnsi="Calibri"/>
                <w:color w:val="000000"/>
                <w:sz w:val="22"/>
                <w:szCs w:val="22"/>
              </w:rPr>
            </w:pPr>
          </w:p>
        </w:tc>
      </w:tr>
    </w:tbl>
    <w:p w:rsidR="00514A83" w:rsidRPr="00514A83" w:rsidRDefault="00514A83"/>
    <w:sectPr w:rsidR="00514A83" w:rsidRPr="00514A83" w:rsidSect="008224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F0"/>
    <w:rsid w:val="00067288"/>
    <w:rsid w:val="00074EA4"/>
    <w:rsid w:val="000A3439"/>
    <w:rsid w:val="000A7623"/>
    <w:rsid w:val="000D4543"/>
    <w:rsid w:val="000D78FD"/>
    <w:rsid w:val="000E03BF"/>
    <w:rsid w:val="00177522"/>
    <w:rsid w:val="00187F46"/>
    <w:rsid w:val="001C3F01"/>
    <w:rsid w:val="001D7B8D"/>
    <w:rsid w:val="002264A1"/>
    <w:rsid w:val="002B238A"/>
    <w:rsid w:val="002B25BF"/>
    <w:rsid w:val="002D6C3A"/>
    <w:rsid w:val="00307164"/>
    <w:rsid w:val="00451F6F"/>
    <w:rsid w:val="00480088"/>
    <w:rsid w:val="00514A83"/>
    <w:rsid w:val="00553DC0"/>
    <w:rsid w:val="005D130F"/>
    <w:rsid w:val="00645B3D"/>
    <w:rsid w:val="00680276"/>
    <w:rsid w:val="006B30F0"/>
    <w:rsid w:val="00730941"/>
    <w:rsid w:val="0074663E"/>
    <w:rsid w:val="00791FB4"/>
    <w:rsid w:val="007C7E14"/>
    <w:rsid w:val="007E5695"/>
    <w:rsid w:val="008005E5"/>
    <w:rsid w:val="00822499"/>
    <w:rsid w:val="00885EC3"/>
    <w:rsid w:val="008D3CFE"/>
    <w:rsid w:val="008E324E"/>
    <w:rsid w:val="0091745E"/>
    <w:rsid w:val="00920672"/>
    <w:rsid w:val="00937C24"/>
    <w:rsid w:val="009537B2"/>
    <w:rsid w:val="009A7526"/>
    <w:rsid w:val="009F3189"/>
    <w:rsid w:val="00AF1BC0"/>
    <w:rsid w:val="00B7213F"/>
    <w:rsid w:val="00BF179A"/>
    <w:rsid w:val="00C12BB7"/>
    <w:rsid w:val="00CD6D11"/>
    <w:rsid w:val="00D32C29"/>
    <w:rsid w:val="00D80941"/>
    <w:rsid w:val="00DB3E00"/>
    <w:rsid w:val="00DD4F22"/>
    <w:rsid w:val="00E5146C"/>
    <w:rsid w:val="00E65858"/>
    <w:rsid w:val="00E8522C"/>
    <w:rsid w:val="00EE3C91"/>
    <w:rsid w:val="00F824AE"/>
    <w:rsid w:val="00FD3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94959"/>
  <w15:chartTrackingRefBased/>
  <w15:docId w15:val="{DCA267D1-7627-4F4E-B9AA-32B1A105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78FD"/>
    <w:rPr>
      <w:b/>
      <w:bCs/>
    </w:rPr>
  </w:style>
  <w:style w:type="character" w:styleId="Emphasis">
    <w:name w:val="Emphasis"/>
    <w:basedOn w:val="DefaultParagraphFont"/>
    <w:uiPriority w:val="20"/>
    <w:qFormat/>
    <w:rsid w:val="000D78FD"/>
    <w:rPr>
      <w:i/>
      <w:iCs/>
    </w:rPr>
  </w:style>
  <w:style w:type="character" w:styleId="Hyperlink">
    <w:name w:val="Hyperlink"/>
    <w:basedOn w:val="DefaultParagraphFont"/>
    <w:uiPriority w:val="99"/>
    <w:unhideWhenUsed/>
    <w:rsid w:val="00F824AE"/>
    <w:rPr>
      <w:color w:val="0563C1" w:themeColor="hyperlink"/>
      <w:u w:val="single"/>
    </w:rPr>
  </w:style>
  <w:style w:type="character" w:customStyle="1" w:styleId="apple-converted-space">
    <w:name w:val="apple-converted-space"/>
    <w:basedOn w:val="DefaultParagraphFont"/>
    <w:rsid w:val="00F824AE"/>
  </w:style>
  <w:style w:type="character" w:styleId="LineNumber">
    <w:name w:val="line number"/>
    <w:basedOn w:val="DefaultParagraphFont"/>
    <w:uiPriority w:val="99"/>
    <w:semiHidden/>
    <w:unhideWhenUsed/>
    <w:rsid w:val="00822499"/>
  </w:style>
  <w:style w:type="paragraph" w:styleId="ListParagraph">
    <w:name w:val="List Paragraph"/>
    <w:basedOn w:val="Normal"/>
    <w:uiPriority w:val="34"/>
    <w:qFormat/>
    <w:rsid w:val="0082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91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48</cp:revision>
  <dcterms:created xsi:type="dcterms:W3CDTF">2018-10-16T21:25:00Z</dcterms:created>
  <dcterms:modified xsi:type="dcterms:W3CDTF">2018-10-17T16:13:00Z</dcterms:modified>
</cp:coreProperties>
</file>