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654" w:rsidRPr="00661917" w:rsidRDefault="00E94654" w:rsidP="00E94654">
      <w:pPr>
        <w:rPr>
          <w:rFonts w:eastAsia="Times New Roman" w:cstheme="minorHAnsi"/>
        </w:rPr>
      </w:pPr>
    </w:p>
    <w:p w:rsidR="00E94654" w:rsidRPr="00661917" w:rsidRDefault="00E94654" w:rsidP="00E94654">
      <w:pPr>
        <w:ind w:firstLine="720"/>
        <w:rPr>
          <w:rFonts w:eastAsia="Times New Roman" w:cstheme="minorHAnsi"/>
        </w:rPr>
      </w:pPr>
      <w:r w:rsidRPr="00661917">
        <w:rPr>
          <w:rFonts w:eastAsia="Times New Roman" w:cstheme="minorHAnsi"/>
        </w:rPr>
        <w:t>We constructed time series of stock status (B/B</w:t>
      </w:r>
      <w:r w:rsidRPr="00661917">
        <w:rPr>
          <w:rFonts w:eastAsia="Times New Roman" w:cstheme="minorHAnsi"/>
          <w:vertAlign w:val="subscript"/>
        </w:rPr>
        <w:t>MSY</w:t>
      </w:r>
      <w:r w:rsidRPr="00661917">
        <w:rPr>
          <w:rFonts w:eastAsia="Times New Roman" w:cstheme="minorHAnsi"/>
        </w:rPr>
        <w:t xml:space="preserve">) for </w:t>
      </w:r>
      <w:r w:rsidRPr="00661917">
        <w:rPr>
          <w:rFonts w:eastAsia="Times New Roman" w:cstheme="minorHAnsi"/>
          <w:shd w:val="clear" w:color="auto" w:fill="FFFFFF"/>
        </w:rPr>
        <w:t>1,536</w:t>
      </w:r>
      <w:r w:rsidRPr="00661917">
        <w:rPr>
          <w:rFonts w:eastAsia="Times New Roman" w:cstheme="minorHAnsi"/>
        </w:rPr>
        <w:t xml:space="preserve"> FAO fish stocks using a recently developed superensemble model (Anderson et al. 2017) that estimates B/B</w:t>
      </w:r>
      <w:r w:rsidRPr="00661917">
        <w:rPr>
          <w:rFonts w:eastAsia="Times New Roman" w:cstheme="minorHAnsi"/>
          <w:vertAlign w:val="subscript"/>
        </w:rPr>
        <w:t>MSY</w:t>
      </w:r>
      <w:r w:rsidRPr="00661917">
        <w:rPr>
          <w:rFonts w:eastAsia="Times New Roman" w:cstheme="minorHAnsi"/>
        </w:rPr>
        <w:t xml:space="preserve"> from the B/B</w:t>
      </w:r>
      <w:r w:rsidRPr="00661917">
        <w:rPr>
          <w:rFonts w:eastAsia="Times New Roman" w:cstheme="minorHAnsi"/>
          <w:vertAlign w:val="subscript"/>
        </w:rPr>
        <w:t>MSY</w:t>
      </w:r>
      <w:r w:rsidRPr="00661917">
        <w:rPr>
          <w:rFonts w:eastAsia="Times New Roman" w:cstheme="minorHAnsi"/>
        </w:rPr>
        <w:t xml:space="preserve"> predictions of four individual catch-only models (</w:t>
      </w:r>
      <w:r w:rsidRPr="00661917">
        <w:rPr>
          <w:rFonts w:eastAsia="Times New Roman" w:cstheme="minorHAnsi"/>
          <w:b/>
          <w:bCs/>
        </w:rPr>
        <w:t>Table 1</w:t>
      </w:r>
      <w:r w:rsidRPr="00661917">
        <w:rPr>
          <w:rFonts w:eastAsia="Times New Roman" w:cstheme="minorHAnsi"/>
        </w:rPr>
        <w:t xml:space="preserve">) and two spectral properties of the catch time series. This superensemble model has been shown to generate better predictions of status than other catch-only models (Anderson et al. 2017; Jensen &amp; Free 2017) and has been used to estimate the terminal year status of 785 FAO fish stocks (Rosenberg et al. 2017). We extended the analysis of Rosenberg et al. (2017) to estimate status from 1950-2015 for the </w:t>
      </w:r>
      <w:r w:rsidRPr="00661917">
        <w:rPr>
          <w:rFonts w:eastAsia="Times New Roman" w:cstheme="minorHAnsi"/>
          <w:shd w:val="clear" w:color="auto" w:fill="FFFFFF"/>
        </w:rPr>
        <w:t>1,536</w:t>
      </w:r>
      <w:r w:rsidRPr="00661917">
        <w:rPr>
          <w:rFonts w:eastAsia="Times New Roman" w:cstheme="minorHAnsi"/>
        </w:rPr>
        <w:t xml:space="preserve"> FAO fish stocks (FAO area-country-species triples) meeting the following criteria: marine wild capture fisheries for finfish and invertebrates with taxonomic identification resolved to the species-level and with catch time series ≥20 yrs and ≥1000 mt of median annual catch (</w:t>
      </w:r>
      <w:r w:rsidRPr="00661917">
        <w:rPr>
          <w:rFonts w:eastAsia="Times New Roman" w:cstheme="minorHAnsi"/>
          <w:b/>
          <w:bCs/>
        </w:rPr>
        <w:t>Table 2</w:t>
      </w:r>
      <w:r w:rsidRPr="00661917">
        <w:rPr>
          <w:rFonts w:eastAsia="Times New Roman" w:cstheme="minorHAnsi"/>
        </w:rPr>
        <w:t>).</w:t>
      </w:r>
    </w:p>
    <w:p w:rsidR="00E94654" w:rsidRPr="00661917" w:rsidRDefault="00E94654" w:rsidP="00E94654">
      <w:pPr>
        <w:rPr>
          <w:rFonts w:eastAsia="Times New Roman" w:cstheme="minorHAnsi"/>
        </w:rPr>
      </w:pPr>
    </w:p>
    <w:p w:rsidR="00E94654" w:rsidRPr="00661917" w:rsidRDefault="00E94654" w:rsidP="00E94654">
      <w:pPr>
        <w:ind w:firstLine="720"/>
        <w:rPr>
          <w:rFonts w:eastAsia="Times New Roman" w:cstheme="minorHAnsi"/>
        </w:rPr>
      </w:pPr>
      <w:r w:rsidRPr="00661917">
        <w:rPr>
          <w:rFonts w:eastAsia="Times New Roman" w:cstheme="minorHAnsi"/>
        </w:rPr>
        <w:t>For each stock, we used the superensemble model to estimate B/B</w:t>
      </w:r>
      <w:r w:rsidRPr="00661917">
        <w:rPr>
          <w:rFonts w:eastAsia="Times New Roman" w:cstheme="minorHAnsi"/>
          <w:vertAlign w:val="subscript"/>
        </w:rPr>
        <w:t>MSY</w:t>
      </w:r>
      <w:r w:rsidRPr="00661917">
        <w:rPr>
          <w:rFonts w:eastAsia="Times New Roman" w:cstheme="minorHAnsi"/>
        </w:rPr>
        <w:t xml:space="preserve"> every year (year </w:t>
      </w:r>
      <w:r w:rsidRPr="00661917">
        <w:rPr>
          <w:rFonts w:eastAsia="Times New Roman" w:cstheme="minorHAnsi"/>
          <w:i/>
          <w:iCs/>
        </w:rPr>
        <w:t>i</w:t>
      </w:r>
      <w:r w:rsidRPr="00661917">
        <w:rPr>
          <w:rFonts w:eastAsia="Times New Roman" w:cstheme="minorHAnsi"/>
        </w:rPr>
        <w:t>) from the 15</w:t>
      </w:r>
      <w:r w:rsidRPr="00661917">
        <w:rPr>
          <w:rFonts w:eastAsia="Times New Roman" w:cstheme="minorHAnsi"/>
          <w:vertAlign w:val="superscript"/>
        </w:rPr>
        <w:t>th</w:t>
      </w:r>
      <w:r w:rsidRPr="00661917">
        <w:rPr>
          <w:rFonts w:eastAsia="Times New Roman" w:cstheme="minorHAnsi"/>
        </w:rPr>
        <w:t xml:space="preserve"> year to the terminal year of the catch time series using: (1) the 0.20 and 0.05 spectral densities of the scaled catch time series (catch divided by maximum catch) from year </w:t>
      </w:r>
      <w:r w:rsidRPr="00661917">
        <w:rPr>
          <w:rFonts w:eastAsia="Times New Roman" w:cstheme="minorHAnsi"/>
          <w:i/>
          <w:iCs/>
        </w:rPr>
        <w:t>0</w:t>
      </w:r>
      <w:r w:rsidRPr="00661917">
        <w:rPr>
          <w:rFonts w:eastAsia="Times New Roman" w:cstheme="minorHAnsi"/>
        </w:rPr>
        <w:t xml:space="preserve"> to year</w:t>
      </w:r>
      <w:r w:rsidRPr="00661917">
        <w:rPr>
          <w:rFonts w:eastAsia="Times New Roman" w:cstheme="minorHAnsi"/>
          <w:i/>
          <w:iCs/>
        </w:rPr>
        <w:t xml:space="preserve"> i</w:t>
      </w:r>
      <w:r w:rsidRPr="00661917">
        <w:rPr>
          <w:rFonts w:eastAsia="Times New Roman" w:cstheme="minorHAnsi"/>
        </w:rPr>
        <w:t xml:space="preserve"> and (2) B/B</w:t>
      </w:r>
      <w:r w:rsidRPr="00661917">
        <w:rPr>
          <w:rFonts w:eastAsia="Times New Roman" w:cstheme="minorHAnsi"/>
          <w:vertAlign w:val="subscript"/>
        </w:rPr>
        <w:t>MSY</w:t>
      </w:r>
      <w:r w:rsidRPr="00661917">
        <w:rPr>
          <w:rFonts w:eastAsia="Times New Roman" w:cstheme="minorHAnsi"/>
        </w:rPr>
        <w:t xml:space="preserve"> predictions for year </w:t>
      </w:r>
      <w:r w:rsidRPr="00661917">
        <w:rPr>
          <w:rFonts w:eastAsia="Times New Roman" w:cstheme="minorHAnsi"/>
          <w:i/>
          <w:iCs/>
        </w:rPr>
        <w:t xml:space="preserve">i </w:t>
      </w:r>
      <w:r w:rsidRPr="00661917">
        <w:rPr>
          <w:rFonts w:eastAsia="Times New Roman" w:cstheme="minorHAnsi"/>
        </w:rPr>
        <w:t xml:space="preserve">from the </w:t>
      </w:r>
      <w:proofErr w:type="gramStart"/>
      <w:r w:rsidRPr="00661917">
        <w:rPr>
          <w:rFonts w:eastAsia="Times New Roman" w:cstheme="minorHAnsi"/>
        </w:rPr>
        <w:t>four individual</w:t>
      </w:r>
      <w:proofErr w:type="gramEnd"/>
      <w:r w:rsidRPr="00661917">
        <w:rPr>
          <w:rFonts w:eastAsia="Times New Roman" w:cstheme="minorHAnsi"/>
        </w:rPr>
        <w:t xml:space="preserve"> catch-only models applied to the full catch time series. We calculated the 0.20 and 0.05 spectral densities, which correspond to 5- and 20-year cycles respectively, using the </w:t>
      </w:r>
      <w:r w:rsidRPr="00661917">
        <w:rPr>
          <w:rFonts w:eastAsia="Times New Roman" w:cstheme="minorHAnsi"/>
          <w:i/>
          <w:iCs/>
        </w:rPr>
        <w:t>spec.ar</w:t>
      </w:r>
      <w:r w:rsidRPr="00661917">
        <w:rPr>
          <w:rFonts w:eastAsia="Times New Roman" w:cstheme="minorHAnsi"/>
        </w:rPr>
        <w:t xml:space="preserve"> function in base R. We implemented the </w:t>
      </w:r>
      <w:proofErr w:type="gramStart"/>
      <w:r w:rsidRPr="00661917">
        <w:rPr>
          <w:rFonts w:eastAsia="Times New Roman" w:cstheme="minorHAnsi"/>
        </w:rPr>
        <w:t>four individual</w:t>
      </w:r>
      <w:proofErr w:type="gramEnd"/>
      <w:r w:rsidRPr="00661917">
        <w:rPr>
          <w:rFonts w:eastAsia="Times New Roman" w:cstheme="minorHAnsi"/>
        </w:rPr>
        <w:t xml:space="preserve"> catch-only models -- cMSY, SSCOM, COMSIR, and mPRM (</w:t>
      </w:r>
      <w:r w:rsidRPr="00661917">
        <w:rPr>
          <w:rFonts w:eastAsia="Times New Roman" w:cstheme="minorHAnsi"/>
          <w:b/>
          <w:bCs/>
        </w:rPr>
        <w:t>Table 1</w:t>
      </w:r>
      <w:r w:rsidRPr="00661917">
        <w:rPr>
          <w:rFonts w:eastAsia="Times New Roman" w:cstheme="minorHAnsi"/>
        </w:rPr>
        <w:t xml:space="preserve">) -- using the </w:t>
      </w:r>
      <w:r w:rsidRPr="00661917">
        <w:rPr>
          <w:rFonts w:eastAsia="Times New Roman" w:cstheme="minorHAnsi"/>
          <w:i/>
          <w:iCs/>
        </w:rPr>
        <w:t xml:space="preserve">datalimited </w:t>
      </w:r>
      <w:r w:rsidRPr="00661917">
        <w:rPr>
          <w:rFonts w:eastAsia="Times New Roman" w:cstheme="minorHAnsi"/>
        </w:rPr>
        <w:t>package in R (Anderson et al. 2016). In addition to catch time series, mPRM requires the classification of species into 17 life history categories (</w:t>
      </w:r>
      <w:r w:rsidRPr="00661917">
        <w:rPr>
          <w:rFonts w:eastAsia="Times New Roman" w:cstheme="minorHAnsi"/>
          <w:b/>
          <w:bCs/>
        </w:rPr>
        <w:t>Supp. Table 1</w:t>
      </w:r>
      <w:r w:rsidRPr="00661917">
        <w:rPr>
          <w:rFonts w:eastAsia="Times New Roman" w:cstheme="minorHAnsi"/>
        </w:rPr>
        <w:t xml:space="preserve">) and the other three models require estimates of resilience (i.e., the capacity to withstand exploitation; </w:t>
      </w:r>
      <w:r w:rsidRPr="00661917">
        <w:rPr>
          <w:rFonts w:eastAsia="Times New Roman" w:cstheme="minorHAnsi"/>
          <w:b/>
          <w:bCs/>
        </w:rPr>
        <w:t>Supp. Table 2</w:t>
      </w:r>
      <w:r w:rsidRPr="00661917">
        <w:rPr>
          <w:rFonts w:eastAsia="Times New Roman" w:cstheme="minorHAnsi"/>
        </w:rPr>
        <w:t xml:space="preserve">). We classified life history based on taxonomy and derived resilience estimates from FishBase (Froese &amp; Pauly 2017) and SeaLifeBase (Palomares &amp; Pauly 2017) life history information (see </w:t>
      </w:r>
      <w:r w:rsidRPr="00661917">
        <w:rPr>
          <w:rFonts w:eastAsia="Times New Roman" w:cstheme="minorHAnsi"/>
          <w:b/>
          <w:bCs/>
        </w:rPr>
        <w:t xml:space="preserve">Supplemental Methods </w:t>
      </w:r>
      <w:r w:rsidRPr="00661917">
        <w:rPr>
          <w:rFonts w:eastAsia="Times New Roman" w:cstheme="minorHAnsi"/>
        </w:rPr>
        <w:t>for more detail).</w:t>
      </w:r>
    </w:p>
    <w:p w:rsidR="00E94654" w:rsidRPr="00661917" w:rsidRDefault="00E94654" w:rsidP="00E94654">
      <w:pPr>
        <w:rPr>
          <w:rFonts w:eastAsia="Times New Roman" w:cstheme="minorHAnsi"/>
        </w:rPr>
      </w:pPr>
    </w:p>
    <w:p w:rsidR="00E94654" w:rsidRPr="00661917" w:rsidRDefault="00E94654" w:rsidP="00E94654">
      <w:pPr>
        <w:rPr>
          <w:rFonts w:eastAsia="Times New Roman" w:cstheme="minorHAnsi"/>
        </w:rPr>
      </w:pPr>
      <w:r w:rsidRPr="00661917">
        <w:rPr>
          <w:rFonts w:eastAsia="Times New Roman" w:cstheme="minorHAnsi"/>
        </w:rPr>
        <w:t xml:space="preserve">All analyses were conducted in R v.3.4.2 (R Core Team 2017) and the code is available here: </w:t>
      </w:r>
      <w:hyperlink r:id="rId4" w:history="1">
        <w:r w:rsidRPr="00661917">
          <w:rPr>
            <w:rFonts w:eastAsia="Times New Roman" w:cstheme="minorHAnsi"/>
            <w:u w:val="single"/>
          </w:rPr>
          <w:t>https://github.com/cfree14/trade_and_collapse</w:t>
        </w:r>
      </w:hyperlink>
    </w:p>
    <w:p w:rsidR="00D32C29" w:rsidRDefault="00D32C29">
      <w:bookmarkStart w:id="0" w:name="_GoBack"/>
      <w:bookmarkEnd w:id="0"/>
    </w:p>
    <w:sectPr w:rsidR="00D32C29"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54"/>
    <w:rsid w:val="000D4543"/>
    <w:rsid w:val="009537B2"/>
    <w:rsid w:val="00D32C29"/>
    <w:rsid w:val="00E94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94959"/>
  <w15:chartTrackingRefBased/>
  <w15:docId w15:val="{5A5D340C-2168-F14B-9E7A-90387900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free14/trade_and_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cp:revision>
  <dcterms:created xsi:type="dcterms:W3CDTF">2018-05-01T15:22:00Z</dcterms:created>
  <dcterms:modified xsi:type="dcterms:W3CDTF">2018-05-01T15:22:00Z</dcterms:modified>
</cp:coreProperties>
</file>