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3E678" w14:textId="77777777" w:rsidR="00D208ED" w:rsidRDefault="00D208ED" w:rsidP="00D208ED">
      <w:pPr>
        <w:jc w:val="center"/>
        <w:rPr>
          <w:sz w:val="36"/>
          <w:szCs w:val="36"/>
        </w:rPr>
      </w:pPr>
      <w:r>
        <w:rPr>
          <w:noProof/>
          <w:sz w:val="36"/>
          <w:szCs w:val="36"/>
        </w:rPr>
        <w:drawing>
          <wp:inline distT="0" distB="0" distL="0" distR="0" wp14:anchorId="10BC5170" wp14:editId="238CF9E0">
            <wp:extent cx="1839250" cy="80467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5AAD58CB" w14:textId="77777777" w:rsidR="00D208ED" w:rsidRDefault="00D208ED" w:rsidP="00D208ED">
      <w:pPr>
        <w:rPr>
          <w:sz w:val="36"/>
          <w:szCs w:val="36"/>
        </w:rPr>
      </w:pPr>
    </w:p>
    <w:p w14:paraId="47343D5C" w14:textId="77777777" w:rsidR="00D208ED" w:rsidRDefault="00D208ED" w:rsidP="00D208ED">
      <w:pPr>
        <w:jc w:val="center"/>
        <w:rPr>
          <w:sz w:val="36"/>
          <w:szCs w:val="36"/>
        </w:rPr>
      </w:pPr>
    </w:p>
    <w:p w14:paraId="3A22D58D" w14:textId="77777777" w:rsidR="00D208ED" w:rsidRPr="003B40E6" w:rsidRDefault="00D208ED" w:rsidP="00D208ED">
      <w:pPr>
        <w:jc w:val="center"/>
        <w:rPr>
          <w:sz w:val="36"/>
          <w:szCs w:val="36"/>
        </w:rPr>
      </w:pPr>
      <w:r>
        <w:rPr>
          <w:sz w:val="36"/>
          <w:szCs w:val="36"/>
        </w:rPr>
        <w:t>Supplementary Materials for</w:t>
      </w:r>
    </w:p>
    <w:p w14:paraId="656767F9" w14:textId="77777777" w:rsidR="00D208ED" w:rsidRDefault="00D208ED" w:rsidP="00D208ED"/>
    <w:p w14:paraId="4B0CAEEC" w14:textId="77777777" w:rsidR="00D208ED" w:rsidRDefault="00D208ED" w:rsidP="00D208ED">
      <w:pPr>
        <w:rPr>
          <w:b/>
          <w:bCs/>
          <w:sz w:val="28"/>
          <w:szCs w:val="28"/>
        </w:rPr>
      </w:pPr>
      <w:r w:rsidRPr="00941DD5">
        <w:rPr>
          <w:b/>
          <w:bCs/>
          <w:sz w:val="28"/>
          <w:szCs w:val="28"/>
        </w:rPr>
        <w:t>Avoiding tradeoffs between global seafood production and seafloor impacts through fishery innovation</w:t>
      </w:r>
    </w:p>
    <w:p w14:paraId="409F6A0D" w14:textId="77777777" w:rsidR="00D208ED" w:rsidRPr="007108F5" w:rsidRDefault="00D208ED" w:rsidP="00D208ED">
      <w:pPr>
        <w:jc w:val="center"/>
        <w:rPr>
          <w:sz w:val="28"/>
          <w:szCs w:val="28"/>
        </w:rPr>
      </w:pPr>
    </w:p>
    <w:p w14:paraId="3EB45827" w14:textId="77777777" w:rsidR="00D208ED" w:rsidRDefault="00D208ED" w:rsidP="00D208ED">
      <w:pPr>
        <w:rPr>
          <w:szCs w:val="24"/>
          <w:vertAlign w:val="superscript"/>
        </w:rPr>
      </w:pPr>
      <w:r w:rsidRPr="00941DD5">
        <w:rPr>
          <w:szCs w:val="24"/>
        </w:rPr>
        <w:t>T. Scott Smeltz</w:t>
      </w:r>
      <w:r w:rsidRPr="00941DD5">
        <w:rPr>
          <w:szCs w:val="24"/>
          <w:vertAlign w:val="superscript"/>
        </w:rPr>
        <w:t>1,2</w:t>
      </w:r>
      <w:r>
        <w:rPr>
          <w:szCs w:val="24"/>
          <w:vertAlign w:val="superscript"/>
        </w:rPr>
        <w:t>*</w:t>
      </w:r>
      <w:r w:rsidRPr="00941DD5">
        <w:rPr>
          <w:szCs w:val="24"/>
        </w:rPr>
        <w:t>, Christopher M. Free</w:t>
      </w:r>
      <w:r w:rsidRPr="00941DD5">
        <w:rPr>
          <w:szCs w:val="24"/>
          <w:vertAlign w:val="superscript"/>
        </w:rPr>
        <w:t>3</w:t>
      </w:r>
      <w:r w:rsidRPr="00941DD5">
        <w:rPr>
          <w:szCs w:val="24"/>
        </w:rPr>
        <w:t>, Bradley P. Harris</w:t>
      </w:r>
      <w:r w:rsidRPr="00941DD5">
        <w:rPr>
          <w:szCs w:val="24"/>
          <w:vertAlign w:val="superscript"/>
        </w:rPr>
        <w:t>2</w:t>
      </w:r>
      <w:r w:rsidRPr="00941DD5">
        <w:rPr>
          <w:szCs w:val="24"/>
        </w:rPr>
        <w:t>, Olaf P. Jensen</w:t>
      </w:r>
      <w:r w:rsidRPr="00941DD5">
        <w:rPr>
          <w:szCs w:val="24"/>
          <w:vertAlign w:val="superscript"/>
        </w:rPr>
        <w:t>4</w:t>
      </w:r>
      <w:r w:rsidRPr="00941DD5">
        <w:rPr>
          <w:szCs w:val="24"/>
        </w:rPr>
        <w:t>, Jonathan H. Grabowski</w:t>
      </w:r>
      <w:r w:rsidRPr="00941DD5">
        <w:rPr>
          <w:szCs w:val="24"/>
          <w:vertAlign w:val="superscript"/>
        </w:rPr>
        <w:t>5</w:t>
      </w:r>
      <w:r w:rsidRPr="00941DD5">
        <w:rPr>
          <w:szCs w:val="24"/>
        </w:rPr>
        <w:t xml:space="preserve">, </w:t>
      </w:r>
      <w:r w:rsidRPr="00941DD5">
        <w:rPr>
          <w:szCs w:val="24"/>
          <w:vertAlign w:val="superscript"/>
        </w:rPr>
        <w:t xml:space="preserve"> </w:t>
      </w:r>
      <w:r w:rsidRPr="00941DD5">
        <w:rPr>
          <w:szCs w:val="24"/>
        </w:rPr>
        <w:t>Suresh A. Sethi</w:t>
      </w:r>
      <w:r w:rsidRPr="00941DD5">
        <w:rPr>
          <w:szCs w:val="24"/>
          <w:vertAlign w:val="superscript"/>
        </w:rPr>
        <w:t>2,6</w:t>
      </w:r>
    </w:p>
    <w:p w14:paraId="27A6AB6F" w14:textId="77777777" w:rsidR="00D208ED" w:rsidRDefault="00D208ED" w:rsidP="00D208ED">
      <w:pPr>
        <w:jc w:val="center"/>
        <w:rPr>
          <w:szCs w:val="24"/>
        </w:rPr>
      </w:pPr>
    </w:p>
    <w:p w14:paraId="400B7DF1" w14:textId="77777777" w:rsidR="00D208ED" w:rsidRDefault="00D208ED" w:rsidP="00D208ED">
      <w:pPr>
        <w:jc w:val="center"/>
        <w:rPr>
          <w:szCs w:val="24"/>
        </w:rPr>
      </w:pPr>
      <w:r>
        <w:rPr>
          <w:szCs w:val="24"/>
        </w:rPr>
        <w:t xml:space="preserve">Correspondence to: </w:t>
      </w:r>
      <w:hyperlink r:id="rId9" w:history="1">
        <w:r w:rsidRPr="00B24FAA">
          <w:rPr>
            <w:rStyle w:val="Hyperlink"/>
            <w:szCs w:val="24"/>
          </w:rPr>
          <w:t>ts428@cornell.edu</w:t>
        </w:r>
      </w:hyperlink>
    </w:p>
    <w:p w14:paraId="13EB5E5F" w14:textId="77777777" w:rsidR="00D208ED" w:rsidRDefault="00D208ED" w:rsidP="00D208ED"/>
    <w:p w14:paraId="4790117E" w14:textId="77777777" w:rsidR="00D208ED" w:rsidRDefault="00D208ED" w:rsidP="00D208ED">
      <w:pPr>
        <w:rPr>
          <w:b/>
        </w:rPr>
      </w:pPr>
    </w:p>
    <w:p w14:paraId="7CFBE457" w14:textId="77777777" w:rsidR="00D208ED" w:rsidRPr="00262D72" w:rsidRDefault="00D208ED" w:rsidP="00D208ED">
      <w:pPr>
        <w:rPr>
          <w:b/>
        </w:rPr>
      </w:pPr>
      <w:r>
        <w:rPr>
          <w:b/>
        </w:rPr>
        <w:t xml:space="preserve">This PDF file </w:t>
      </w:r>
      <w:r w:rsidRPr="00262D72">
        <w:rPr>
          <w:b/>
        </w:rPr>
        <w:t>includes:</w:t>
      </w:r>
    </w:p>
    <w:p w14:paraId="6673C814" w14:textId="77777777" w:rsidR="00D208ED" w:rsidRDefault="00D208ED" w:rsidP="00D208ED"/>
    <w:p w14:paraId="02CF8574" w14:textId="77777777" w:rsidR="00D208ED" w:rsidRDefault="00D208ED" w:rsidP="00D208ED">
      <w:pPr>
        <w:ind w:left="720"/>
      </w:pPr>
      <w:r>
        <w:t>Materials and Methods</w:t>
      </w:r>
    </w:p>
    <w:p w14:paraId="6E3F72FA" w14:textId="77777777" w:rsidR="00D208ED" w:rsidRDefault="00D208ED" w:rsidP="00D208ED">
      <w:pPr>
        <w:ind w:left="720"/>
      </w:pPr>
      <w:r>
        <w:t>Supplementary Text</w:t>
      </w:r>
    </w:p>
    <w:p w14:paraId="132AD7BD" w14:textId="77777777" w:rsidR="00D208ED" w:rsidRDefault="00D208ED" w:rsidP="00D208ED">
      <w:pPr>
        <w:ind w:left="720"/>
      </w:pPr>
      <w:r>
        <w:t>Figs. S1 to S2</w:t>
      </w:r>
    </w:p>
    <w:p w14:paraId="6DA31BE3" w14:textId="77777777" w:rsidR="00D208ED" w:rsidRDefault="00D208ED" w:rsidP="00D208ED">
      <w:pPr>
        <w:ind w:left="720"/>
      </w:pPr>
      <w:r>
        <w:t>Table S1 to S2</w:t>
      </w:r>
    </w:p>
    <w:p w14:paraId="2571D671" w14:textId="77777777" w:rsidR="00D208ED" w:rsidRDefault="00D208ED" w:rsidP="00D208ED"/>
    <w:p w14:paraId="1B3C7403" w14:textId="77777777" w:rsidR="00D208ED" w:rsidRDefault="00D208ED" w:rsidP="00D208ED">
      <w:pPr>
        <w:ind w:left="720"/>
      </w:pPr>
      <w:r>
        <w:br/>
      </w:r>
    </w:p>
    <w:p w14:paraId="793B4B16" w14:textId="77777777" w:rsidR="00D208ED" w:rsidRDefault="00D208ED" w:rsidP="00D208ED">
      <w:pPr>
        <w:pStyle w:val="SMHeading"/>
      </w:pPr>
      <w:r>
        <w:br w:type="page"/>
      </w:r>
      <w:bookmarkStart w:id="0" w:name="Tables"/>
      <w:bookmarkStart w:id="1" w:name="MaterialsMethods"/>
      <w:bookmarkEnd w:id="0"/>
      <w:bookmarkEnd w:id="1"/>
      <w:r w:rsidRPr="00B43B31">
        <w:lastRenderedPageBreak/>
        <w:t>Materials and Methods</w:t>
      </w:r>
    </w:p>
    <w:p w14:paraId="72BC8D71" w14:textId="77777777" w:rsidR="00D208ED" w:rsidRPr="00935F46" w:rsidRDefault="00D208ED" w:rsidP="00D208ED">
      <w:pPr>
        <w:spacing w:line="360" w:lineRule="auto"/>
        <w:rPr>
          <w:szCs w:val="24"/>
          <w:u w:val="single"/>
        </w:rPr>
      </w:pPr>
      <w:r w:rsidRPr="00935F46">
        <w:rPr>
          <w:szCs w:val="24"/>
          <w:u w:val="single"/>
        </w:rPr>
        <w:t>Seafloor disturbance model</w:t>
      </w:r>
    </w:p>
    <w:p w14:paraId="468B0B08" w14:textId="43095DFA" w:rsidR="00D208ED" w:rsidRDefault="00D208ED" w:rsidP="00D208ED">
      <w:pPr>
        <w:spacing w:line="360" w:lineRule="auto"/>
        <w:ind w:firstLine="540"/>
        <w:rPr>
          <w:szCs w:val="24"/>
        </w:rPr>
      </w:pPr>
      <w:r w:rsidRPr="00941DD5">
        <w:rPr>
          <w:szCs w:val="24"/>
        </w:rPr>
        <w:t xml:space="preserve">Seafloor disturbance was estimated using a spatiotemporal model that incorporates impact and recovery dynamics to track the proportion of disturbed and undisturbed areas within grid cells over discrete time steps.  The full model is detailed in </w:t>
      </w:r>
      <w:r w:rsidR="00505055">
        <w:rPr>
          <w:szCs w:val="24"/>
        </w:rPr>
        <w:t xml:space="preserve">Smeltz et </w:t>
      </w:r>
      <w:r w:rsidR="00505055">
        <w:rPr>
          <w:i/>
          <w:iCs/>
          <w:szCs w:val="24"/>
        </w:rPr>
        <w:t xml:space="preserve">al. </w:t>
      </w:r>
      <w:r w:rsidRPr="00941DD5">
        <w:rPr>
          <w:szCs w:val="24"/>
        </w:rPr>
        <w:fldChar w:fldCharType="begin" w:fldLock="1"/>
      </w:r>
      <w:r>
        <w:rPr>
          <w:szCs w:val="24"/>
        </w:rPr>
        <w:instrText>ADDIN CSL_CITATION {"citationItems":[{"id":"ITEM-1","itemData":{"DOI":"10.1139/cjfas-2018-0243","ISSN":"0706-652X","author":[{"dropping-particle":"","family":"Smeltz","given":"T. Scott","non-dropping-particle":"","parse-names":false,"suffix":""},{"dropping-particle":"","family":"Harris","given":"Bradley P.","non-dropping-particle":"","parse-names":false,"suffix":""},{"dropping-particle":"","family":"Olson","given":"John","non-dropping-particle":"","parse-names":false,"suffix":""},{"dropping-particle":"","family":"Sethi","given":"Suresh A.","non-dropping-particle":"","parse-names":false,"suffix":""}],"container-title":"Canadian Journal of Fisheries and Aquatic Sciences","id":"ITEM-1","issue":"January","issued":{"date-parts":[["2019"]]},"page":"1-9","title":"A seascape scale habitat model to support management of fishing impacts on benthic ecosystems","type":"article-journal","volume":"9"},"uris":["http://www.mendeley.com/documents/?uuid=26f8fd7a-55d1-40ef-86b8-2faf12753df7"]}],"mendeley":{"formattedCitation":"(&lt;i&gt;12&lt;/i&gt;)","plainTextFormattedCitation":"(12)","previouslyFormattedCitation":"(&lt;i&gt;12&lt;/i&gt;)"},"properties":{"noteIndex":0},"schema":"https://github.com/citation-style-language/schema/raw/master/csl-citation.json"}</w:instrText>
      </w:r>
      <w:r w:rsidRPr="00941DD5">
        <w:rPr>
          <w:szCs w:val="24"/>
        </w:rPr>
        <w:fldChar w:fldCharType="separate"/>
      </w:r>
      <w:r w:rsidRPr="003F3902">
        <w:rPr>
          <w:noProof/>
          <w:szCs w:val="24"/>
        </w:rPr>
        <w:t>(</w:t>
      </w:r>
      <w:r w:rsidRPr="003F3902">
        <w:rPr>
          <w:i/>
          <w:noProof/>
          <w:szCs w:val="24"/>
        </w:rPr>
        <w:t>12</w:t>
      </w:r>
      <w:r w:rsidRPr="003F3902">
        <w:rPr>
          <w:noProof/>
          <w:szCs w:val="24"/>
        </w:rPr>
        <w:t>)</w:t>
      </w:r>
      <w:r w:rsidRPr="00941DD5">
        <w:rPr>
          <w:szCs w:val="24"/>
        </w:rPr>
        <w:fldChar w:fldCharType="end"/>
      </w:r>
      <w:r w:rsidRPr="00941DD5">
        <w:rPr>
          <w:szCs w:val="24"/>
        </w:rPr>
        <w:t>. We used a 2 km x 2 km grid over monthly time steps for these analyses, limiting the domain to the world’s continental shelves, defined here as depths from 0 m - 1,000 m.  Impacts are defined as the proportional amount of undisturbed seafloor within a grid cell that transitions to a disturbed state over a time step.  Disturbances are calculated for each grid cell and time step as the product of the total swept area ratio (SAR), gear contact adjustment, and habitat susceptibility, which is then adjusted to account for overlapping effort on the assumption that fishing effort is randomly distributed within a grid cell and time step.  The SAR is the summed footprint of all trawl activity within the grid cell and time step; contact adjustment is the proportion of the footprint that contacts the seafloor; susceptibility is the proportion of habitat features that would be disturbed by contact.  In the main text, contact adjustment is referred to in terms of contact reduction for ease of interpretation, where contact reduction is the complement of contact adjustment (</w:t>
      </w:r>
      <m:oMath>
        <m:r>
          <w:rPr>
            <w:rFonts w:ascii="Cambria Math" w:hAnsi="Cambria Math"/>
            <w:szCs w:val="24"/>
          </w:rPr>
          <m:t>contact reduction=1-contact adjustment</m:t>
        </m:r>
      </m:oMath>
      <w:r w:rsidRPr="00941DD5">
        <w:rPr>
          <w:rFonts w:eastAsiaTheme="minorEastAsia"/>
          <w:szCs w:val="24"/>
        </w:rPr>
        <w:t>)</w:t>
      </w:r>
      <w:r w:rsidRPr="00941DD5">
        <w:rPr>
          <w:szCs w:val="24"/>
        </w:rPr>
        <w:t>.  Recovery is the proportional amount of disturbed seafloor that transitions back to an undisturbed state and is parametrized in this analysis by the mean time required for seafloor habitats to recover from to 5% to 95% of their pre-disturbance levels. The susceptibility and recovery parameters are based on the seafloor habitat types within a grid cell from a global benthic habitat database described below.</w:t>
      </w:r>
    </w:p>
    <w:p w14:paraId="5F3309CC" w14:textId="77777777" w:rsidR="00D208ED" w:rsidRPr="00941DD5" w:rsidRDefault="00D208ED" w:rsidP="00D208ED">
      <w:pPr>
        <w:spacing w:line="360" w:lineRule="auto"/>
        <w:ind w:firstLine="540"/>
        <w:rPr>
          <w:szCs w:val="24"/>
        </w:rPr>
      </w:pPr>
    </w:p>
    <w:p w14:paraId="440BB36C" w14:textId="77777777" w:rsidR="00D208ED" w:rsidRPr="00935F46" w:rsidRDefault="00D208ED" w:rsidP="00D208ED">
      <w:pPr>
        <w:spacing w:line="360" w:lineRule="auto"/>
        <w:rPr>
          <w:szCs w:val="24"/>
          <w:u w:val="single"/>
        </w:rPr>
      </w:pPr>
      <w:r w:rsidRPr="00935F46">
        <w:rPr>
          <w:szCs w:val="24"/>
          <w:u w:val="single"/>
        </w:rPr>
        <w:t>Fishing effort and gear parameters</w:t>
      </w:r>
    </w:p>
    <w:p w14:paraId="0FEF07AF" w14:textId="01D69BFC" w:rsidR="00D208ED" w:rsidRPr="00941DD5" w:rsidRDefault="00D208ED" w:rsidP="00D208ED">
      <w:pPr>
        <w:spacing w:line="360" w:lineRule="auto"/>
        <w:ind w:firstLine="540"/>
        <w:rPr>
          <w:szCs w:val="24"/>
        </w:rPr>
      </w:pPr>
      <w:r w:rsidRPr="00941DD5">
        <w:rPr>
          <w:szCs w:val="24"/>
        </w:rPr>
        <w:t>Fishing effort data was provided by Global Fishing Watch (</w:t>
      </w:r>
      <w:hyperlink r:id="rId10" w:history="1">
        <w:r w:rsidRPr="00941DD5">
          <w:rPr>
            <w:rStyle w:val="Hyperlink"/>
            <w:szCs w:val="24"/>
          </w:rPr>
          <w:t>https://globalfishingwatch.org/</w:t>
        </w:r>
      </w:hyperlink>
      <w:r w:rsidRPr="00941DD5">
        <w:rPr>
          <w:szCs w:val="24"/>
        </w:rPr>
        <w:t>) which they compiled from AIS data using a neural network to identify vessel type and behavior (e.g. fishing or transiting)</w:t>
      </w:r>
      <w:r w:rsidRPr="00941DD5">
        <w:rPr>
          <w:szCs w:val="24"/>
        </w:rPr>
        <w:fldChar w:fldCharType="begin" w:fldLock="1"/>
      </w:r>
      <w:r>
        <w:rPr>
          <w:szCs w:val="24"/>
        </w:rPr>
        <w:instrText>ADDIN CSL_CITATION {"citationItems":[{"id":"ITEM-1","itemData":{"DOI":"10.1126/science.aao5646","author":[{"dropping-particle":"","family":"Kroodsma","given":"David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d":{"date-parts":[["2018"]]},"page":"904-908","title":"Tracking the global footprint of fisheries","type":"article-journal","volume":"359"},"uris":["http://www.mendeley.com/documents/?uuid=bdc46369-3e32-4ea5-885a-1ea3b123e823"]}],"mendeley":{"formattedCitation":"(&lt;i&gt;9&lt;/i&gt;)","plainTextFormattedCitation":"(9)","previouslyFormattedCitation":"(&lt;i&gt;9&lt;/i&gt;)"},"properties":{"noteIndex":0},"schema":"https://github.com/citation-style-language/schema/raw/master/csl-citation.json"}</w:instrText>
      </w:r>
      <w:r w:rsidRPr="00941DD5">
        <w:rPr>
          <w:szCs w:val="24"/>
        </w:rPr>
        <w:fldChar w:fldCharType="separate"/>
      </w:r>
      <w:r w:rsidRPr="003F3902">
        <w:rPr>
          <w:noProof/>
          <w:szCs w:val="24"/>
        </w:rPr>
        <w:t>(</w:t>
      </w:r>
      <w:r w:rsidRPr="003F3902">
        <w:rPr>
          <w:i/>
          <w:noProof/>
          <w:szCs w:val="24"/>
        </w:rPr>
        <w:t>9</w:t>
      </w:r>
      <w:r w:rsidRPr="003F3902">
        <w:rPr>
          <w:noProof/>
          <w:szCs w:val="24"/>
        </w:rPr>
        <w:t>)</w:t>
      </w:r>
      <w:r w:rsidRPr="00941DD5">
        <w:rPr>
          <w:szCs w:val="24"/>
        </w:rPr>
        <w:fldChar w:fldCharType="end"/>
      </w:r>
      <w:r w:rsidRPr="00941DD5">
        <w:rPr>
          <w:szCs w:val="24"/>
        </w:rPr>
        <w:t>.  We acquired the data as daily hours fished by gear type on a 0.01-degree grid for 2013 – 2018.  Our seafloor impact analyses included only effort designated as trawlers.  The effort data was aggregated to an equidistant 2 km x 2 km raster grid on monthly time steps.  Fishing hours in each grid cell and time step were converted to SAR as:</w:t>
      </w:r>
      <w:r w:rsidRPr="00941DD5">
        <w:rPr>
          <w:rFonts w:eastAsiaTheme="minorEastAsia"/>
          <w:szCs w:val="24"/>
        </w:rPr>
        <w:t xml:space="preserve"> </w:t>
      </w:r>
      <m:oMath>
        <m:r>
          <w:rPr>
            <w:rFonts w:ascii="Cambria Math" w:hAnsi="Cambria Math"/>
            <w:szCs w:val="24"/>
          </w:rPr>
          <m:t>SAR=</m:t>
        </m:r>
        <m:d>
          <m:dPr>
            <m:ctrlPr>
              <w:rPr>
                <w:rFonts w:ascii="Cambria Math" w:hAnsi="Cambria Math"/>
                <w:i/>
                <w:szCs w:val="24"/>
              </w:rPr>
            </m:ctrlPr>
          </m:dPr>
          <m:e>
            <m:r>
              <w:rPr>
                <w:rFonts w:ascii="Cambria Math" w:hAnsi="Cambria Math"/>
                <w:szCs w:val="24"/>
              </w:rPr>
              <m:t>fishing hours</m:t>
            </m:r>
          </m:e>
        </m:d>
        <m:r>
          <w:rPr>
            <w:rFonts w:ascii="Cambria Math" w:eastAsiaTheme="minorEastAsia" w:hAnsi="Cambria Math"/>
            <w:szCs w:val="24"/>
          </w:rPr>
          <m:t>x</m:t>
        </m:r>
        <m:d>
          <m:dPr>
            <m:ctrlPr>
              <w:rPr>
                <w:rFonts w:ascii="Cambria Math" w:eastAsiaTheme="minorEastAsia" w:hAnsi="Cambria Math"/>
                <w:i/>
                <w:szCs w:val="24"/>
              </w:rPr>
            </m:ctrlPr>
          </m:dPr>
          <m:e>
            <m:r>
              <w:rPr>
                <w:rFonts w:ascii="Cambria Math" w:eastAsiaTheme="minorEastAsia" w:hAnsi="Cambria Math"/>
                <w:szCs w:val="24"/>
              </w:rPr>
              <m:t>speed</m:t>
            </m:r>
          </m:e>
        </m:d>
        <m:r>
          <w:rPr>
            <w:rFonts w:ascii="Cambria Math" w:eastAsiaTheme="minorEastAsia" w:hAnsi="Cambria Math"/>
            <w:szCs w:val="24"/>
          </w:rPr>
          <m:t>x</m:t>
        </m:r>
        <m:d>
          <m:dPr>
            <m:ctrlPr>
              <w:rPr>
                <w:rFonts w:ascii="Cambria Math" w:eastAsiaTheme="minorEastAsia" w:hAnsi="Cambria Math"/>
                <w:i/>
                <w:szCs w:val="24"/>
              </w:rPr>
            </m:ctrlPr>
          </m:dPr>
          <m:e>
            <m:r>
              <w:rPr>
                <w:rFonts w:ascii="Cambria Math" w:eastAsiaTheme="minorEastAsia" w:hAnsi="Cambria Math"/>
                <w:szCs w:val="24"/>
              </w:rPr>
              <m:t>gear width</m:t>
            </m:r>
          </m:e>
        </m:d>
        <m:r>
          <w:rPr>
            <w:rFonts w:ascii="Cambria Math" w:eastAsiaTheme="minorEastAsia" w:hAnsi="Cambria Math"/>
            <w:szCs w:val="24"/>
          </w:rPr>
          <m:t>/(grid area)</m:t>
        </m:r>
      </m:oMath>
      <w:r w:rsidRPr="00941DD5">
        <w:rPr>
          <w:rFonts w:eastAsiaTheme="minorEastAsia"/>
          <w:szCs w:val="24"/>
        </w:rPr>
        <w:t>. Gear towing s</w:t>
      </w:r>
      <w:r w:rsidRPr="00941DD5">
        <w:rPr>
          <w:szCs w:val="24"/>
        </w:rPr>
        <w:t>peeds were set at 7.408 km hr</w:t>
      </w:r>
      <w:r w:rsidRPr="00941DD5">
        <w:rPr>
          <w:szCs w:val="24"/>
          <w:vertAlign w:val="superscript"/>
        </w:rPr>
        <w:t>-1</w:t>
      </w:r>
      <w:r w:rsidRPr="00941DD5">
        <w:rPr>
          <w:szCs w:val="24"/>
        </w:rPr>
        <w:t xml:space="preserve"> (4 knots), following the average speed used to detect trawler fishing activity in the AIS data</w:t>
      </w:r>
      <w:r w:rsidRPr="00941DD5">
        <w:rPr>
          <w:szCs w:val="24"/>
        </w:rPr>
        <w:fldChar w:fldCharType="begin" w:fldLock="1"/>
      </w:r>
      <w:r>
        <w:rPr>
          <w:szCs w:val="24"/>
        </w:rPr>
        <w:instrText>ADDIN CSL_CITATION {"citationItems":[{"id":"ITEM-1","itemData":{"DOI":"10.1126/science.aao5646","author":[{"dropping-particle":"","family":"Kroodsma","given":"David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d":{"date-parts":[["2018"]]},"page":"904-908","title":"Tracking the global footprint of fisheries","type":"article-journal","volume":"359"},"uris":["http://www.mendeley.com/documents/?uuid=bdc46369-3e32-4ea5-885a-1ea3b123e823"]}],"mendeley":{"formattedCitation":"(&lt;i&gt;9&lt;/i&gt;)","plainTextFormattedCitation":"(9)","previouslyFormattedCitation":"(&lt;i&gt;9&lt;/i&gt;)"},"properties":{"noteIndex":0},"schema":"https://github.com/citation-style-language/schema/raw/master/csl-citation.json"}</w:instrText>
      </w:r>
      <w:r w:rsidRPr="00941DD5">
        <w:rPr>
          <w:szCs w:val="24"/>
        </w:rPr>
        <w:fldChar w:fldCharType="separate"/>
      </w:r>
      <w:r w:rsidRPr="003F3902">
        <w:rPr>
          <w:noProof/>
          <w:szCs w:val="24"/>
        </w:rPr>
        <w:t>(</w:t>
      </w:r>
      <w:r w:rsidRPr="003F3902">
        <w:rPr>
          <w:i/>
          <w:noProof/>
          <w:szCs w:val="24"/>
        </w:rPr>
        <w:t>9</w:t>
      </w:r>
      <w:r w:rsidRPr="003F3902">
        <w:rPr>
          <w:noProof/>
          <w:szCs w:val="24"/>
        </w:rPr>
        <w:t>)</w:t>
      </w:r>
      <w:r w:rsidRPr="00941DD5">
        <w:rPr>
          <w:szCs w:val="24"/>
        </w:rPr>
        <w:fldChar w:fldCharType="end"/>
      </w:r>
      <w:r w:rsidRPr="00941DD5">
        <w:rPr>
          <w:szCs w:val="24"/>
        </w:rPr>
        <w:t xml:space="preserve">.  Gear width was set to 200 m for all effort, a conservative impact estimate at the global scale, corresponding to the upper range of trawl widths </w:t>
      </w:r>
      <w:r w:rsidRPr="00941DD5">
        <w:rPr>
          <w:szCs w:val="24"/>
        </w:rPr>
        <w:fldChar w:fldCharType="begin" w:fldLock="1"/>
      </w:r>
      <w:r>
        <w:rPr>
          <w:szCs w:val="24"/>
        </w:rPr>
        <w:instrText>ADDIN CSL_CITATION {"citationItems":[{"id":"ITEM-1","itemData":{"DOI":"10.1073/pnas.1802379115","ISSN":"0027-8424","PMID":"30297399","abstract":"We conducted a systematic, high-resolution analysis of bottom trawl fishing footprints for 24 regions on continental shelves and slopes of five continents and New Zealand. The proportion of seabed trawled varied &gt;200-fold among regions (from 0.4 to 80.7% of area to a depth of 1,000 m). Within 18 regions, more than two-thirds of seabed area remained untrawled during study periods of 2–6 years. Relationships between metrics of total trawling activity and footprint were strong and positive, providing a method to estimate trawling footprints for regions where high-resolution data are not available. Trawling footprints were generally smaller in regions where fisheries met targets for exploitation rates, implying collateral environmental benefits of effective fisheries management. Bottom trawlers land around 19 million tons of fish and invertebrates annually, almost one-quarter of wild marine landings. The extent of bottom trawling footprint (seabed area trawled at least once in a specified region and time period) is often contested but poorly described. We quantify footprints using high-resolution satellite vessel monitoring system (VMS) and logbook data on 24 continental shelves and slopes to 1,000-m depth over at least 2 years. Trawling footprint varied markedly among regions: from &lt;10% of seabed area in Australian and New Zealand waters, the Aleutian Islands, East Bering Sea, South Chile, and Gulf of Alaska to &gt;50% in some European seas. Overall, 14% of the 7.8 million-km2 study area was trawled, and 86% was not trawled. Trawling activity was aggregated; the most intensively trawled areas accounting for 90% of activity comprised 77% of footprint on average. Regional swept area ratio (SAR; ratio of total swept area trawled annually to total area of region, a metric of trawling intensity) and footprint area were related, providing an approach to estimate regional trawling footprints when high-resolution spatial data are unavailable. If SAR was ≤0.1, as in 8 of 24 regions, there was &gt;95% probability that &gt;90% of seabed was not trawled. If SAR was 7.9, equal to the highest SAR recorded, there was &gt;95% probability that &gt;70% of seabed was trawled. Footprints were smaller and SAR was ≤0.25 in regions where fishing rates consistently met international sustainability benchmarks for fish stocks, implying collateral environmental benefits from sustainable fishing.","author":[{"dropping-particle":"","family":"Amoroso","given":"Ricardo O.","non-dropping-particle":"","parse-names":false,"suffix":""},{"dropping-particle":"","family":"Pitcher","given":"C. Roland","non-dropping-particle":"","parse-names":false,"suffix":""},{"dropping-particle":"","family":"Rijnsdorp","given":"Adriaan D.","non-dropping-particle":"","parse-names":false,"suffix":""},{"dropping-particle":"","family":"McConnaughey","given":"Robert A.","non-dropping-particle":"","parse-names":false,"suffix":""},{"dropping-particle":"","family":"Parma","given":"Ana M.","non-dropping-particle":"","parse-names":false,"suffix":""},{"dropping-particle":"","family":"Suuronen","given":"Petri","non-dropping-particle":"","parse-names":false,"suffix":""},{"dropping-particle":"","family":"Eigaard","given":"Ole R.","non-dropping-particle":"","parse-names":false,"suffix":""},{"dropping-particle":"","family":"Bastardie","given":"Francois","non-dropping-particle":"","parse-names":false,"suffix":""},{"dropping-particle":"","family":"Hintzen","given":"Niels T.","non-dropping-particle":"","parse-names":false,"suffix":""},{"dropping-particle":"","family":"Althaus","given":"Franziska","non-dropping-particle":"","parse-names":false,"suffix":""},{"dropping-particle":"","family":"Baird","given":"Susan Jane","non-dropping-particle":"","parse-names":false,"suffix":""},{"dropping-particle":"","family":"Black","given":"Jenny","non-dropping-particle":"","parse-names":false,"suffix":""},{"dropping-particle":"","family":"Buhl-Mortensen","given":"Lene","non-dropping-particle":"","parse-names":false,"suffix":""},{"dropping-particle":"","family":"Campbell","given":"Alexander B.","non-dropping-particle":"","parse-names":false,"suffix":""},{"dropping-particle":"","family":"Catarino","given":"Rui","non-dropping-particle":"","parse-names":false,"suffix":""},{"dropping-particle":"","family":"Collie","given":"Jeremy","non-dropping-particle":"","parse-names":false,"suffix":""},{"dropping-particle":"","family":"Cowan","given":"James H.","non-dropping-particle":"","parse-names":false,"suffix":""},{"dropping-particle":"","family":"Durholtz","given":"Deon","non-dropping-particle":"","parse-names":false,"suffix":""},{"dropping-particle":"","family":"Engstrom","given":"Nadia","non-dropping-particle":"","parse-names":false,"suffix":""},{"dropping-particle":"","family":"Fairweather","given":"Tracey P.","non-dropping-particle":"","parse-names":false,"suffix":""},{"dropping-particle":"","family":"Fock","given":"Heino O.","non-dropping-particle":"","parse-names":false,"suffix":""},{"dropping-particle":"","family":"Ford","given":"Richard","non-dropping-particle":"","parse-names":false,"suffix":""},{"dropping-particle":"","family":"Gálvez","given":"Patricio A.","non-dropping-particle":"","parse-names":false,"suffix":""},{"dropping-particle":"","family":"Gerritsen","given":"Hans","non-dropping-particle":"","parse-names":false,"suffix":""},{"dropping-particle":"","family":"Góngora","given":"María Eva","non-dropping-particle":"","parse-names":false,"suffix":""},{"dropping-particle":"","family":"González","given":"Jessica A.","non-dropping-particle":"","parse-names":false,"suffix":""},{"dropping-particle":"","family":"Hiddink","given":"Jan G.","non-dropping-particle":"","parse-names":false,"suffix":""},{"dropping-particle":"","family":"Hughes","given":"Kathryn M.","non-dropping-particle":"","parse-names":false,"suffix":""},{"dropping-particle":"","family":"Intelmann","given":"Steven S.","non-dropping-particle":"","parse-names":false,"suffix":""},{"dropping-particle":"","family":"Jenkins","given":"Chris","non-dropping-particle":"","parse-names":false,"suffix":""},{"dropping-particle":"","family":"Jonsson","given":"Patrik","non-dropping-particle":"","parse-names":false,"suffix":""},{"dropping-particle":"","family":"Kainge","given":"Paulus","non-dropping-particle":"","parse-names":false,"suffix":""},{"dropping-particle":"","family":"Kangas","given":"Mervi","non-dropping-particle":"","parse-names":false,"suffix":""},{"dropping-particle":"","family":"Kathena","given":"Johannes N.","non-dropping-particle":"","parse-names":false,"suffix":""},{"dropping-particle":"","family":"Kavadas","given":"Stefanos","non-dropping-particle":"","parse-names":false,"suffix":""},{"dropping-particle":"","family":"Leslie","given":"Rob W.","non-dropping-particle":"","parse-names":false,"suffix":""},{"dropping-particle":"","family":"Lewis","given":"Steve G.","non-dropping-particle":"","parse-names":false,"suffix":""},{"dropping-particle":"","family":"Lundy","given":"Mathieu","non-dropping-particle":"","parse-names":false,"suffix":""},{"dropping-particle":"","family":"Makin","given":"David","non-dropping-particle":"","parse-names":false,"suffix":""},{"dropping-particle":"","family":"Martin","given":"Julie","non-dropping-particle":"","parse-names":false,"suffix":""},{"dropping-particle":"","family":"Mazor","given":"Tessa","non-dropping-particle":"","parse-names":false,"suffix":""},{"dropping-particle":"","family":"Gonzalez-Mirelis","given":"Genoveva","non-dropping-particle":"","parse-names":false,"suffix":""},{"dropping-particle":"","family":"Newman","given":"Stephen J.","non-dropping-particle":"","parse-names":false,"suffix":""},{"dropping-particle":"","family":"Papadopoulou","given":"Nadia","non-dropping-particle":"","parse-names":false,"suffix":""},{"dropping-particle":"","family":"Posen","given":"Paulette E.","non-dropping-particle":"","parse-names":false,"suffix":""},{"dropping-particle":"","family":"Rochester","given":"Wayne","non-dropping-particle":"","parse-names":false,"suffix":""},{"dropping-particle":"","family":"Russo","given":"Tommaso","non-dropping-particle":"","parse-names":false,"suffix":""},{"dropping-particle":"","family":"Sala","given":"Antonello","non-dropping-particle":"","parse-names":false,"suffix":""},{"dropping-particle":"","family":"Semmens","given":"Jayson M.","non-dropping-particle":"","parse-names":false,"suffix":""},{"dropping-particle":"","family":"Silva","given":"Cristina","non-dropping-particle":"","parse-names":false,"suffix":""},{"dropping-particle":"","family":"Tsolos","given":"Angelo","non-dropping-particle":"","parse-names":false,"suffix":""},{"dropping-particle":"","family":"Vanelslander","given":"Bart","non-dropping-particle":"","parse-names":false,"suffix":""},{"dropping-particle":"","family":"Wakefield","given":"Corey B.","non-dropping-particle":"","parse-names":false,"suffix":""},{"dropping-particle":"","family":"Wood","given":"Brent A.","non-dropping-particle":"","parse-names":false,"suffix":""},{"dropping-particle":"","family":"Hilborn","given":"Ray","non-dropping-particle":"","parse-names":false,"suffix":""},{"dropping-particle":"","family":"Kaiser","given":"Michel J.","non-dropping-particle":"","parse-names":false,"suffix":""},{"dropping-particle":"","family":"Jennings","given":"Simon","non-dropping-particle":"","parse-names":false,"suffix":""}],"container-title":"Proceedings of the National Academy of Sciences","id":"ITEM-1","issue":"43","issued":{"date-parts":[["2018"]]},"page":"201802379","title":"Bottom trawl fishing footprints on the world’s continental shelves","type":"article-journal","volume":"115"},"uris":["http://www.mendeley.com/documents/?uuid=48b7674b-dd55-4a35-9f9d-99c4fdd392b1"]}],"mendeley":{"formattedCitation":"(&lt;i&gt;33&lt;/i&gt;)","plainTextFormattedCitation":"(33)","previouslyFormattedCitation":"(&lt;i&gt;33&lt;/i&gt;)"},"properties":{"noteIndex":0},"schema":"https://github.com/citation-style-language/schema/raw/master/csl-citation.json"}</w:instrText>
      </w:r>
      <w:r w:rsidRPr="00941DD5">
        <w:rPr>
          <w:szCs w:val="24"/>
        </w:rPr>
        <w:fldChar w:fldCharType="separate"/>
      </w:r>
      <w:r w:rsidRPr="003F3902">
        <w:rPr>
          <w:noProof/>
          <w:szCs w:val="24"/>
        </w:rPr>
        <w:t>(</w:t>
      </w:r>
      <w:r w:rsidRPr="003F3902">
        <w:rPr>
          <w:i/>
          <w:noProof/>
          <w:szCs w:val="24"/>
        </w:rPr>
        <w:t>33</w:t>
      </w:r>
      <w:r w:rsidRPr="003F3902">
        <w:rPr>
          <w:noProof/>
          <w:szCs w:val="24"/>
        </w:rPr>
        <w:t>)</w:t>
      </w:r>
      <w:r w:rsidRPr="00941DD5">
        <w:rPr>
          <w:szCs w:val="24"/>
        </w:rPr>
        <w:fldChar w:fldCharType="end"/>
      </w:r>
      <w:r w:rsidRPr="00941DD5">
        <w:rPr>
          <w:szCs w:val="24"/>
        </w:rPr>
        <w:t>.</w:t>
      </w:r>
    </w:p>
    <w:p w14:paraId="6006890F" w14:textId="77777777" w:rsidR="00D208ED" w:rsidRPr="00941DD5" w:rsidRDefault="00D208ED" w:rsidP="00D208ED">
      <w:pPr>
        <w:spacing w:line="360" w:lineRule="auto"/>
        <w:rPr>
          <w:szCs w:val="24"/>
        </w:rPr>
      </w:pPr>
    </w:p>
    <w:p w14:paraId="75C4DF09" w14:textId="77777777" w:rsidR="00D208ED" w:rsidRPr="00935F46" w:rsidRDefault="00D208ED" w:rsidP="00D208ED">
      <w:pPr>
        <w:spacing w:line="360" w:lineRule="auto"/>
        <w:rPr>
          <w:szCs w:val="24"/>
          <w:u w:val="single"/>
        </w:rPr>
      </w:pPr>
      <w:r w:rsidRPr="00935F46">
        <w:rPr>
          <w:szCs w:val="24"/>
          <w:u w:val="single"/>
        </w:rPr>
        <w:t>Susceptibility and recovery of seafloor habitats</w:t>
      </w:r>
    </w:p>
    <w:p w14:paraId="5C246C4A" w14:textId="77777777" w:rsidR="00505055" w:rsidRDefault="00D208ED" w:rsidP="00505055">
      <w:pPr>
        <w:spacing w:line="360" w:lineRule="auto"/>
        <w:rPr>
          <w:szCs w:val="24"/>
        </w:rPr>
      </w:pPr>
      <w:r w:rsidRPr="00941DD5">
        <w:rPr>
          <w:szCs w:val="24"/>
        </w:rPr>
        <w:t>The recovery rate and susceptibility of seafloor habitats was based on the habitat type of each grid cell.  Global maps of seafloor habitats</w:t>
      </w:r>
      <w:r w:rsidR="00505055">
        <w:rPr>
          <w:szCs w:val="24"/>
        </w:rPr>
        <w:t xml:space="preserve"> </w:t>
      </w:r>
      <w:r w:rsidRPr="00941DD5">
        <w:rPr>
          <w:szCs w:val="24"/>
        </w:rPr>
        <w:fldChar w:fldCharType="begin" w:fldLock="1"/>
      </w:r>
      <w:r>
        <w:rPr>
          <w:szCs w:val="24"/>
        </w:rPr>
        <w:instrText>ADDIN CSL_CITATION {"citationItems":[{"id":"ITEM-1","itemData":{"DOI":"10.1126/science.1149345","ISBN":"10.1126/science.1149345","ISSN":"1095-9203","PMID":"18276889","abstract":"The management and conservation of the world's oceans require synthesis of spatial data on the distribution and intensity of human activities and the overlap of their impacts on marine ecosystems. We developed an ecosystem-specific, multiscale spatial model to synthesize 17 global data sets of anthropogenic drivers of ecological change for 20 marine ecosystems. Our analysis indicates that no area is unaffected by human influence and that a large fraction (41%) is strongly affected by multiple drivers. However, large areas of relatively little human impact remain, particularly near the poles. The analytical process and resulting maps provide flexible tools for regional and global efforts to allocate conservation resources; to implement ecosystem-based management; and to inform marine spatial planning, education, and basic research.","author":[{"dropping-particle":"","family":"Halpern","given":"Benjamin S","non-dropping-particle":"","parse-names":false,"suffix":""},{"dropping-particle":"","family":"Walbridge","given":"Shaun","non-dropping-particle":"","parse-names":false,"suffix":""},{"dropping-particle":"","family":"Selkoe","given":"Kimberly a","non-dropping-particle":"","parse-names":false,"suffix":""},{"dropping-particle":"V","family":"Kappel","given":"Carrie","non-dropping-particle":"","parse-names":false,"suffix":""},{"dropping-particle":"","family":"Micheli","given":"Fiorenza","non-dropping-particle":"","parse-names":false,"suffix":""},{"dropping-particle":"","family":"D'Agrosa","given":"Caterina","non-dropping-particle":"","parse-names":false,"suffix":""},{"dropping-particle":"","family":"Bruno","given":"John F","non-dropping-particle":"","parse-names":false,"suffix":""},{"dropping-particle":"","family":"Casey","given":"Kenneth S","non-dropping-particle":"","parse-names":false,"suffix":""},{"dropping-particle":"","family":"Ebert","given":"Colin","non-dropping-particle":"","parse-names":false,"suffix":""},{"dropping-particle":"","family":"Fox","given":"Helen E","non-dropping-particle":"","parse-names":false,"suffix":""},{"dropping-particle":"","family":"Fujita","given":"Rod","non-dropping-particle":"","parse-names":false,"suffix":""},{"dropping-particle":"","family":"Heinemann","given":"Dennis","non-dropping-particle":"","parse-names":false,"suffix":""},{"dropping-particle":"","family":"Lenihan","given":"Hunter S","non-dropping-particle":"","parse-names":false,"suffix":""},{"dropping-particle":"","family":"Madin","given":"Elizabeth M P","non-dropping-particle":"","parse-names":false,"suffix":""},{"dropping-particle":"","family":"Perry","given":"Matthew T","non-dropping-particle":"","parse-names":false,"suffix":""},{"dropping-particle":"","family":"Selig","given":"Elizabeth R","non-dropping-particle":"","parse-names":false,"suffix":""},{"dropping-particle":"","family":"Spalding","given":"Mark","non-dropping-particle":"","parse-names":false,"suffix":""},{"dropping-particle":"","family":"Steneck","given":"Robert","non-dropping-particle":"","parse-names":false,"suffix":""},{"dropping-particle":"","family":"Watson","given":"Reg","non-dropping-particle":"","parse-names":false,"suffix":""}],"container-title":"Science","id":"ITEM-1","issue":"5865","issued":{"date-parts":[["2008"]]},"page":"948-52","title":"A global map of human impact on marine ecosystems.","type":"article-journal","volume":"319"},"uris":["http://www.mendeley.com/documents/?uuid=8558a43e-ad7c-4cf3-9655-2fb2e00adb33"]}],"mendeley":{"formattedCitation":"(&lt;i&gt;34&lt;/i&gt;)","plainTextFormattedCitation":"(34)","previouslyFormattedCitation":"(&lt;i&gt;34&lt;/i&gt;)"},"properties":{"noteIndex":0},"schema":"https://github.com/citation-style-language/schema/raw/master/csl-citation.json"}</w:instrText>
      </w:r>
      <w:r w:rsidRPr="00941DD5">
        <w:rPr>
          <w:szCs w:val="24"/>
        </w:rPr>
        <w:fldChar w:fldCharType="separate"/>
      </w:r>
      <w:r w:rsidRPr="003F3902">
        <w:rPr>
          <w:noProof/>
          <w:szCs w:val="24"/>
        </w:rPr>
        <w:t>(</w:t>
      </w:r>
      <w:r w:rsidRPr="003F3902">
        <w:rPr>
          <w:i/>
          <w:noProof/>
          <w:szCs w:val="24"/>
        </w:rPr>
        <w:t>34</w:t>
      </w:r>
      <w:r w:rsidRPr="003F3902">
        <w:rPr>
          <w:noProof/>
          <w:szCs w:val="24"/>
        </w:rPr>
        <w:t>)</w:t>
      </w:r>
      <w:r w:rsidRPr="00941DD5">
        <w:rPr>
          <w:szCs w:val="24"/>
        </w:rPr>
        <w:fldChar w:fldCharType="end"/>
      </w:r>
      <w:r w:rsidRPr="00941DD5">
        <w:rPr>
          <w:szCs w:val="24"/>
        </w:rPr>
        <w:t xml:space="preserve"> were acquired from the National Center for Ecological Analysis and Synthesis.  The downloaded maps were resampled to the 2 km x 2 km grid  and aggregated into three broad habitat categories (soft substrate, hard substrate, and rocky reef) to align with habitat categories employed by the habitat vulnerability meta-analysis used to parameterize recovery </w:t>
      </w:r>
      <w:r w:rsidRPr="00941DD5">
        <w:rPr>
          <w:szCs w:val="24"/>
        </w:rPr>
        <w:fldChar w:fldCharType="begin" w:fldLock="1"/>
      </w:r>
      <w:r>
        <w:rPr>
          <w:szCs w:val="24"/>
        </w:rPr>
        <w:instrText>ADDIN CSL_CITATION {"citationItems":[{"id":"ITEM-1","itemData":{"DOI":"10.1080/10641262.2013.846292","ISBN":"2330-8249","ISSN":"2330-8249","abstract":"TheMagnuson-StevensFishery Conservation andManagementAct (MSA) requiresUS fisherymanagement plans to minimize, to the extent practicable, the adverse effects of fishing on essential fish habitats (EFHs). To meet this requirement, fishery managers would ideally be able to quantify such effects and visualize their distributions across space and time. Here, we develop a framework to quantify and assess benthic impacts of the six most common bottom-tending gears (&gt;99% of bottom-tending fishing effort) in New England: otter trawls, scallop dredges, hydraulic clam dredges, gillnets, longlines, and traps. We first conducted a comprehensive review of the habitat impacts literature relevant to Northeast USA fishing gears and seabed types. We then used this information to develop a framework for generating and organizing quantitative susceptibility (based on percent loss of structural habitat from a single interaction with the gear) and recovery (i.e., the time required for recovery of lost structure) parameters for each biological (e.g., sponges, ascidians, mollusks) and geological (e.g., mud burrows, sand ripples, cobble, and boulder piles) feature common to the following five substrates: mud, sand, granule–pebble, cobble, and boulder in low- and high-energy environments. In general, we found that both susceptibility and recovery scores were highest for hydraulic dredges, slightly lower for otter trawls and scallop dredges, and much lower for fixed gears (i.e., gillnets, longlines, and traps). For bottom trawls and scallop dredges, geological features in mud, sand, and cobble-dominated substrates were more susceptible to gear impacts than features found in granule–pebble and boulder substrates.Meanwhile, biological features were largely equally susceptible to impacts across the five substrate types. Average susceptibility scores for both biological and geological substrate features were not affected by energy level. Average recovery times for geological features affected by bottom trawls and dredges were much longer in low-energy granule–pebble, and low- and high-energy cobble and boulder than in mud and sand substrates. Meanwhile, there was no difference among substrates or energy levels for biological feature recovery times. These results collectively suggest that cobble and boulder substrates are the most vulnerable to impacts from mobile bottom-tending gear. Recovery from the relatively minor impacts caused by fixed gear required slightly longer in the thre…","author":[{"dropping-particle":"","family":"Grabowski","given":"Jonathan H.","non-dropping-particle":"","parse-names":false,"suffix":""},{"dropping-particle":"","family":"Bachman","given":"Michelle","non-dropping-particle":"","parse-names":false,"suffix":""},{"dropping-particle":"","family":"Demarest","given":"Chad","non-dropping-particle":"","parse-names":false,"suffix":""},{"dropping-particle":"","family":"Eayrs","given":"Steve","non-dropping-particle":"","parse-names":false,"suffix":""},{"dropping-particle":"","family":"Harris","given":"Bradley P.","non-dropping-particle":"","parse-names":false,"suffix":""},{"dropping-particle":"","family":"Malkoski","given":"Vincent","non-dropping-particle":"","parse-names":false,"suffix":""},{"dropping-particle":"","family":"Packer","given":"David","non-dropping-particle":"","parse-names":false,"suffix":""},{"dropping-particle":"","family":"Stevenson","given":"David","non-dropping-particle":"","parse-names":false,"suffix":""}],"container-title":"Reviews in Fisheries Science &amp; Aquaculture","id":"ITEM-1","issue":"2","issued":{"date-parts":[["2014"]]},"page":"142-155","title":"Assessing the vulnerability of marine benthos to fishing gear impacts","type":"article-journal","volume":"22"},"uris":["http://www.mendeley.com/documents/?uuid=0fdfc60c-c45a-4f76-aa02-dab5cd627953"]},{"id":"ITEM-2","itemData":{"DOI":"10.1073/pnas.1618858114","ISBN":"1618858114","ISSN":"0027-8424","PMID":"28716926","abstract":"Bottom trawling is the most widespread human activity affecting seabed habitats. Here, we collate all available data for experimental and comparative studies of trawling impacts on whole communities of seabed macroinvertebrates on sedimentary habitats and develop widely applicable methods to estimate depletion and recovery rates of biota after trawling. Depletion of biota and trawl penetration into the seabed are highly correlated. Otter trawls caused the least de- pletion, removing 6% of biota per pass and penetrating the seabed on average down to 2.4 cm, whereas hydraulic dredges caused the most depletion, removing 41% of biota and penetrating the seabed on average 16.1 cm. Median recovery times posttrawling (from 50 to 95% of unimpacted biomass) ranged between 1.9 and 6.4 y. By ac- counting for the effects of penetration depth, environmental varia- tion, and uncertainty, the models explainedmuch of the variability of depletion and recovery estimates from single studies. Coupled with large-scale, high-resolution maps of trawling frequency and habitat, our estimates of depletion and recovery rates enable the assessment of trawling impacts on unprecedented spatial scales.","author":[{"dropping-particle":"","family":"Hiddink","given":"Jan Geert","non-dropping-particle":"","parse-names":false,"suffix":""},{"dropping-particle":"","family":"Jennings","given":"Simon","non-dropping-particle":"","parse-names":false,"suffix":""},{"dropping-particle":"","family":"Sciberras","given":"Marija","non-dropping-particle":"","parse-names":false,"suffix":""},{"dropping-particle":"","family":"Szostek","given":"Claire L.","non-dropping-particle":"","parse-names":false,"suffix":""},{"dropping-particle":"","family":"Hughes","given":"Kathryn M.","non-dropping-particle":"","parse-names":false,"suffix":""},{"dropping-particle":"","family":"Ellis","given":"Nick","non-dropping-particle":"","parse-names":false,"suffix":""},{"dropping-particle":"","family":"Rijnsdorp","given":"Adriaan D.","non-dropping-particle":"","parse-names":false,"suffix":""},{"dropping-particle":"","family":"McConnaughey","given":"Robert A.","non-dropping-particle":"","parse-names":false,"suffix":""},{"dropping-particle":"","family":"Mazor","given":"Tessa","non-dropping-particle":"","parse-names":false,"suffix":""},{"dropping-particle":"","family":"Hilborn","given":"Ray","non-dropping-particle":"","parse-names":false,"suffix":""},{"dropping-particle":"","family":"Collie","given":"Jeremy S.","non-dropping-particle":"","parse-names":false,"suffix":""},{"dropping-particle":"","family":"Pitcher","given":"C. Roland","non-dropping-particle":"","parse-names":false,"suffix":""},{"dropping-particle":"","family":"Amoroso","given":"Ricardo O.","non-dropping-particle":"","parse-names":false,"suffix":""},{"dropping-particle":"","family":"Parma","given":"Ana M.","non-dropping-particle":"","parse-names":false,"suffix":""},{"dropping-particle":"","family":"Suuronen","given":"Petri","non-dropping-particle":"","parse-names":false,"suffix":""},{"dropping-particle":"","family":"Kaiser","given":"Michel J.","non-dropping-particle":"","parse-names":false,"suffix":""}],"container-title":"Proceedings of the National Academy of Sciences","id":"ITEM-2","issue":"31","issued":{"date-parts":[["2017"]]},"page":"8301-8306","title":"Global analysis of depletion and recovery of seabed biota after bottom trawling disturbance","type":"article-journal","volume":"114"},"uris":["http://www.mendeley.com/documents/?uuid=78cfad75-71ce-433b-8646-42308dfe3f2c"]},{"id":"ITEM-3","itemData":{"DOI":"10.1007/s00338-010-0717-z","ISSN":"07224028","abstract":"Coral reef ecosystems are degrading through multiple disturbances that are becoming more frequent and severe. The complexities of this degradation have been studied in detail, but little work has assessed characteristics that allow reefs to bounce back and recover between pulse disturbance events. We quantitatively review recovery rates of coral cover from pulse disturbance events among 48 different reef locations, testing the relative roles of disturbance characteristics, reef characteristics, connectiv- ity and anthropogenic influences. Reefs in the western Pacific Ocean had the fastest recovery, whereas reefs in the geographically isolated eastern Pacific Ocean were slowest to recover, reflecting regional differences in coral compo- sition, fish functional diversity and geographic isolation. Disturbances that opened up large areas of benthic space recovered quickly, potentially because of nonlinear recovery where recruitment rates were high. The type of disturbance had a limited effect on subsequent rates of reef recovery, although recovery was faster following crown- of-thorns starfish outbreaks. This inconsequential role of disturbance type may be in part due to the role of unaltered structural complexity in maintaining key reef processes, such as recruitment and herbivory. Few studies explicitly recorded potential ecological determinants of recovery, such as recruitment rates, structural complexity of habitat and the functional composition of reef-associated fish. There was some evidence of slower recovery rates within protected areas compared with other management systems and fished areas, which may reflect the higher initial coral cover in protected areas rather than reflecting a manage- ment effect. A better understanding of the driving role of processes, structural complexity and diversity on recovery may enable more appropriate management actions that support coral-dominated ecosystems in our changing climate","author":[{"dropping-particle":"","family":"Graham","given":"N. A.J.","non-dropping-particle":"","parse-names":false,"suffix":""},{"dropping-particle":"","family":"Nash","given":"K. L.","non-dropping-particle":"","parse-names":false,"suffix":""},{"dropping-particle":"","family":"Kool","given":"J. T.","non-dropping-particle":"","parse-names":false,"suffix":""}],"container-title":"Coral Reefs","id":"ITEM-3","issue":"2","issued":{"date-parts":[["2011"]]},"page":"283-294","title":"Coral reef recovery dynamics in a changing world","type":"article-journal","volume":"30"},"uris":["http://www.mendeley.com/documents/?uuid=da190854-2471-4286-9490-56181e75d68f"]}],"mendeley":{"formattedCitation":"(&lt;i&gt;11&lt;/i&gt;, &lt;i&gt;35&lt;/i&gt;, &lt;i&gt;36&lt;/i&gt;)","plainTextFormattedCitation":"(11, 35, 36)","previouslyFormattedCitation":"(&lt;i&gt;11&lt;/i&gt;, &lt;i&gt;35&lt;/i&gt;, &lt;i&gt;36&lt;/i&gt;)"},"properties":{"noteIndex":0},"schema":"https://github.com/citation-style-language/schema/raw/master/csl-citation.json"}</w:instrText>
      </w:r>
      <w:r w:rsidRPr="00941DD5">
        <w:rPr>
          <w:szCs w:val="24"/>
        </w:rPr>
        <w:fldChar w:fldCharType="separate"/>
      </w:r>
      <w:r w:rsidRPr="003F3902">
        <w:rPr>
          <w:noProof/>
          <w:szCs w:val="24"/>
        </w:rPr>
        <w:t>(</w:t>
      </w:r>
      <w:r w:rsidRPr="003F3902">
        <w:rPr>
          <w:i/>
          <w:noProof/>
          <w:szCs w:val="24"/>
        </w:rPr>
        <w:t>11</w:t>
      </w:r>
      <w:r w:rsidRPr="003F3902">
        <w:rPr>
          <w:noProof/>
          <w:szCs w:val="24"/>
        </w:rPr>
        <w:t xml:space="preserve">, </w:t>
      </w:r>
      <w:r w:rsidRPr="003F3902">
        <w:rPr>
          <w:i/>
          <w:noProof/>
          <w:szCs w:val="24"/>
        </w:rPr>
        <w:t>35</w:t>
      </w:r>
      <w:r w:rsidRPr="003F3902">
        <w:rPr>
          <w:noProof/>
          <w:szCs w:val="24"/>
        </w:rPr>
        <w:t xml:space="preserve">, </w:t>
      </w:r>
      <w:r w:rsidRPr="003F3902">
        <w:rPr>
          <w:i/>
          <w:noProof/>
          <w:szCs w:val="24"/>
        </w:rPr>
        <w:t>36</w:t>
      </w:r>
      <w:r w:rsidRPr="003F3902">
        <w:rPr>
          <w:noProof/>
          <w:szCs w:val="24"/>
        </w:rPr>
        <w:t>)</w:t>
      </w:r>
      <w:r w:rsidRPr="00941DD5">
        <w:rPr>
          <w:szCs w:val="24"/>
        </w:rPr>
        <w:fldChar w:fldCharType="end"/>
      </w:r>
      <w:r w:rsidRPr="00941DD5">
        <w:rPr>
          <w:szCs w:val="24"/>
        </w:rPr>
        <w:t xml:space="preserve">.  </w:t>
      </w:r>
      <w:r w:rsidR="00505055" w:rsidRPr="00941DD5">
        <w:rPr>
          <w:szCs w:val="24"/>
        </w:rPr>
        <w:t>Susceptibility was set to 0.3 for all habitat types following the findings of</w:t>
      </w:r>
      <w:r w:rsidR="00505055">
        <w:rPr>
          <w:szCs w:val="24"/>
        </w:rPr>
        <w:t xml:space="preserve"> Grabowski et </w:t>
      </w:r>
      <w:r w:rsidR="00505055">
        <w:rPr>
          <w:i/>
          <w:iCs/>
          <w:szCs w:val="24"/>
        </w:rPr>
        <w:t>al.</w:t>
      </w:r>
      <w:r w:rsidR="00505055" w:rsidRPr="00941DD5">
        <w:rPr>
          <w:szCs w:val="24"/>
        </w:rPr>
        <w:t xml:space="preserve"> </w:t>
      </w:r>
      <w:r w:rsidR="00505055" w:rsidRPr="00941DD5">
        <w:rPr>
          <w:szCs w:val="24"/>
        </w:rPr>
        <w:fldChar w:fldCharType="begin" w:fldLock="1"/>
      </w:r>
      <w:r w:rsidR="00505055">
        <w:rPr>
          <w:szCs w:val="24"/>
        </w:rPr>
        <w:instrText>ADDIN CSL_CITATION {"citationItems":[{"id":"ITEM-1","itemData":{"DOI":"10.1080/10641262.2013.846292","ISBN":"2330-8249","ISSN":"2330-8249","abstract":"TheMagnuson-StevensFishery Conservation andManagementAct (MSA) requiresUS fisherymanagement plans to minimize, to the extent practicable, the adverse effects of fishing on essential fish habitats (EFHs). To meet this requirement, fishery managers would ideally be able to quantify such effects and visualize their distributions across space and time. Here, we develop a framework to quantify and assess benthic impacts of the six most common bottom-tending gears (&gt;99% of bottom-tending fishing effort) in New England: otter trawls, scallop dredges, hydraulic clam dredges, gillnets, longlines, and traps. We first conducted a comprehensive review of the habitat impacts literature relevant to Northeast USA fishing gears and seabed types. We then used this information to develop a framework for generating and organizing quantitative susceptibility (based on percent loss of structural habitat from a single interaction with the gear) and recovery (i.e., the time required for recovery of lost structure) parameters for each biological (e.g., sponges, ascidians, mollusks) and geological (e.g., mud burrows, sand ripples, cobble, and boulder piles) feature common to the following five substrates: mud, sand, granule–pebble, cobble, and boulder in low- and high-energy environments. In general, we found that both susceptibility and recovery scores were highest for hydraulic dredges, slightly lower for otter trawls and scallop dredges, and much lower for fixed gears (i.e., gillnets, longlines, and traps). For bottom trawls and scallop dredges, geological features in mud, sand, and cobble-dominated substrates were more susceptible to gear impacts than features found in granule–pebble and boulder substrates.Meanwhile, biological features were largely equally susceptible to impacts across the five substrate types. Average susceptibility scores for both biological and geological substrate features were not affected by energy level. Average recovery times for geological features affected by bottom trawls and dredges were much longer in low-energy granule–pebble, and low- and high-energy cobble and boulder than in mud and sand substrates. Meanwhile, there was no difference among substrates or energy levels for biological feature recovery times. These results collectively suggest that cobble and boulder substrates are the most vulnerable to impacts from mobile bottom-tending gear. Recovery from the relatively minor impacts caused by fixed gear required slightly longer in the thre…","author":[{"dropping-particle":"","family":"Grabowski","given":"Jonathan H.","non-dropping-particle":"","parse-names":false,"suffix":""},{"dropping-particle":"","family":"Bachman","given":"Michelle","non-dropping-particle":"","parse-names":false,"suffix":""},{"dropping-particle":"","family":"Demarest","given":"Chad","non-dropping-particle":"","parse-names":false,"suffix":""},{"dropping-particle":"","family":"Eayrs","given":"Steve","non-dropping-particle":"","parse-names":false,"suffix":""},{"dropping-particle":"","family":"Harris","given":"Bradley P.","non-dropping-particle":"","parse-names":false,"suffix":""},{"dropping-particle":"","family":"Malkoski","given":"Vincent","non-dropping-particle":"","parse-names":false,"suffix":""},{"dropping-particle":"","family":"Packer","given":"David","non-dropping-particle":"","parse-names":false,"suffix":""},{"dropping-particle":"","family":"Stevenson","given":"David","non-dropping-particle":"","parse-names":false,"suffix":""}],"container-title":"Reviews in Fisheries Science &amp; Aquaculture","id":"ITEM-1","issue":"2","issued":{"date-parts":[["2014"]]},"page":"142-155","title":"Assessing the vulnerability of marine benthos to fishing gear impacts","type":"article-journal","volume":"22"},"uris":["http://www.mendeley.com/documents/?uuid=0fdfc60c-c45a-4f76-aa02-dab5cd627953"]}],"mendeley":{"formattedCitation":"(&lt;i&gt;11&lt;/i&gt;)","plainTextFormattedCitation":"(11)","previouslyFormattedCitation":"(&lt;i&gt;11&lt;/i&gt;)"},"properties":{"noteIndex":0},"schema":"https://github.com/citation-style-language/schema/raw/master/csl-citation.json"}</w:instrText>
      </w:r>
      <w:r w:rsidR="00505055" w:rsidRPr="00941DD5">
        <w:rPr>
          <w:szCs w:val="24"/>
        </w:rPr>
        <w:fldChar w:fldCharType="separate"/>
      </w:r>
      <w:r w:rsidR="00505055" w:rsidRPr="003F3902">
        <w:rPr>
          <w:noProof/>
          <w:szCs w:val="24"/>
        </w:rPr>
        <w:t>(</w:t>
      </w:r>
      <w:r w:rsidR="00505055" w:rsidRPr="003F3902">
        <w:rPr>
          <w:i/>
          <w:noProof/>
          <w:szCs w:val="24"/>
        </w:rPr>
        <w:t>11</w:t>
      </w:r>
      <w:r w:rsidR="00505055" w:rsidRPr="003F3902">
        <w:rPr>
          <w:noProof/>
          <w:szCs w:val="24"/>
        </w:rPr>
        <w:t>)</w:t>
      </w:r>
      <w:r w:rsidR="00505055" w:rsidRPr="00941DD5">
        <w:rPr>
          <w:szCs w:val="24"/>
        </w:rPr>
        <w:fldChar w:fldCharType="end"/>
      </w:r>
      <w:r w:rsidR="00505055" w:rsidRPr="00941DD5">
        <w:rPr>
          <w:szCs w:val="24"/>
        </w:rPr>
        <w:t xml:space="preserve">. </w:t>
      </w:r>
    </w:p>
    <w:p w14:paraId="64231BE3" w14:textId="3490ED33" w:rsidR="00505055" w:rsidRPr="00331162" w:rsidRDefault="00505055" w:rsidP="00505055">
      <w:pPr>
        <w:spacing w:line="360" w:lineRule="auto"/>
        <w:rPr>
          <w:rFonts w:eastAsiaTheme="minorEastAsia"/>
        </w:rPr>
      </w:pPr>
      <w:r w:rsidRPr="00331162">
        <w:t>Recovery of seafloor habitats was parameterized as the time to recover from 5% to 95%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rsidRPr="00331162">
        <w:rPr>
          <w:rFonts w:eastAsiaTheme="minorEastAsia"/>
        </w:rPr>
        <w:t xml:space="preserve">) following </w:t>
      </w:r>
      <w:r w:rsidRPr="00331162">
        <w:t xml:space="preserve">an asymptotic recovery trajectory.  Three benthic recovery meta-analyses </w:t>
      </w:r>
      <w:r w:rsidRPr="00331162">
        <w:fldChar w:fldCharType="begin" w:fldLock="1"/>
      </w:r>
      <w:r>
        <w:instrText>ADDIN CSL_CITATION {"citationItems":[{"id":"ITEM-1","itemData":{"DOI":"10.1073/pnas.1618858114","ISBN":"1618858114","ISSN":"0027-8424","PMID":"28716926","abstract":"Bottom trawling is the most widespread human activity affecting seabed habitats. Here, we collate all available data for experimental and comparative studies of trawling impacts on whole communities of seabed macroinvertebrates on sedimentary habitats and develop widely applicable methods to estimate depletion and recovery rates of biota after trawling. Depletion of biota and trawl penetration into the seabed are highly correlated. Otter trawls caused the least de- pletion, removing 6% of biota per pass and penetrating the seabed on average down to 2.4 cm, whereas hydraulic dredges caused the most depletion, removing 41% of biota and penetrating the seabed on average 16.1 cm. Median recovery times posttrawling (from 50 to 95% of unimpacted biomass) ranged between 1.9 and 6.4 y. By ac- counting for the effects of penetration depth, environmental varia- tion, and uncertainty, the models explainedmuch of the variability of depletion and recovery estimates from single studies. Coupled with large-scale, high-resolution maps of trawling frequency and habitat, our estimates of depletion and recovery rates enable the assessment of trawling impacts on unprecedented spatial scales.","author":[{"dropping-particle":"","family":"Hiddink","given":"Jan Geert","non-dropping-particle":"","parse-names":false,"suffix":""},{"dropping-particle":"","family":"Jennings","given":"Simon","non-dropping-particle":"","parse-names":false,"suffix":""},{"dropping-particle":"","family":"Sciberras","given":"Marija","non-dropping-particle":"","parse-names":false,"suffix":""},{"dropping-particle":"","family":"Szostek","given":"Claire L.","non-dropping-particle":"","parse-names":false,"suffix":""},{"dropping-particle":"","family":"Hughes","given":"Kathryn M.","non-dropping-particle":"","parse-names":false,"suffix":""},{"dropping-particle":"","family":"Ellis","given":"Nick","non-dropping-particle":"","parse-names":false,"suffix":""},{"dropping-particle":"","family":"Rijnsdorp","given":"Adriaan D.","non-dropping-particle":"","parse-names":false,"suffix":""},{"dropping-particle":"","family":"McConnaughey","given":"Robert A.","non-dropping-particle":"","parse-names":false,"suffix":""},{"dropping-particle":"","family":"Mazor","given":"Tessa","non-dropping-particle":"","parse-names":false,"suffix":""},{"dropping-particle":"","family":"Hilborn","given":"Ray","non-dropping-particle":"","parse-names":false,"suffix":""},{"dropping-particle":"","family":"Collie","given":"Jeremy S.","non-dropping-particle":"","parse-names":false,"suffix":""},{"dropping-particle":"","family":"Pitcher","given":"C. Roland","non-dropping-particle":"","parse-names":false,"suffix":""},{"dropping-particle":"","family":"Amoroso","given":"Ricardo O.","non-dropping-particle":"","parse-names":false,"suffix":""},{"dropping-particle":"","family":"Parma","given":"Ana M.","non-dropping-particle":"","parse-names":false,"suffix":""},{"dropping-particle":"","family":"Suuronen","given":"Petri","non-dropping-particle":"","parse-names":false,"suffix":""},{"dropping-particle":"","family":"Kaiser","given":"Michel J.","non-dropping-particle":"","parse-names":false,"suffix":""}],"container-title":"Proceedings of the National Academy of Sciences","id":"ITEM-1","issue":"31","issued":{"date-parts":[["2017"]]},"page":"8301-8306","title":"Global analysis of depletion and recovery of seabed biota after bottom trawling disturbance","type":"article-journal","volume":"114"},"uris":["http://www.mendeley.com/documents/?uuid=78cfad75-71ce-433b-8646-42308dfe3f2c"]},{"id":"ITEM-2","itemData":{"DOI":"10.1080/10641262.2013.846292","ISBN":"2330-8249","ISSN":"2330-8249","abstract":"TheMagnuson-StevensFishery Conservation andManagementAct (MSA) requiresUS fisherymanagement plans to minimize, to the extent practicable, the adverse effects of fishing on essential fish habitats (EFHs). To meet this requirement, fishery managers would ideally be able to quantify such effects and visualize their distributions across space and time. Here, we develop a framework to quantify and assess benthic impacts of the six most common bottom-tending gears (&gt;99% of bottom-tending fishing effort) in New England: otter trawls, scallop dredges, hydraulic clam dredges, gillnets, longlines, and traps. We first conducted a comprehensive review of the habitat impacts literature relevant to Northeast USA fishing gears and seabed types. We then used this information to develop a framework for generating and organizing quantitative susceptibility (based on percent loss of structural habitat from a single interaction with the gear) and recovery (i.e., the time required for recovery of lost structure) parameters for each biological (e.g., sponges, ascidians, mollusks) and geological (e.g., mud burrows, sand ripples, cobble, and boulder piles) feature common to the following five substrates: mud, sand, granule–pebble, cobble, and boulder in low- and high-energy environments. In general, we found that both susceptibility and recovery scores were highest for hydraulic dredges, slightly lower for otter trawls and scallop dredges, and much lower for fixed gears (i.e., gillnets, longlines, and traps). For bottom trawls and scallop dredges, geological features in mud, sand, and cobble-dominated substrates were more susceptible to gear impacts than features found in granule–pebble and boulder substrates.Meanwhile, biological features were largely equally susceptible to impacts across the five substrate types. Average susceptibility scores for both biological and geological substrate features were not affected by energy level. Average recovery times for geological features affected by bottom trawls and dredges were much longer in low-energy granule–pebble, and low- and high-energy cobble and boulder than in mud and sand substrates. Meanwhile, there was no difference among substrates or energy levels for biological feature recovery times. These results collectively suggest that cobble and boulder substrates are the most vulnerable to impacts from mobile bottom-tending gear. Recovery from the relatively minor impacts caused by fixed gear required slightly longer in the thre…","author":[{"dropping-particle":"","family":"Grabowski","given":"Jonathan H.","non-dropping-particle":"","parse-names":false,"suffix":""},{"dropping-particle":"","family":"Bachman","given":"Michelle","non-dropping-particle":"","parse-names":false,"suffix":""},{"dropping-particle":"","family":"Demarest","given":"Chad","non-dropping-particle":"","parse-names":false,"suffix":""},{"dropping-particle":"","family":"Eayrs","given":"Steve","non-dropping-particle":"","parse-names":false,"suffix":""},{"dropping-particle":"","family":"Harris","given":"Bradley P.","non-dropping-particle":"","parse-names":false,"suffix":""},{"dropping-particle":"","family":"Malkoski","given":"Vincent","non-dropping-particle":"","parse-names":false,"suffix":""},{"dropping-particle":"","family":"Packer","given":"David","non-dropping-particle":"","parse-names":false,"suffix":""},{"dropping-particle":"","family":"Stevenson","given":"David","non-dropping-particle":"","parse-names":false,"suffix":""}],"container-title":"Reviews in Fisheries Science &amp; Aquaculture","id":"ITEM-2","issue":"2","issued":{"date-parts":[["2014"]]},"page":"142-155","title":"Assessing the vulnerability of marine benthos to fishing gear impacts","type":"article-journal","volume":"22"},"uris":["http://www.mendeley.com/documents/?uuid=0fdfc60c-c45a-4f76-aa02-dab5cd627953"]},{"id":"ITEM-3","itemData":{"DOI":"10.1007/s00338-010-0717-z","ISSN":"07224028","abstract":"Coral reef ecosystems are degrading through multiple disturbances that are becoming more frequent and severe. The complexities of this degradation have been studied in detail, but little work has assessed characteristics that allow reefs to bounce back and recover between pulse disturbance events. We quantitatively review recovery rates of coral cover from pulse disturbance events among 48 different reef locations, testing the relative roles of disturbance characteristics, reef characteristics, connectiv- ity and anthropogenic influences. Reefs in the western Pacific Ocean had the fastest recovery, whereas reefs in the geographically isolated eastern Pacific Ocean were slowest to recover, reflecting regional differences in coral compo- sition, fish functional diversity and geographic isolation. Disturbances that opened up large areas of benthic space recovered quickly, potentially because of nonlinear recovery where recruitment rates were high. The type of disturbance had a limited effect on subsequent rates of reef recovery, although recovery was faster following crown- of-thorns starfish outbreaks. This inconsequential role of disturbance type may be in part due to the role of unaltered structural complexity in maintaining key reef processes, such as recruitment and herbivory. Few studies explicitly recorded potential ecological determinants of recovery, such as recruitment rates, structural complexity of habitat and the functional composition of reef-associated fish. There was some evidence of slower recovery rates within protected areas compared with other management systems and fished areas, which may reflect the higher initial coral cover in protected areas rather than reflecting a manage- ment effect. A better understanding of the driving role of processes, structural complexity and diversity on recovery may enable more appropriate management actions that support coral-dominated ecosystems in our changing climate","author":[{"dropping-particle":"","family":"Graham","given":"N. A.J.","non-dropping-particle":"","parse-names":false,"suffix":""},{"dropping-particle":"","family":"Nash","given":"K. L.","non-dropping-particle":"","parse-names":false,"suffix":""},{"dropping-particle":"","family":"Kool","given":"J. T.","non-dropping-particle":"","parse-names":false,"suffix":""}],"container-title":"Coral Reefs","id":"ITEM-3","issue":"2","issued":{"date-parts":[["2011"]]},"page":"283-294","title":"Coral reef recovery dynamics in a changing world","type":"article-journal","volume":"30"},"uris":["http://www.mendeley.com/documents/?uuid=da190854-2471-4286-9490-56181e75d68f"]}],"mendeley":{"formattedCitation":"(&lt;i&gt;11&lt;/i&gt;, &lt;i&gt;35&lt;/i&gt;, &lt;i&gt;36&lt;/i&gt;)","plainTextFormattedCitation":"(11, 35, 36)","previouslyFormattedCitation":"(&lt;i&gt;11&lt;/i&gt;, &lt;i&gt;35&lt;/i&gt;, &lt;i&gt;36&lt;/i&gt;)"},"properties":{"noteIndex":0},"schema":"https://github.com/citation-style-language/schema/raw/master/csl-citation.json"}</w:instrText>
      </w:r>
      <w:r w:rsidRPr="00331162">
        <w:fldChar w:fldCharType="separate"/>
      </w:r>
      <w:r w:rsidRPr="00D208ED">
        <w:rPr>
          <w:noProof/>
        </w:rPr>
        <w:t>(</w:t>
      </w:r>
      <w:r w:rsidRPr="00D208ED">
        <w:rPr>
          <w:i/>
          <w:noProof/>
        </w:rPr>
        <w:t>11</w:t>
      </w:r>
      <w:r w:rsidRPr="00D208ED">
        <w:rPr>
          <w:noProof/>
        </w:rPr>
        <w:t xml:space="preserve">, </w:t>
      </w:r>
      <w:r w:rsidRPr="00D208ED">
        <w:rPr>
          <w:i/>
          <w:noProof/>
        </w:rPr>
        <w:t>35</w:t>
      </w:r>
      <w:r w:rsidRPr="00D208ED">
        <w:rPr>
          <w:noProof/>
        </w:rPr>
        <w:t xml:space="preserve">, </w:t>
      </w:r>
      <w:r w:rsidRPr="00D208ED">
        <w:rPr>
          <w:i/>
          <w:noProof/>
        </w:rPr>
        <w:t>36</w:t>
      </w:r>
      <w:r w:rsidRPr="00D208ED">
        <w:rPr>
          <w:noProof/>
        </w:rPr>
        <w:t>)</w:t>
      </w:r>
      <w:r w:rsidRPr="00331162">
        <w:fldChar w:fldCharType="end"/>
      </w:r>
      <w:r w:rsidRPr="00331162">
        <w:t xml:space="preserve"> were used parameterize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rsidRPr="00331162">
        <w:rPr>
          <w:rFonts w:eastAsiaTheme="minorEastAsia"/>
        </w:rPr>
        <w:t xml:space="preserve"> for soft, hard, and rocky reef seafloor habitat types. However, each of these analyses employed different recovery trajectories in their estimation of recovery.  Grabowski et </w:t>
      </w:r>
      <w:r w:rsidRPr="00331162">
        <w:rPr>
          <w:rFonts w:eastAsiaTheme="minorEastAsia"/>
          <w:i/>
        </w:rPr>
        <w:t>al</w:t>
      </w:r>
      <w:r w:rsidRPr="00331162">
        <w:rPr>
          <w:rFonts w:eastAsiaTheme="minorEastAsia"/>
        </w:rPr>
        <w:t>.</w:t>
      </w:r>
      <w:r>
        <w:rPr>
          <w:rFonts w:eastAsiaTheme="minorEastAsia"/>
        </w:rPr>
        <w:t xml:space="preserve"> </w:t>
      </w:r>
      <w:r w:rsidRPr="00331162">
        <w:rPr>
          <w:rFonts w:eastAsiaTheme="minorEastAsia"/>
        </w:rPr>
        <w:fldChar w:fldCharType="begin" w:fldLock="1"/>
      </w:r>
      <w:r>
        <w:rPr>
          <w:rFonts w:eastAsiaTheme="minorEastAsia"/>
        </w:rPr>
        <w:instrText>ADDIN CSL_CITATION {"citationItems":[{"id":"ITEM-1","itemData":{"DOI":"10.1080/10641262.2013.846292","ISBN":"2330-8249","ISSN":"2330-8249","abstract":"TheMagnuson-StevensFishery Conservation andManagementAct (MSA) requiresUS fisherymanagement plans to minimize, to the extent practicable, the adverse effects of fishing on essential fish habitats (EFHs). To meet this requirement, fishery managers would ideally be able to quantify such effects and visualize their distributions across space and time. Here, we develop a framework to quantify and assess benthic impacts of the six most common bottom-tending gears (&gt;99% of bottom-tending fishing effort) in New England: otter trawls, scallop dredges, hydraulic clam dredges, gillnets, longlines, and traps. We first conducted a comprehensive review of the habitat impacts literature relevant to Northeast USA fishing gears and seabed types. We then used this information to develop a framework for generating and organizing quantitative susceptibility (based on percent loss of structural habitat from a single interaction with the gear) and recovery (i.e., the time required for recovery of lost structure) parameters for each biological (e.g., sponges, ascidians, mollusks) and geological (e.g., mud burrows, sand ripples, cobble, and boulder piles) feature common to the following five substrates: mud, sand, granule–pebble, cobble, and boulder in low- and high-energy environments. In general, we found that both susceptibility and recovery scores were highest for hydraulic dredges, slightly lower for otter trawls and scallop dredges, and much lower for fixed gears (i.e., gillnets, longlines, and traps). For bottom trawls and scallop dredges, geological features in mud, sand, and cobble-dominated substrates were more susceptible to gear impacts than features found in granule–pebble and boulder substrates.Meanwhile, biological features were largely equally susceptible to impacts across the five substrate types. Average susceptibility scores for both biological and geological substrate features were not affected by energy level. Average recovery times for geological features affected by bottom trawls and dredges were much longer in low-energy granule–pebble, and low- and high-energy cobble and boulder than in mud and sand substrates. Meanwhile, there was no difference among substrates or energy levels for biological feature recovery times. These results collectively suggest that cobble and boulder substrates are the most vulnerable to impacts from mobile bottom-tending gear. Recovery from the relatively minor impacts caused by fixed gear required slightly longer in the thre…","author":[{"dropping-particle":"","family":"Grabowski","given":"Jonathan H.","non-dropping-particle":"","parse-names":false,"suffix":""},{"dropping-particle":"","family":"Bachman","given":"Michelle","non-dropping-particle":"","parse-names":false,"suffix":""},{"dropping-particle":"","family":"Demarest","given":"Chad","non-dropping-particle":"","parse-names":false,"suffix":""},{"dropping-particle":"","family":"Eayrs","given":"Steve","non-dropping-particle":"","parse-names":false,"suffix":""},{"dropping-particle":"","family":"Harris","given":"Bradley P.","non-dropping-particle":"","parse-names":false,"suffix":""},{"dropping-particle":"","family":"Malkoski","given":"Vincent","non-dropping-particle":"","parse-names":false,"suffix":""},{"dropping-particle":"","family":"Packer","given":"David","non-dropping-particle":"","parse-names":false,"suffix":""},{"dropping-particle":"","family":"Stevenson","given":"David","non-dropping-particle":"","parse-names":false,"suffix":""}],"container-title":"Reviews in Fisheries Science &amp; Aquaculture","id":"ITEM-1","issue":"2","issued":{"date-parts":[["2014"]]},"page":"142-155","title":"Assessing the vulnerability of marine benthos to fishing gear impacts","type":"article-journal","volume":"22"},"uris":["http://www.mendeley.com/documents/?uuid=0fdfc60c-c45a-4f76-aa02-dab5cd627953"]}],"mendeley":{"formattedCitation":"(&lt;i&gt;11&lt;/i&gt;)","plainTextFormattedCitation":"(11)","previouslyFormattedCitation":"(&lt;i&gt;11&lt;/i&gt;)"},"properties":{"noteIndex":0},"schema":"https://github.com/citation-style-language/schema/raw/master/csl-citation.json"}</w:instrText>
      </w:r>
      <w:r w:rsidRPr="00331162">
        <w:rPr>
          <w:rFonts w:eastAsiaTheme="minorEastAsia"/>
        </w:rPr>
        <w:fldChar w:fldCharType="separate"/>
      </w:r>
      <w:r w:rsidRPr="00D208ED">
        <w:rPr>
          <w:rFonts w:eastAsiaTheme="minorEastAsia"/>
          <w:noProof/>
        </w:rPr>
        <w:t>(</w:t>
      </w:r>
      <w:r w:rsidRPr="00D208ED">
        <w:rPr>
          <w:rFonts w:eastAsiaTheme="minorEastAsia"/>
          <w:i/>
          <w:noProof/>
        </w:rPr>
        <w:t>11</w:t>
      </w:r>
      <w:r w:rsidRPr="00D208ED">
        <w:rPr>
          <w:rFonts w:eastAsiaTheme="minorEastAsia"/>
          <w:noProof/>
        </w:rPr>
        <w:t>)</w:t>
      </w:r>
      <w:r w:rsidRPr="00331162">
        <w:rPr>
          <w:rFonts w:eastAsiaTheme="minorEastAsia"/>
        </w:rPr>
        <w:fldChar w:fldCharType="end"/>
      </w:r>
      <w:r w:rsidRPr="00331162">
        <w:rPr>
          <w:rFonts w:eastAsiaTheme="minorEastAsia"/>
        </w:rPr>
        <w:t xml:space="preserve"> reported the mean time to recovery</w:t>
      </w:r>
      <w:r>
        <w:rPr>
          <w:rFonts w:eastAsiaTheme="minorEastAsia"/>
        </w:rPr>
        <w:t>,</w:t>
      </w:r>
      <w:r w:rsidRPr="00331162">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τ</m:t>
            </m:r>
          </m:e>
        </m:acc>
      </m:oMath>
      <w:r w:rsidRPr="00331162">
        <w:rPr>
          <w:rFonts w:eastAsiaTheme="minorEastAsia"/>
        </w:rPr>
        <w:t xml:space="preserve">; Hiddink et </w:t>
      </w:r>
      <w:r w:rsidRPr="00331162">
        <w:rPr>
          <w:rFonts w:eastAsiaTheme="minorEastAsia"/>
          <w:i/>
        </w:rPr>
        <w:t>al</w:t>
      </w:r>
      <w:r w:rsidRPr="00331162">
        <w:rPr>
          <w:rFonts w:eastAsiaTheme="minorEastAsia"/>
        </w:rPr>
        <w:t>.</w:t>
      </w:r>
      <w:r>
        <w:rPr>
          <w:rFonts w:eastAsiaTheme="minorEastAsia"/>
        </w:rPr>
        <w:t xml:space="preserve"> </w:t>
      </w:r>
      <w:r w:rsidRPr="00331162">
        <w:rPr>
          <w:rFonts w:eastAsiaTheme="minorEastAsia"/>
        </w:rPr>
        <w:fldChar w:fldCharType="begin" w:fldLock="1"/>
      </w:r>
      <w:r>
        <w:rPr>
          <w:rFonts w:eastAsiaTheme="minorEastAsia"/>
        </w:rPr>
        <w:instrText>ADDIN CSL_CITATION {"citationItems":[{"id":"ITEM-1","itemData":{"DOI":"10.1073/pnas.1618858114","ISBN":"1618858114","ISSN":"0027-8424","PMID":"28716926","abstract":"Bottom trawling is the most widespread human activity affecting seabed habitats. Here, we collate all available data for experimental and comparative studies of trawling impacts on whole communities of seabed macroinvertebrates on sedimentary habitats and develop widely applicable methods to estimate depletion and recovery rates of biota after trawling. Depletion of biota and trawl penetration into the seabed are highly correlated. Otter trawls caused the least de- pletion, removing 6% of biota per pass and penetrating the seabed on average down to 2.4 cm, whereas hydraulic dredges caused the most depletion, removing 41% of biota and penetrating the seabed on average 16.1 cm. Median recovery times posttrawling (from 50 to 95% of unimpacted biomass) ranged between 1.9 and 6.4 y. By ac- counting for the effects of penetration depth, environmental varia- tion, and uncertainty, the models explainedmuch of the variability of depletion and recovery estimates from single studies. Coupled with large-scale, high-resolution maps of trawling frequency and habitat, our estimates of depletion and recovery rates enable the assessment of trawling impacts on unprecedented spatial scales.","author":[{"dropping-particle":"","family":"Hiddink","given":"Jan Geert","non-dropping-particle":"","parse-names":false,"suffix":""},{"dropping-particle":"","family":"Jennings","given":"Simon","non-dropping-particle":"","parse-names":false,"suffix":""},{"dropping-particle":"","family":"Sciberras","given":"Marija","non-dropping-particle":"","parse-names":false,"suffix":""},{"dropping-particle":"","family":"Szostek","given":"Claire L.","non-dropping-particle":"","parse-names":false,"suffix":""},{"dropping-particle":"","family":"Hughes","given":"Kathryn M.","non-dropping-particle":"","parse-names":false,"suffix":""},{"dropping-particle":"","family":"Ellis","given":"Nick","non-dropping-particle":"","parse-names":false,"suffix":""},{"dropping-particle":"","family":"Rijnsdorp","given":"Adriaan D.","non-dropping-particle":"","parse-names":false,"suffix":""},{"dropping-particle":"","family":"McConnaughey","given":"Robert A.","non-dropping-particle":"","parse-names":false,"suffix":""},{"dropping-particle":"","family":"Mazor","given":"Tessa","non-dropping-particle":"","parse-names":false,"suffix":""},{"dropping-particle":"","family":"Hilborn","given":"Ray","non-dropping-particle":"","parse-names":false,"suffix":""},{"dropping-particle":"","family":"Collie","given":"Jeremy S.","non-dropping-particle":"","parse-names":false,"suffix":""},{"dropping-particle":"","family":"Pitcher","given":"C. Roland","non-dropping-particle":"","parse-names":false,"suffix":""},{"dropping-particle":"","family":"Amoroso","given":"Ricardo O.","non-dropping-particle":"","parse-names":false,"suffix":""},{"dropping-particle":"","family":"Parma","given":"Ana M.","non-dropping-particle":"","parse-names":false,"suffix":""},{"dropping-particle":"","family":"Suuronen","given":"Petri","non-dropping-particle":"","parse-names":false,"suffix":""},{"dropping-particle":"","family":"Kaiser","given":"Michel J.","non-dropping-particle":"","parse-names":false,"suffix":""}],"container-title":"Proceedings of the National Academy of Sciences","id":"ITEM-1","issue":"31","issued":{"date-parts":[["2017"]]},"page":"8301-8306","title":"Global analysis of depletion and recovery of seabed biota after bottom trawling disturbance","type":"article-journal","volume":"114"},"uris":["http://www.mendeley.com/documents/?uuid=78cfad75-71ce-433b-8646-42308dfe3f2c"]}],"mendeley":{"formattedCitation":"(&lt;i&gt;35&lt;/i&gt;)","plainTextFormattedCitation":"(35)","previouslyFormattedCitation":"(&lt;i&gt;35&lt;/i&gt;)"},"properties":{"noteIndex":0},"schema":"https://github.com/citation-style-language/schema/raw/master/csl-citation.json"}</w:instrText>
      </w:r>
      <w:r w:rsidRPr="00331162">
        <w:rPr>
          <w:rFonts w:eastAsiaTheme="minorEastAsia"/>
        </w:rPr>
        <w:fldChar w:fldCharType="separate"/>
      </w:r>
      <w:r w:rsidRPr="00D208ED">
        <w:rPr>
          <w:rFonts w:eastAsiaTheme="minorEastAsia"/>
          <w:noProof/>
        </w:rPr>
        <w:t>(</w:t>
      </w:r>
      <w:r w:rsidRPr="00D208ED">
        <w:rPr>
          <w:rFonts w:eastAsiaTheme="minorEastAsia"/>
          <w:i/>
          <w:noProof/>
        </w:rPr>
        <w:t>35</w:t>
      </w:r>
      <w:r w:rsidRPr="00D208ED">
        <w:rPr>
          <w:rFonts w:eastAsiaTheme="minorEastAsia"/>
          <w:noProof/>
        </w:rPr>
        <w:t>)</w:t>
      </w:r>
      <w:r w:rsidRPr="00331162">
        <w:rPr>
          <w:rFonts w:eastAsiaTheme="minorEastAsia"/>
        </w:rPr>
        <w:fldChar w:fldCharType="end"/>
      </w:r>
      <w:r w:rsidRPr="00331162">
        <w:rPr>
          <w:rFonts w:eastAsiaTheme="minorEastAsia"/>
        </w:rPr>
        <w:t xml:space="preserve"> estimated an intrinsic growth rate, </w:t>
      </w:r>
      <m:oMath>
        <m:r>
          <w:rPr>
            <w:rFonts w:ascii="Cambria Math" w:eastAsiaTheme="minorEastAsia" w:hAnsi="Cambria Math"/>
          </w:rPr>
          <m:t>r</m:t>
        </m:r>
      </m:oMath>
      <w:r w:rsidRPr="00331162">
        <w:rPr>
          <w:rFonts w:eastAsiaTheme="minorEastAsia"/>
        </w:rPr>
        <w:t xml:space="preserve">, of a logistic recovery curve; and Graham et </w:t>
      </w:r>
      <w:r w:rsidRPr="00331162">
        <w:rPr>
          <w:rFonts w:eastAsiaTheme="minorEastAsia"/>
          <w:i/>
        </w:rPr>
        <w:t>al.</w:t>
      </w:r>
      <w:r>
        <w:rPr>
          <w:rFonts w:eastAsiaTheme="minorEastAsia"/>
          <w:i/>
        </w:rPr>
        <w:t xml:space="preserve"> </w:t>
      </w:r>
      <w:r w:rsidRPr="00331162">
        <w:rPr>
          <w:rFonts w:eastAsiaTheme="minorEastAsia"/>
          <w:i/>
        </w:rPr>
        <w:fldChar w:fldCharType="begin" w:fldLock="1"/>
      </w:r>
      <w:r>
        <w:rPr>
          <w:rFonts w:eastAsiaTheme="minorEastAsia"/>
          <w:i/>
        </w:rPr>
        <w:instrText>ADDIN CSL_CITATION {"citationItems":[{"id":"ITEM-1","itemData":{"DOI":"10.1007/s00338-010-0717-z","ISSN":"07224028","abstract":"Coral reef ecosystems are degrading through multiple disturbances that are becoming more frequent and severe. The complexities of this degradation have been studied in detail, but little work has assessed characteristics that allow reefs to bounce back and recover between pulse disturbance events. We quantitatively review recovery rates of coral cover from pulse disturbance events among 48 different reef locations, testing the relative roles of disturbance characteristics, reef characteristics, connectiv- ity and anthropogenic influences. Reefs in the western Pacific Ocean had the fastest recovery, whereas reefs in the geographically isolated eastern Pacific Ocean were slowest to recover, reflecting regional differences in coral compo- sition, fish functional diversity and geographic isolation. Disturbances that opened up large areas of benthic space recovered quickly, potentially because of nonlinear recovery where recruitment rates were high. The type of disturbance had a limited effect on subsequent rates of reef recovery, although recovery was faster following crown- of-thorns starfish outbreaks. This inconsequential role of disturbance type may be in part due to the role of unaltered structural complexity in maintaining key reef processes, such as recruitment and herbivory. Few studies explicitly recorded potential ecological determinants of recovery, such as recruitment rates, structural complexity of habitat and the functional composition of reef-associated fish. There was some evidence of slower recovery rates within protected areas compared with other management systems and fished areas, which may reflect the higher initial coral cover in protected areas rather than reflecting a manage- ment effect. A better understanding of the driving role of processes, structural complexity and diversity on recovery may enable more appropriate management actions that support coral-dominated ecosystems in our changing climate","author":[{"dropping-particle":"","family":"Graham","given":"N. A.J.","non-dropping-particle":"","parse-names":false,"suffix":""},{"dropping-particle":"","family":"Nash","given":"K. L.","non-dropping-particle":"","parse-names":false,"suffix":""},{"dropping-particle":"","family":"Kool","given":"J. T.","non-dropping-particle":"","parse-names":false,"suffix":""}],"container-title":"Coral Reefs","id":"ITEM-1","issue":"2","issued":{"date-parts":[["2011"]]},"page":"283-294","title":"Coral reef recovery dynamics in a changing world","type":"article-journal","volume":"30"},"uris":["http://www.mendeley.com/documents/?uuid=da190854-2471-4286-9490-56181e75d68f"]}],"mendeley":{"formattedCitation":"(&lt;i&gt;36&lt;/i&gt;)","plainTextFormattedCitation":"(36)","previouslyFormattedCitation":"(&lt;i&gt;36&lt;/i&gt;)"},"properties":{"noteIndex":0},"schema":"https://github.com/citation-style-language/schema/raw/master/csl-citation.json"}</w:instrText>
      </w:r>
      <w:r w:rsidRPr="00331162">
        <w:rPr>
          <w:rFonts w:eastAsiaTheme="minorEastAsia"/>
          <w:i/>
        </w:rPr>
        <w:fldChar w:fldCharType="separate"/>
      </w:r>
      <w:r w:rsidRPr="00D208ED">
        <w:rPr>
          <w:rFonts w:eastAsiaTheme="minorEastAsia"/>
          <w:noProof/>
        </w:rPr>
        <w:t>(</w:t>
      </w:r>
      <w:r w:rsidRPr="00D208ED">
        <w:rPr>
          <w:rFonts w:eastAsiaTheme="minorEastAsia"/>
          <w:i/>
          <w:noProof/>
        </w:rPr>
        <w:t>36</w:t>
      </w:r>
      <w:r w:rsidRPr="00D208ED">
        <w:rPr>
          <w:rFonts w:eastAsiaTheme="minorEastAsia"/>
          <w:noProof/>
        </w:rPr>
        <w:t>)</w:t>
      </w:r>
      <w:r w:rsidRPr="00331162">
        <w:rPr>
          <w:rFonts w:eastAsiaTheme="minorEastAsia"/>
          <w:i/>
        </w:rPr>
        <w:fldChar w:fldCharType="end"/>
      </w:r>
      <w:r w:rsidRPr="00331162">
        <w:rPr>
          <w:rFonts w:eastAsiaTheme="minorEastAsia"/>
        </w:rPr>
        <w:t xml:space="preserve"> reported the yearly proportional recovery,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rp</m:t>
            </m:r>
          </m:sub>
        </m:sSub>
      </m:oMath>
      <w:r w:rsidRPr="00331162">
        <w:rPr>
          <w:rFonts w:eastAsiaTheme="minorEastAsia"/>
        </w:rPr>
        <w:t xml:space="preserve">,  along a linear recovery path, equivalent to the slope of the recovery line.  In order to standardize recovery rates across these analyses, we calculated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oMath>
      <w:r w:rsidRPr="00331162">
        <w:rPr>
          <w:rFonts w:eastAsiaTheme="minorEastAsia"/>
        </w:rPr>
        <w:t xml:space="preserve"> from each of the respective recovery functions.  In the following equations we set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=0.05</m:t>
        </m:r>
      </m:oMath>
      <w:r w:rsidRPr="0033116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=0.95</m:t>
        </m:r>
      </m:oMath>
      <w:r w:rsidRPr="00331162">
        <w:rPr>
          <w:rFonts w:eastAsiaTheme="minorEastAsia"/>
        </w:rPr>
        <w:t xml:space="preserve">, representing recovery from 5% to 95%.  </w:t>
      </w:r>
    </w:p>
    <w:p w14:paraId="31F1B134" w14:textId="5767EEDE" w:rsidR="00505055" w:rsidRPr="00331162" w:rsidRDefault="00505055" w:rsidP="00505055">
      <w:pPr>
        <w:rPr>
          <w:rFonts w:eastAsiaTheme="minorEastAsia"/>
        </w:rPr>
      </w:pPr>
      <w:r w:rsidRPr="00331162">
        <w:rPr>
          <w:rFonts w:eastAsiaTheme="minorEastAsia"/>
        </w:rPr>
        <w:t xml:space="preserve">The Hiddink et </w:t>
      </w:r>
      <w:r w:rsidRPr="00331162">
        <w:rPr>
          <w:rFonts w:eastAsiaTheme="minorEastAsia"/>
          <w:i/>
        </w:rPr>
        <w:t>al</w:t>
      </w:r>
      <w:r w:rsidRPr="00331162">
        <w:rPr>
          <w:rFonts w:eastAsiaTheme="minorEastAsia"/>
        </w:rPr>
        <w:t xml:space="preserve">. </w:t>
      </w:r>
      <m:oMath>
        <m:r>
          <w:rPr>
            <w:rFonts w:ascii="Cambria Math" w:eastAsiaTheme="minorEastAsia" w:hAnsi="Cambria Math"/>
          </w:rPr>
          <m:t>r</m:t>
        </m:r>
      </m:oMath>
      <w:r w:rsidRPr="00331162">
        <w:rPr>
          <w:rFonts w:eastAsiaTheme="minorEastAsia"/>
        </w:rPr>
        <w:t xml:space="preserve"> parameter</w:t>
      </w:r>
      <w:r>
        <w:rPr>
          <w:rFonts w:eastAsiaTheme="minorEastAsia"/>
        </w:rPr>
        <w:t xml:space="preserve"> </w:t>
      </w:r>
      <w:r>
        <w:rPr>
          <w:rFonts w:eastAsiaTheme="minorEastAsia"/>
        </w:rPr>
        <w:fldChar w:fldCharType="begin" w:fldLock="1"/>
      </w:r>
      <w:r>
        <w:rPr>
          <w:rFonts w:eastAsiaTheme="minorEastAsia"/>
        </w:rPr>
        <w:instrText>ADDIN CSL_CITATION {"citationItems":[{"id":"ITEM-1","itemData":{"DOI":"10.1073/pnas.1618858114","ISBN":"1618858114","ISSN":"0027-8424","PMID":"28716926","abstract":"Bottom trawling is the most widespread human activity affecting seabed habitats. Here, we collate all available data for experimental and comparative studies of trawling impacts on whole communities of seabed macroinvertebrates on sedimentary habitats and develop widely applicable methods to estimate depletion and recovery rates of biota after trawling. Depletion of biota and trawl penetration into the seabed are highly correlated. Otter trawls caused the least de- pletion, removing 6% of biota per pass and penetrating the seabed on average down to 2.4 cm, whereas hydraulic dredges caused the most depletion, removing 41% of biota and penetrating the seabed on average 16.1 cm. Median recovery times posttrawling (from 50 to 95% of unimpacted biomass) ranged between 1.9 and 6.4 y. By ac- counting for the effects of penetration depth, environmental varia- tion, and uncertainty, the models explainedmuch of the variability of depletion and recovery estimates from single studies. Coupled with large-scale, high-resolution maps of trawling frequency and habitat, our estimates of depletion and recovery rates enable the assessment of trawling impacts on unprecedented spatial scales.","author":[{"dropping-particle":"","family":"Hiddink","given":"Jan Geert","non-dropping-particle":"","parse-names":false,"suffix":""},{"dropping-particle":"","family":"Jennings","given":"Simon","non-dropping-particle":"","parse-names":false,"suffix":""},{"dropping-particle":"","family":"Sciberras","given":"Marija","non-dropping-particle":"","parse-names":false,"suffix":""},{"dropping-particle":"","family":"Szostek","given":"Claire L.","non-dropping-particle":"","parse-names":false,"suffix":""},{"dropping-particle":"","family":"Hughes","given":"Kathryn M.","non-dropping-particle":"","parse-names":false,"suffix":""},{"dropping-particle":"","family":"Ellis","given":"Nick","non-dropping-particle":"","parse-names":false,"suffix":""},{"dropping-particle":"","family":"Rijnsdorp","given":"Adriaan D.","non-dropping-particle":"","parse-names":false,"suffix":""},{"dropping-particle":"","family":"McConnaughey","given":"Robert A.","non-dropping-particle":"","parse-names":false,"suffix":""},{"dropping-particle":"","family":"Mazor","given":"Tessa","non-dropping-particle":"","parse-names":false,"suffix":""},{"dropping-particle":"","family":"Hilborn","given":"Ray","non-dropping-particle":"","parse-names":false,"suffix":""},{"dropping-particle":"","family":"Collie","given":"Jeremy S.","non-dropping-particle":"","parse-names":false,"suffix":""},{"dropping-particle":"","family":"Pitcher","given":"C. Roland","non-dropping-particle":"","parse-names":false,"suffix":""},{"dropping-particle":"","family":"Amoroso","given":"Ricardo O.","non-dropping-particle":"","parse-names":false,"suffix":""},{"dropping-particle":"","family":"Parma","given":"Ana M.","non-dropping-particle":"","parse-names":false,"suffix":""},{"dropping-particle":"","family":"Suuronen","given":"Petri","non-dropping-particle":"","parse-names":false,"suffix":""},{"dropping-particle":"","family":"Kaiser","given":"Michel J.","non-dropping-particle":"","parse-names":false,"suffix":""}],"container-title":"Proceedings of the National Academy of Sciences","id":"ITEM-1","issue":"31","issued":{"date-parts":[["2017"]]},"page":"8301-8306","title":"Global analysis of depletion and recovery of seabed biota after bottom trawling disturbance","type":"article-journal","volume":"114"},"uris":["http://www.mendeley.com/documents/?uuid=78cfad75-71ce-433b-8646-42308dfe3f2c"]}],"mendeley":{"formattedCitation":"(&lt;i&gt;35&lt;/i&gt;)","plainTextFormattedCitation":"(35)","previouslyFormattedCitation":"(&lt;i&gt;35&lt;/i&gt;)"},"properties":{"noteIndex":0},"schema":"https://github.com/citation-style-language/schema/raw/master/csl-citation.json"}</w:instrText>
      </w:r>
      <w:r>
        <w:rPr>
          <w:rFonts w:eastAsiaTheme="minorEastAsia"/>
        </w:rPr>
        <w:fldChar w:fldCharType="separate"/>
      </w:r>
      <w:r w:rsidRPr="00505055">
        <w:rPr>
          <w:rFonts w:eastAsiaTheme="minorEastAsia"/>
          <w:noProof/>
        </w:rPr>
        <w:t>(</w:t>
      </w:r>
      <w:r w:rsidRPr="00505055">
        <w:rPr>
          <w:rFonts w:eastAsiaTheme="minorEastAsia"/>
          <w:i/>
          <w:noProof/>
        </w:rPr>
        <w:t>35</w:t>
      </w:r>
      <w:r w:rsidRPr="00505055">
        <w:rPr>
          <w:rFonts w:eastAsiaTheme="minorEastAsia"/>
          <w:noProof/>
        </w:rPr>
        <w:t>)</w:t>
      </w:r>
      <w:r>
        <w:rPr>
          <w:rFonts w:eastAsiaTheme="minorEastAsia"/>
        </w:rPr>
        <w:fldChar w:fldCharType="end"/>
      </w:r>
      <w:r w:rsidRPr="00331162">
        <w:rPr>
          <w:rFonts w:eastAsiaTheme="minorEastAsia"/>
        </w:rPr>
        <w:t xml:space="preserve"> was converted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05055" w:rsidRPr="00331162" w14:paraId="1CC8EC91" w14:textId="77777777" w:rsidTr="002050CD">
        <w:tc>
          <w:tcPr>
            <w:tcW w:w="3116" w:type="dxa"/>
            <w:vAlign w:val="center"/>
          </w:tcPr>
          <w:p w14:paraId="2027D449" w14:textId="77777777" w:rsidR="00505055" w:rsidRPr="00331162" w:rsidRDefault="00505055" w:rsidP="002050CD">
            <w:pPr>
              <w:jc w:val="center"/>
              <w:rPr>
                <w:rFonts w:ascii="Times New Roman" w:eastAsiaTheme="minorEastAsia" w:hAnsi="Times New Roman" w:cs="Times New Roman"/>
              </w:rPr>
            </w:pPr>
          </w:p>
        </w:tc>
        <w:tc>
          <w:tcPr>
            <w:tcW w:w="3117" w:type="dxa"/>
            <w:vAlign w:val="center"/>
          </w:tcPr>
          <w:p w14:paraId="3307B76E" w14:textId="77777777" w:rsidR="00505055" w:rsidRPr="00331162" w:rsidRDefault="00A77D75" w:rsidP="002050CD">
            <w:pPr>
              <w:jc w:val="cente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r</m:t>
                    </m:r>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den>
                            </m:f>
                            <m:r>
                              <w:rPr>
                                <w:rFonts w:ascii="Cambria Math" w:eastAsiaTheme="minorEastAsia" w:hAnsi="Cambria Math" w:cs="Times New Roman"/>
                              </w:rPr>
                              <m:t>-1</m:t>
                            </m:r>
                          </m:num>
                          <m:den>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den>
                            </m:f>
                            <m:r>
                              <w:rPr>
                                <w:rFonts w:ascii="Cambria Math" w:eastAsiaTheme="minorEastAsia" w:hAnsi="Cambria Math" w:cs="Times New Roman"/>
                              </w:rPr>
                              <m:t>-1</m:t>
                            </m:r>
                          </m:den>
                        </m:f>
                      </m:e>
                    </m:d>
                  </m:e>
                </m:func>
              </m:oMath>
            </m:oMathPara>
          </w:p>
        </w:tc>
        <w:tc>
          <w:tcPr>
            <w:tcW w:w="3117" w:type="dxa"/>
            <w:vAlign w:val="center"/>
          </w:tcPr>
          <w:p w14:paraId="4A14D8AB" w14:textId="77777777" w:rsidR="00505055" w:rsidRPr="00331162" w:rsidRDefault="00505055" w:rsidP="002050CD">
            <w:pPr>
              <w:jc w:val="center"/>
              <w:rPr>
                <w:rFonts w:ascii="Times New Roman" w:eastAsiaTheme="minorEastAsia" w:hAnsi="Times New Roman" w:cs="Times New Roman"/>
              </w:rPr>
            </w:pPr>
            <w:r w:rsidRPr="00331162">
              <w:rPr>
                <w:rFonts w:ascii="Times New Roman" w:eastAsiaTheme="minorEastAsia" w:hAnsi="Times New Roman" w:cs="Times New Roman"/>
              </w:rPr>
              <w:t>(S.1)</w:t>
            </w:r>
          </w:p>
        </w:tc>
      </w:tr>
    </w:tbl>
    <w:p w14:paraId="63284559" w14:textId="77777777" w:rsidR="00505055" w:rsidRPr="00331162" w:rsidRDefault="00505055" w:rsidP="00505055">
      <w:pPr>
        <w:rPr>
          <w:rFonts w:eastAsiaTheme="minorEastAsia"/>
        </w:rPr>
      </w:pPr>
    </w:p>
    <w:p w14:paraId="1AF95CE6" w14:textId="4DD52064" w:rsidR="00505055" w:rsidRPr="00331162" w:rsidRDefault="00505055" w:rsidP="00505055">
      <w:pPr>
        <w:rPr>
          <w:rFonts w:eastAsiaTheme="minorEastAsia"/>
        </w:rPr>
      </w:pPr>
      <w:r w:rsidRPr="00331162">
        <w:rPr>
          <w:rFonts w:eastAsiaTheme="minorEastAsia"/>
        </w:rPr>
        <w:t xml:space="preserve">The Graham et </w:t>
      </w:r>
      <w:r w:rsidRPr="00331162">
        <w:rPr>
          <w:rFonts w:eastAsiaTheme="minorEastAsia"/>
          <w:i/>
        </w:rPr>
        <w:t>al</w:t>
      </w:r>
      <w:r w:rsidRPr="0033116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rp</m:t>
            </m:r>
          </m:sub>
        </m:sSub>
      </m:oMath>
      <w:r w:rsidRPr="00331162">
        <w:rPr>
          <w:rFonts w:eastAsiaTheme="minorEastAsia"/>
        </w:rPr>
        <w:t xml:space="preserve"> parameter</w:t>
      </w:r>
      <w:r>
        <w:rPr>
          <w:rFonts w:eastAsiaTheme="minorEastAsia"/>
        </w:rPr>
        <w:t xml:space="preserve"> </w:t>
      </w:r>
      <w:r>
        <w:rPr>
          <w:rFonts w:eastAsiaTheme="minorEastAsia"/>
        </w:rPr>
        <w:fldChar w:fldCharType="begin" w:fldLock="1"/>
      </w:r>
      <w:r>
        <w:rPr>
          <w:rFonts w:eastAsiaTheme="minorEastAsia"/>
        </w:rPr>
        <w:instrText>ADDIN CSL_CITATION {"citationItems":[{"id":"ITEM-1","itemData":{"DOI":"10.1007/s00338-010-0717-z","ISSN":"07224028","abstract":"Coral reef ecosystems are degrading through multiple disturbances that are becoming more frequent and severe. The complexities of this degradation have been studied in detail, but little work has assessed characteristics that allow reefs to bounce back and recover between pulse disturbance events. We quantitatively review recovery rates of coral cover from pulse disturbance events among 48 different reef locations, testing the relative roles of disturbance characteristics, reef characteristics, connectiv- ity and anthropogenic influences. Reefs in the western Pacific Ocean had the fastest recovery, whereas reefs in the geographically isolated eastern Pacific Ocean were slowest to recover, reflecting regional differences in coral compo- sition, fish functional diversity and geographic isolation. Disturbances that opened up large areas of benthic space recovered quickly, potentially because of nonlinear recovery where recruitment rates were high. The type of disturbance had a limited effect on subsequent rates of reef recovery, although recovery was faster following crown- of-thorns starfish outbreaks. This inconsequential role of disturbance type may be in part due to the role of unaltered structural complexity in maintaining key reef processes, such as recruitment and herbivory. Few studies explicitly recorded potential ecological determinants of recovery, such as recruitment rates, structural complexity of habitat and the functional composition of reef-associated fish. There was some evidence of slower recovery rates within protected areas compared with other management systems and fished areas, which may reflect the higher initial coral cover in protected areas rather than reflecting a manage- ment effect. A better understanding of the driving role of processes, structural complexity and diversity on recovery may enable more appropriate management actions that support coral-dominated ecosystems in our changing climate","author":[{"dropping-particle":"","family":"Graham","given":"N. A.J.","non-dropping-particle":"","parse-names":false,"suffix":""},{"dropping-particle":"","family":"Nash","given":"K. L.","non-dropping-particle":"","parse-names":false,"suffix":""},{"dropping-particle":"","family":"Kool","given":"J. T.","non-dropping-particle":"","parse-names":false,"suffix":""}],"container-title":"Coral Reefs","id":"ITEM-1","issue":"2","issued":{"date-parts":[["2011"]]},"page":"283-294","title":"Coral reef recovery dynamics in a changing world","type":"article-journal","volume":"30"},"uris":["http://www.mendeley.com/documents/?uuid=da190854-2471-4286-9490-56181e75d68f"]}],"mendeley":{"formattedCitation":"(&lt;i&gt;36&lt;/i&gt;)","plainTextFormattedCitation":"(36)","previouslyFormattedCitation":"(&lt;i&gt;36&lt;/i&gt;)"},"properties":{"noteIndex":0},"schema":"https://github.com/citation-style-language/schema/raw/master/csl-citation.json"}</w:instrText>
      </w:r>
      <w:r>
        <w:rPr>
          <w:rFonts w:eastAsiaTheme="minorEastAsia"/>
        </w:rPr>
        <w:fldChar w:fldCharType="separate"/>
      </w:r>
      <w:r w:rsidRPr="00505055">
        <w:rPr>
          <w:rFonts w:eastAsiaTheme="minorEastAsia"/>
          <w:noProof/>
        </w:rPr>
        <w:t>(</w:t>
      </w:r>
      <w:r w:rsidRPr="00505055">
        <w:rPr>
          <w:rFonts w:eastAsiaTheme="minorEastAsia"/>
          <w:i/>
          <w:noProof/>
        </w:rPr>
        <w:t>36</w:t>
      </w:r>
      <w:r w:rsidRPr="00505055">
        <w:rPr>
          <w:rFonts w:eastAsiaTheme="minorEastAsia"/>
          <w:noProof/>
        </w:rPr>
        <w:t>)</w:t>
      </w:r>
      <w:r>
        <w:rPr>
          <w:rFonts w:eastAsiaTheme="minorEastAsia"/>
        </w:rPr>
        <w:fldChar w:fldCharType="end"/>
      </w:r>
      <w:r w:rsidRPr="00331162">
        <w:rPr>
          <w:rFonts w:eastAsiaTheme="minorEastAsia"/>
        </w:rPr>
        <w:t xml:space="preserve"> was converted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05055" w:rsidRPr="00331162" w14:paraId="5F055E04" w14:textId="77777777" w:rsidTr="002050CD">
        <w:tc>
          <w:tcPr>
            <w:tcW w:w="3116" w:type="dxa"/>
            <w:vAlign w:val="center"/>
          </w:tcPr>
          <w:p w14:paraId="6B6D96CE" w14:textId="77777777" w:rsidR="00505055" w:rsidRPr="00331162" w:rsidRDefault="00505055" w:rsidP="002050CD">
            <w:pPr>
              <w:jc w:val="center"/>
              <w:rPr>
                <w:rFonts w:ascii="Times New Roman" w:eastAsiaTheme="minorEastAsia" w:hAnsi="Times New Roman" w:cs="Times New Roman"/>
              </w:rPr>
            </w:pPr>
          </w:p>
        </w:tc>
        <w:tc>
          <w:tcPr>
            <w:tcW w:w="3117" w:type="dxa"/>
            <w:vAlign w:val="center"/>
          </w:tcPr>
          <w:p w14:paraId="663F3FF7" w14:textId="77777777" w:rsidR="00505055" w:rsidRPr="00331162" w:rsidRDefault="00A77D75" w:rsidP="002050CD">
            <w:pPr>
              <w:jc w:val="cente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m:t>
                    </m:r>
                  </m:sup>
                </m:sSup>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rp</m:t>
                        </m:r>
                      </m:sub>
                    </m:sSub>
                  </m:den>
                </m:f>
              </m:oMath>
            </m:oMathPara>
          </w:p>
        </w:tc>
        <w:tc>
          <w:tcPr>
            <w:tcW w:w="3117" w:type="dxa"/>
            <w:vAlign w:val="center"/>
          </w:tcPr>
          <w:p w14:paraId="2385CC8F" w14:textId="77777777" w:rsidR="00505055" w:rsidRPr="00331162" w:rsidRDefault="00505055" w:rsidP="002050CD">
            <w:pPr>
              <w:jc w:val="center"/>
              <w:rPr>
                <w:rFonts w:ascii="Times New Roman" w:eastAsiaTheme="minorEastAsia" w:hAnsi="Times New Roman" w:cs="Times New Roman"/>
              </w:rPr>
            </w:pPr>
            <w:r w:rsidRPr="00331162">
              <w:rPr>
                <w:rFonts w:ascii="Times New Roman" w:eastAsiaTheme="minorEastAsia" w:hAnsi="Times New Roman" w:cs="Times New Roman"/>
              </w:rPr>
              <w:t>(S.2)</w:t>
            </w:r>
          </w:p>
        </w:tc>
      </w:tr>
    </w:tbl>
    <w:p w14:paraId="6BF4B803" w14:textId="77777777" w:rsidR="00505055" w:rsidRPr="00331162" w:rsidRDefault="00505055" w:rsidP="00505055">
      <w:pPr>
        <w:jc w:val="center"/>
        <w:rPr>
          <w:rFonts w:eastAsiaTheme="minorEastAsia"/>
        </w:rPr>
      </w:pPr>
    </w:p>
    <w:p w14:paraId="26442EE5" w14:textId="6727A8BE" w:rsidR="00505055" w:rsidRPr="00331162" w:rsidRDefault="00505055" w:rsidP="00505055">
      <w:pPr>
        <w:rPr>
          <w:rFonts w:eastAsiaTheme="minorEastAsia"/>
        </w:rPr>
      </w:pPr>
      <w:r w:rsidRPr="00331162">
        <w:rPr>
          <w:rFonts w:eastAsiaTheme="minorEastAsia"/>
        </w:rPr>
        <w:t xml:space="preserve">The Grabowski et </w:t>
      </w:r>
      <w:r w:rsidRPr="00331162">
        <w:rPr>
          <w:rFonts w:eastAsiaTheme="minorEastAsia"/>
          <w:i/>
        </w:rPr>
        <w:t>al</w:t>
      </w:r>
      <w:r w:rsidRPr="00331162">
        <w:rPr>
          <w:rFonts w:eastAsiaTheme="minorEastAsia"/>
        </w:rPr>
        <w:t>.  </w:t>
      </w:r>
      <m:oMath>
        <m:acc>
          <m:accPr>
            <m:chr m:val="̅"/>
            <m:ctrlPr>
              <w:rPr>
                <w:rFonts w:ascii="Cambria Math" w:eastAsiaTheme="minorEastAsia" w:hAnsi="Cambria Math"/>
                <w:i/>
              </w:rPr>
            </m:ctrlPr>
          </m:accPr>
          <m:e>
            <m:r>
              <w:rPr>
                <w:rFonts w:ascii="Cambria Math" w:eastAsiaTheme="minorEastAsia" w:hAnsi="Cambria Math"/>
              </w:rPr>
              <m:t>τ</m:t>
            </m:r>
          </m:e>
        </m:acc>
      </m:oMath>
      <w:r w:rsidRPr="00331162">
        <w:rPr>
          <w:rFonts w:eastAsiaTheme="minorEastAsia"/>
        </w:rPr>
        <w:t xml:space="preserve"> parameter </w:t>
      </w:r>
      <w:r>
        <w:rPr>
          <w:rFonts w:eastAsiaTheme="minorEastAsia"/>
        </w:rPr>
        <w:fldChar w:fldCharType="begin" w:fldLock="1"/>
      </w:r>
      <w:r>
        <w:rPr>
          <w:rFonts w:eastAsiaTheme="minorEastAsia"/>
        </w:rPr>
        <w:instrText>ADDIN CSL_CITATION {"citationItems":[{"id":"ITEM-1","itemData":{"DOI":"10.1080/10641262.2013.846292","ISBN":"2330-8249","ISSN":"2330-8249","abstract":"TheMagnuson-StevensFishery Conservation andManagementAct (MSA) requiresUS fisherymanagement plans to minimize, to the extent practicable, the adverse effects of fishing on essential fish habitats (EFHs). To meet this requirement, fishery managers would ideally be able to quantify such effects and visualize their distributions across space and time. Here, we develop a framework to quantify and assess benthic impacts of the six most common bottom-tending gears (&gt;99% of bottom-tending fishing effort) in New England: otter trawls, scallop dredges, hydraulic clam dredges, gillnets, longlines, and traps. We first conducted a comprehensive review of the habitat impacts literature relevant to Northeast USA fishing gears and seabed types. We then used this information to develop a framework for generating and organizing quantitative susceptibility (based on percent loss of structural habitat from a single interaction with the gear) and recovery (i.e., the time required for recovery of lost structure) parameters for each biological (e.g., sponges, ascidians, mollusks) and geological (e.g., mud burrows, sand ripples, cobble, and boulder piles) feature common to the following five substrates: mud, sand, granule–pebble, cobble, and boulder in low- and high-energy environments. In general, we found that both susceptibility and recovery scores were highest for hydraulic dredges, slightly lower for otter trawls and scallop dredges, and much lower for fixed gears (i.e., gillnets, longlines, and traps). For bottom trawls and scallop dredges, geological features in mud, sand, and cobble-dominated substrates were more susceptible to gear impacts than features found in granule–pebble and boulder substrates.Meanwhile, biological features were largely equally susceptible to impacts across the five substrate types. Average susceptibility scores for both biological and geological substrate features were not affected by energy level. Average recovery times for geological features affected by bottom trawls and dredges were much longer in low-energy granule–pebble, and low- and high-energy cobble and boulder than in mud and sand substrates. Meanwhile, there was no difference among substrates or energy levels for biological feature recovery times. These results collectively suggest that cobble and boulder substrates are the most vulnerable to impacts from mobile bottom-tending gear. Recovery from the relatively minor impacts caused by fixed gear required slightly longer in the thre…","author":[{"dropping-particle":"","family":"Grabowski","given":"Jonathan H.","non-dropping-particle":"","parse-names":false,"suffix":""},{"dropping-particle":"","family":"Bachman","given":"Michelle","non-dropping-particle":"","parse-names":false,"suffix":""},{"dropping-particle":"","family":"Demarest","given":"Chad","non-dropping-particle":"","parse-names":false,"suffix":""},{"dropping-particle":"","family":"Eayrs","given":"Steve","non-dropping-particle":"","parse-names":false,"suffix":""},{"dropping-particle":"","family":"Harris","given":"Bradley P.","non-dropping-particle":"","parse-names":false,"suffix":""},{"dropping-particle":"","family":"Malkoski","given":"Vincent","non-dropping-particle":"","parse-names":false,"suffix":""},{"dropping-particle":"","family":"Packer","given":"David","non-dropping-particle":"","parse-names":false,"suffix":""},{"dropping-particle":"","family":"Stevenson","given":"David","non-dropping-particle":"","parse-names":false,"suffix":""}],"container-title":"Reviews in Fisheries Science &amp; Aquaculture","id":"ITEM-1","issue":"2","issued":{"date-parts":[["2014"]]},"page":"142-155","title":"Assessing the vulnerability of marine benthos to fishing gear impacts","type":"article-journal","volume":"22"},"uris":["http://www.mendeley.com/documents/?uuid=0fdfc60c-c45a-4f76-aa02-dab5cd627953"]}],"mendeley":{"formattedCitation":"(&lt;i&gt;11&lt;/i&gt;)","plainTextFormattedCitation":"(11)"},"properties":{"noteIndex":0},"schema":"https://github.com/citation-style-language/schema/raw/master/csl-citation.json"}</w:instrText>
      </w:r>
      <w:r>
        <w:rPr>
          <w:rFonts w:eastAsiaTheme="minorEastAsia"/>
        </w:rPr>
        <w:fldChar w:fldCharType="separate"/>
      </w:r>
      <w:r w:rsidRPr="00505055">
        <w:rPr>
          <w:rFonts w:eastAsiaTheme="minorEastAsia"/>
          <w:noProof/>
        </w:rPr>
        <w:t>(</w:t>
      </w:r>
      <w:r w:rsidRPr="00505055">
        <w:rPr>
          <w:rFonts w:eastAsiaTheme="minorEastAsia"/>
          <w:i/>
          <w:noProof/>
        </w:rPr>
        <w:t>11</w:t>
      </w:r>
      <w:r w:rsidRPr="00505055">
        <w:rPr>
          <w:rFonts w:eastAsiaTheme="minorEastAsia"/>
          <w:noProof/>
        </w:rPr>
        <w:t>)</w:t>
      </w:r>
      <w:r>
        <w:rPr>
          <w:rFonts w:eastAsiaTheme="minorEastAsia"/>
        </w:rPr>
        <w:fldChar w:fldCharType="end"/>
      </w:r>
      <w:r>
        <w:rPr>
          <w:rFonts w:eastAsiaTheme="minorEastAsia"/>
        </w:rPr>
        <w:t xml:space="preserve"> </w:t>
      </w:r>
      <w:r w:rsidRPr="00331162">
        <w:rPr>
          <w:rFonts w:eastAsiaTheme="minorEastAsia"/>
        </w:rPr>
        <w:t xml:space="preserve">was converted to recovery parameter </w:t>
      </w:r>
      <m:oMath>
        <m:acc>
          <m:accPr>
            <m:chr m:val="̅"/>
            <m:ctrlPr>
              <w:rPr>
                <w:rFonts w:ascii="Cambria Math" w:eastAsiaTheme="minorEastAsia" w:hAnsi="Cambria Math"/>
                <w:i/>
              </w:rPr>
            </m:ctrlPr>
          </m:accPr>
          <m:e>
            <m:r>
              <w:rPr>
                <w:rFonts w:ascii="Cambria Math" w:eastAsiaTheme="minorEastAsia" w:hAnsi="Cambria Math"/>
              </w:rPr>
              <m:t>τ</m:t>
            </m:r>
          </m:e>
        </m:acc>
      </m:oMath>
      <w:r w:rsidRPr="00331162">
        <w:rPr>
          <w:rFonts w:eastAsiaTheme="minorEastAsia"/>
        </w:rPr>
        <w:t xml:space="preserve"> then calculated from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oMath>
      <w:r w:rsidRPr="00331162">
        <w:rPr>
          <w:rFonts w:eastAsiaTheme="minorEastAsia"/>
        </w:rPr>
        <w:t xml:space="preserve"> as follows: </w:t>
      </w:r>
    </w:p>
    <w:tbl>
      <w:tblPr>
        <w:tblStyle w:val="TableGrid"/>
        <w:tblW w:w="9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888"/>
        <w:gridCol w:w="3117"/>
      </w:tblGrid>
      <w:tr w:rsidR="00505055" w:rsidRPr="00331162" w14:paraId="1F221B15" w14:textId="77777777" w:rsidTr="002050CD">
        <w:tc>
          <w:tcPr>
            <w:tcW w:w="2610" w:type="dxa"/>
            <w:vAlign w:val="center"/>
          </w:tcPr>
          <w:p w14:paraId="20C7DEEF" w14:textId="77777777" w:rsidR="00505055" w:rsidRPr="00331162" w:rsidRDefault="00505055" w:rsidP="002050CD">
            <w:pPr>
              <w:jc w:val="center"/>
              <w:rPr>
                <w:rFonts w:ascii="Times New Roman" w:eastAsiaTheme="minorEastAsia" w:hAnsi="Times New Roman" w:cs="Times New Roman"/>
              </w:rPr>
            </w:pPr>
          </w:p>
        </w:tc>
        <w:tc>
          <w:tcPr>
            <w:tcW w:w="3888" w:type="dxa"/>
            <w:vAlign w:val="center"/>
          </w:tcPr>
          <w:p w14:paraId="2EC04533" w14:textId="77777777" w:rsidR="00505055" w:rsidRPr="00331162" w:rsidRDefault="00A77D75" w:rsidP="002050CD">
            <w:pPr>
              <w:jc w:val="center"/>
              <w:rPr>
                <w:rFonts w:ascii="Times New Roman" w:eastAsiaTheme="minorEastAsia" w:hAnsi="Times New Roman"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m:t>
                  </m:r>
                </m:sup>
              </m:sSup>
              <m:r>
                <w:rPr>
                  <w:rFonts w:ascii="Cambria Math" w:eastAsiaTheme="minorEastAsia" w:hAnsi="Cambria Math" w:cs="Times New Roman"/>
                </w:rPr>
                <m:t>=τ[</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e>
                  </m:d>
                </m:e>
              </m:func>
              <m:r>
                <w:rPr>
                  <w:rFonts w:ascii="Cambria Math" w:eastAsiaTheme="minorEastAsia" w:hAnsi="Cambria Math" w:cs="Times New Roman"/>
                </w:rPr>
                <m:t>-</m:t>
              </m:r>
              <m:r>
                <m:rPr>
                  <m:sty m:val="p"/>
                </m:rPr>
                <w:rPr>
                  <w:rFonts w:ascii="Cambria Math" w:eastAsiaTheme="minorEastAsia" w:hAnsi="Cambria Math" w:cs="Times New Roman"/>
                </w:rPr>
                <m:t>log⁡</m:t>
              </m:r>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m:t>
              </m:r>
            </m:oMath>
            <w:r w:rsidR="00505055" w:rsidRPr="00331162">
              <w:rPr>
                <w:rFonts w:ascii="Times New Roman" w:eastAsiaTheme="minorEastAsia" w:hAnsi="Times New Roman" w:cs="Times New Roman"/>
              </w:rPr>
              <w:t>]</w:t>
            </w:r>
          </w:p>
        </w:tc>
        <w:tc>
          <w:tcPr>
            <w:tcW w:w="3117" w:type="dxa"/>
            <w:vAlign w:val="center"/>
          </w:tcPr>
          <w:p w14:paraId="212B8F38" w14:textId="77777777" w:rsidR="00505055" w:rsidRPr="00331162" w:rsidRDefault="00505055" w:rsidP="002050CD">
            <w:pPr>
              <w:jc w:val="center"/>
              <w:rPr>
                <w:rFonts w:ascii="Times New Roman" w:eastAsiaTheme="minorEastAsia" w:hAnsi="Times New Roman" w:cs="Times New Roman"/>
              </w:rPr>
            </w:pPr>
            <w:r w:rsidRPr="00331162">
              <w:rPr>
                <w:rFonts w:ascii="Times New Roman" w:eastAsiaTheme="minorEastAsia" w:hAnsi="Times New Roman" w:cs="Times New Roman"/>
              </w:rPr>
              <w:t>(S.3)</w:t>
            </w:r>
          </w:p>
        </w:tc>
      </w:tr>
    </w:tbl>
    <w:p w14:paraId="7A75AFE5" w14:textId="77777777" w:rsidR="00505055" w:rsidRDefault="00505055" w:rsidP="00505055">
      <w:pPr>
        <w:rPr>
          <w:rFonts w:eastAsiaTheme="minorEastAsia"/>
        </w:rPr>
      </w:pPr>
    </w:p>
    <w:p w14:paraId="0FE9D809" w14:textId="77777777" w:rsidR="00505055" w:rsidRDefault="00505055" w:rsidP="00505055">
      <w:pPr>
        <w:rPr>
          <w:rFonts w:eastAsiaTheme="minorEastAsia"/>
        </w:rPr>
      </w:pPr>
    </w:p>
    <w:p w14:paraId="32BC8008" w14:textId="77777777" w:rsidR="00505055" w:rsidRDefault="00505055" w:rsidP="00505055">
      <w:pPr>
        <w:spacing w:line="360" w:lineRule="auto"/>
        <w:rPr>
          <w:szCs w:val="24"/>
        </w:rPr>
      </w:pPr>
      <w:r w:rsidRPr="00941DD5">
        <w:rPr>
          <w:szCs w:val="24"/>
        </w:rPr>
        <w:lastRenderedPageBreak/>
        <w:t xml:space="preserve">We generally employed conservative estimates of susceptibility and recovery parameters, using the slowest recovery rates reported by these meta-analyses: 9.6 years for soft substrates, 9.1 years for hard substrates, and 25.3 years for rocky reefs. </w:t>
      </w:r>
    </w:p>
    <w:p w14:paraId="19117DDB" w14:textId="77777777" w:rsidR="00505055" w:rsidRDefault="00505055" w:rsidP="00505055">
      <w:pPr>
        <w:rPr>
          <w:rFonts w:eastAsiaTheme="minorEastAsia"/>
        </w:rPr>
      </w:pPr>
    </w:p>
    <w:p w14:paraId="4F15F0F5" w14:textId="77777777" w:rsidR="00505055" w:rsidRPr="00454141" w:rsidRDefault="00505055" w:rsidP="00505055">
      <w:pPr>
        <w:rPr>
          <w:rFonts w:eastAsiaTheme="minorEastAsia"/>
        </w:rPr>
      </w:pPr>
      <w:r>
        <w:rPr>
          <w:rFonts w:eastAsiaTheme="minorEastAsia"/>
        </w:rPr>
        <w:t>Table S1.  Reported recovery times from meta-analyses</w:t>
      </w:r>
    </w:p>
    <w:tbl>
      <w:tblPr>
        <w:tblStyle w:val="TableGrid"/>
        <w:tblpPr w:leftFromText="180" w:rightFromText="180" w:vertAnchor="text" w:horzAnchor="margin" w:tblpYSpec="top"/>
        <w:tblW w:w="9895" w:type="dxa"/>
        <w:tblLook w:val="04A0" w:firstRow="1" w:lastRow="0" w:firstColumn="1" w:lastColumn="0" w:noHBand="0" w:noVBand="1"/>
      </w:tblPr>
      <w:tblGrid>
        <w:gridCol w:w="1180"/>
        <w:gridCol w:w="2145"/>
        <w:gridCol w:w="1530"/>
        <w:gridCol w:w="2880"/>
        <w:gridCol w:w="2160"/>
      </w:tblGrid>
      <w:tr w:rsidR="00505055" w:rsidRPr="00331162" w14:paraId="0014D326" w14:textId="77777777" w:rsidTr="002050CD">
        <w:tc>
          <w:tcPr>
            <w:tcW w:w="1180" w:type="dxa"/>
          </w:tcPr>
          <w:p w14:paraId="17C9BBE7"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Habitat type</w:t>
            </w:r>
          </w:p>
        </w:tc>
        <w:tc>
          <w:tcPr>
            <w:tcW w:w="2145" w:type="dxa"/>
          </w:tcPr>
          <w:p w14:paraId="313A38AD"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Source</w:t>
            </w:r>
          </w:p>
        </w:tc>
        <w:tc>
          <w:tcPr>
            <w:tcW w:w="1530" w:type="dxa"/>
          </w:tcPr>
          <w:p w14:paraId="219D21B0"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Reported value</w:t>
            </w:r>
          </w:p>
        </w:tc>
        <w:tc>
          <w:tcPr>
            <w:tcW w:w="2880" w:type="dxa"/>
          </w:tcPr>
          <w:p w14:paraId="24221270" w14:textId="77777777" w:rsidR="00505055" w:rsidRPr="00331162" w:rsidRDefault="00505055" w:rsidP="002050CD">
            <w:pPr>
              <w:rPr>
                <w:rFonts w:ascii="Times New Roman" w:eastAsia="Times New Roman" w:hAnsi="Times New Roman" w:cs="Times New Roman"/>
                <w:szCs w:val="24"/>
              </w:rPr>
            </w:pPr>
            <w:r w:rsidRPr="00331162">
              <w:rPr>
                <w:rFonts w:ascii="Times New Roman" w:eastAsia="Times New Roman" w:hAnsi="Times New Roman" w:cs="Times New Roman"/>
                <w:szCs w:val="24"/>
              </w:rPr>
              <w:t>Description of value</w:t>
            </w:r>
          </w:p>
        </w:tc>
        <w:tc>
          <w:tcPr>
            <w:tcW w:w="2160" w:type="dxa"/>
          </w:tcPr>
          <w:p w14:paraId="4A2A20B0" w14:textId="77777777" w:rsidR="00505055" w:rsidRPr="00331162" w:rsidRDefault="00A77D75" w:rsidP="002050CD">
            <w:pPr>
              <w:rPr>
                <w:rFonts w:ascii="Times New Roman" w:eastAsiaTheme="minorEastAsia" w:hAnsi="Times New Roman" w:cs="Times New Roman"/>
                <w:szCs w:val="24"/>
              </w:rPr>
            </w:pP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τ</m:t>
                  </m:r>
                </m:e>
                <m:sup>
                  <m:r>
                    <w:rPr>
                      <w:rFonts w:ascii="Cambria Math" w:eastAsiaTheme="minorEastAsia" w:hAnsi="Cambria Math" w:cs="Times New Roman"/>
                      <w:szCs w:val="24"/>
                    </w:rPr>
                    <m:t>*</m:t>
                  </m:r>
                </m:sup>
              </m:sSup>
            </m:oMath>
            <w:r w:rsidR="00505055" w:rsidRPr="00331162">
              <w:rPr>
                <w:rFonts w:ascii="Times New Roman" w:eastAsiaTheme="minorEastAsia" w:hAnsi="Times New Roman" w:cs="Times New Roman"/>
                <w:szCs w:val="24"/>
              </w:rPr>
              <w:t xml:space="preserve">  equivalent </w:t>
            </w:r>
          </w:p>
          <w:p w14:paraId="4D34DD26"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(years to recover from 5% to 95%)</w:t>
            </w:r>
          </w:p>
        </w:tc>
      </w:tr>
      <w:tr w:rsidR="00505055" w:rsidRPr="00331162" w14:paraId="25F7C3D9" w14:textId="77777777" w:rsidTr="002050CD">
        <w:tc>
          <w:tcPr>
            <w:tcW w:w="1180" w:type="dxa"/>
            <w:vMerge w:val="restart"/>
          </w:tcPr>
          <w:p w14:paraId="39F51233"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Soft substrate</w:t>
            </w:r>
          </w:p>
        </w:tc>
        <w:tc>
          <w:tcPr>
            <w:tcW w:w="2145" w:type="dxa"/>
            <w:vMerge w:val="restart"/>
          </w:tcPr>
          <w:p w14:paraId="09C80D9E"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 xml:space="preserve">Hiddink et </w:t>
            </w:r>
            <w:r w:rsidRPr="00505055">
              <w:rPr>
                <w:rFonts w:ascii="Times New Roman" w:eastAsiaTheme="minorEastAsia" w:hAnsi="Times New Roman" w:cs="Times New Roman"/>
                <w:i/>
                <w:iCs/>
                <w:szCs w:val="24"/>
              </w:rPr>
              <w:t>al.</w:t>
            </w:r>
            <w:r>
              <w:rPr>
                <w:rFonts w:ascii="Times New Roman" w:eastAsiaTheme="minorEastAsia" w:hAnsi="Times New Roman" w:cs="Times New Roman"/>
                <w:szCs w:val="24"/>
              </w:rPr>
              <w:t xml:space="preserve"> </w:t>
            </w:r>
            <w:r>
              <w:rPr>
                <w:rFonts w:ascii="Times New Roman" w:eastAsiaTheme="minorEastAsia" w:hAnsi="Times New Roman" w:cs="Times New Roman"/>
                <w:szCs w:val="24"/>
              </w:rPr>
              <w:fldChar w:fldCharType="begin" w:fldLock="1"/>
            </w:r>
            <w:r>
              <w:rPr>
                <w:rFonts w:ascii="Times New Roman" w:eastAsiaTheme="minorEastAsia" w:hAnsi="Times New Roman" w:cs="Times New Roman"/>
                <w:szCs w:val="24"/>
              </w:rPr>
              <w:instrText>ADDIN CSL_CITATION {"citationItems":[{"id":"ITEM-1","itemData":{"DOI":"10.1073/pnas.1618858114","ISBN":"1618858114","ISSN":"0027-8424","PMID":"28716926","abstract":"Bottom trawling is the most widespread human activity affecting seabed habitats. Here, we collate all available data for experimental and comparative studies of trawling impacts on whole communities of seabed macroinvertebrates on sedimentary habitats and develop widely applicable methods to estimate depletion and recovery rates of biota after trawling. Depletion of biota and trawl penetration into the seabed are highly correlated. Otter trawls caused the least de- pletion, removing 6% of biota per pass and penetrating the seabed on average down to 2.4 cm, whereas hydraulic dredges caused the most depletion, removing 41% of biota and penetrating the seabed on average 16.1 cm. Median recovery times posttrawling (from 50 to 95% of unimpacted biomass) ranged between 1.9 and 6.4 y. By ac- counting for the effects of penetration depth, environmental varia- tion, and uncertainty, the models explainedmuch of the variability of depletion and recovery estimates from single studies. Coupled with large-scale, high-resolution maps of trawling frequency and habitat, our estimates of depletion and recovery rates enable the assessment of trawling impacts on unprecedented spatial scales.","author":[{"dropping-particle":"","family":"Hiddink","given":"Jan Geert","non-dropping-particle":"","parse-names":false,"suffix":""},{"dropping-particle":"","family":"Jennings","given":"Simon","non-dropping-particle":"","parse-names":false,"suffix":""},{"dropping-particle":"","family":"Sciberras","given":"Marija","non-dropping-particle":"","parse-names":false,"suffix":""},{"dropping-particle":"","family":"Szostek","given":"Claire L.","non-dropping-particle":"","parse-names":false,"suffix":""},{"dropping-particle":"","family":"Hughes","given":"Kathryn M.","non-dropping-particle":"","parse-names":false,"suffix":""},{"dropping-particle":"","family":"Ellis","given":"Nick","non-dropping-particle":"","parse-names":false,"suffix":""},{"dropping-particle":"","family":"Rijnsdorp","given":"Adriaan D.","non-dropping-particle":"","parse-names":false,"suffix":""},{"dropping-particle":"","family":"McConnaughey","given":"Robert A.","non-dropping-particle":"","parse-names":false,"suffix":""},{"dropping-particle":"","family":"Mazor","given":"Tessa","non-dropping-particle":"","parse-names":false,"suffix":""},{"dropping-particle":"","family":"Hilborn","given":"Ray","non-dropping-particle":"","parse-names":false,"suffix":""},{"dropping-particle":"","family":"Collie","given":"Jeremy S.","non-dropping-particle":"","parse-names":false,"suffix":""},{"dropping-particle":"","family":"Pitcher","given":"C. Roland","non-dropping-particle":"","parse-names":false,"suffix":""},{"dropping-particle":"","family":"Amoroso","given":"Ricardo O.","non-dropping-particle":"","parse-names":false,"suffix":""},{"dropping-particle":"","family":"Parma","given":"Ana M.","non-dropping-particle":"","parse-names":false,"suffix":""},{"dropping-particle":"","family":"Suuronen","given":"Petri","non-dropping-particle":"","parse-names":false,"suffix":""},{"dropping-particle":"","family":"Kaiser","given":"Michel J.","non-dropping-particle":"","parse-names":false,"suffix":""}],"container-title":"Proceedings of the National Academy of Sciences","id":"ITEM-1","issue":"31","issued":{"date-parts":[["2017"]]},"page":"8301-8306","title":"Global analysis of depletion and recovery of seabed biota after bottom trawling disturbance","type":"article-journal","volume":"114"},"uris":["http://www.mendeley.com/documents/?uuid=78cfad75-71ce-433b-8646-42308dfe3f2c"]}],"mendeley":{"formattedCitation":"(&lt;i&gt;35&lt;/i&gt;)","plainTextFormattedCitation":"(35)","previouslyFormattedCitation":"(&lt;i&gt;35&lt;/i&gt;)"},"properties":{"noteIndex":0},"schema":"https://github.com/citation-style-language/schema/raw/master/csl-citation.json"}</w:instrText>
            </w:r>
            <w:r>
              <w:rPr>
                <w:rFonts w:ascii="Times New Roman" w:eastAsiaTheme="minorEastAsia" w:hAnsi="Times New Roman" w:cs="Times New Roman"/>
                <w:szCs w:val="24"/>
              </w:rPr>
              <w:fldChar w:fldCharType="separate"/>
            </w:r>
            <w:r w:rsidRPr="00505055">
              <w:rPr>
                <w:rFonts w:ascii="Times New Roman" w:eastAsiaTheme="minorEastAsia" w:hAnsi="Times New Roman" w:cs="Times New Roman"/>
                <w:noProof/>
                <w:szCs w:val="24"/>
              </w:rPr>
              <w:t>(</w:t>
            </w:r>
            <w:r w:rsidRPr="00505055">
              <w:rPr>
                <w:rFonts w:ascii="Times New Roman" w:eastAsiaTheme="minorEastAsia" w:hAnsi="Times New Roman" w:cs="Times New Roman"/>
                <w:i/>
                <w:noProof/>
                <w:szCs w:val="24"/>
              </w:rPr>
              <w:t>35</w:t>
            </w:r>
            <w:r w:rsidRPr="00505055">
              <w:rPr>
                <w:rFonts w:ascii="Times New Roman" w:eastAsiaTheme="minorEastAsia" w:hAnsi="Times New Roman" w:cs="Times New Roman"/>
                <w:noProof/>
                <w:szCs w:val="24"/>
              </w:rPr>
              <w:t>)</w:t>
            </w:r>
            <w:r>
              <w:rPr>
                <w:rFonts w:ascii="Times New Roman" w:eastAsiaTheme="minorEastAsia" w:hAnsi="Times New Roman" w:cs="Times New Roman"/>
                <w:szCs w:val="24"/>
              </w:rPr>
              <w:fldChar w:fldCharType="end"/>
            </w:r>
          </w:p>
        </w:tc>
        <w:tc>
          <w:tcPr>
            <w:tcW w:w="1530" w:type="dxa"/>
          </w:tcPr>
          <w:p w14:paraId="5ABF1467" w14:textId="77777777" w:rsidR="00505055" w:rsidRPr="00331162" w:rsidRDefault="00505055" w:rsidP="002050CD">
            <w:pPr>
              <w:rPr>
                <w:rFonts w:ascii="Times New Roman" w:eastAsiaTheme="minorEastAsia" w:hAnsi="Times New Roman" w:cs="Times New Roman"/>
                <w:szCs w:val="24"/>
              </w:rPr>
            </w:pPr>
            <m:oMathPara>
              <m:oMath>
                <m:r>
                  <w:rPr>
                    <w:rFonts w:ascii="Cambria Math" w:eastAsiaTheme="minorEastAsia" w:hAnsi="Cambria Math" w:cs="Times New Roman"/>
                    <w:szCs w:val="24"/>
                  </w:rPr>
                  <m:t>r=0.82</m:t>
                </m:r>
              </m:oMath>
            </m:oMathPara>
          </w:p>
          <w:p w14:paraId="6F7EA17C" w14:textId="77777777" w:rsidR="00505055" w:rsidRPr="00331162" w:rsidRDefault="00505055" w:rsidP="002050CD">
            <w:pPr>
              <w:rPr>
                <w:rFonts w:ascii="Times New Roman" w:eastAsiaTheme="minorEastAsia" w:hAnsi="Times New Roman" w:cs="Times New Roman"/>
                <w:szCs w:val="24"/>
              </w:rPr>
            </w:pPr>
          </w:p>
          <w:p w14:paraId="68060BBA" w14:textId="77777777" w:rsidR="00505055" w:rsidRPr="00331162" w:rsidRDefault="00505055" w:rsidP="002050CD">
            <w:pPr>
              <w:rPr>
                <w:rFonts w:ascii="Times New Roman" w:eastAsiaTheme="minorEastAsia" w:hAnsi="Times New Roman" w:cs="Times New Roman"/>
                <w:szCs w:val="24"/>
              </w:rPr>
            </w:pPr>
          </w:p>
          <w:p w14:paraId="4AFCDE2C" w14:textId="77777777" w:rsidR="00505055" w:rsidRPr="00331162" w:rsidRDefault="00505055" w:rsidP="002050CD">
            <w:pPr>
              <w:rPr>
                <w:rFonts w:ascii="Times New Roman" w:eastAsiaTheme="minorEastAsia" w:hAnsi="Times New Roman" w:cs="Times New Roman"/>
                <w:szCs w:val="24"/>
              </w:rPr>
            </w:pPr>
          </w:p>
        </w:tc>
        <w:tc>
          <w:tcPr>
            <w:tcW w:w="2880" w:type="dxa"/>
          </w:tcPr>
          <w:p w14:paraId="61E424A2"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Recovery to pre-trawl biomass</w:t>
            </w:r>
          </w:p>
        </w:tc>
        <w:tc>
          <w:tcPr>
            <w:tcW w:w="2160" w:type="dxa"/>
          </w:tcPr>
          <w:p w14:paraId="085E5537"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7.2</w:t>
            </w:r>
          </w:p>
        </w:tc>
      </w:tr>
      <w:tr w:rsidR="00505055" w:rsidRPr="00331162" w14:paraId="0E00478E" w14:textId="77777777" w:rsidTr="002050CD">
        <w:tc>
          <w:tcPr>
            <w:tcW w:w="1180" w:type="dxa"/>
            <w:vMerge/>
          </w:tcPr>
          <w:p w14:paraId="2D211D65" w14:textId="77777777" w:rsidR="00505055" w:rsidRPr="00331162" w:rsidRDefault="00505055" w:rsidP="002050CD">
            <w:pPr>
              <w:rPr>
                <w:rFonts w:ascii="Times New Roman" w:eastAsiaTheme="minorEastAsia" w:hAnsi="Times New Roman" w:cs="Times New Roman"/>
                <w:szCs w:val="24"/>
              </w:rPr>
            </w:pPr>
          </w:p>
        </w:tc>
        <w:tc>
          <w:tcPr>
            <w:tcW w:w="2145" w:type="dxa"/>
            <w:vMerge/>
          </w:tcPr>
          <w:p w14:paraId="6A71830E" w14:textId="77777777" w:rsidR="00505055" w:rsidRPr="00331162" w:rsidRDefault="00505055" w:rsidP="002050CD">
            <w:pPr>
              <w:rPr>
                <w:rFonts w:ascii="Times New Roman" w:eastAsiaTheme="minorEastAsia" w:hAnsi="Times New Roman" w:cs="Times New Roman"/>
                <w:szCs w:val="24"/>
              </w:rPr>
            </w:pPr>
          </w:p>
        </w:tc>
        <w:tc>
          <w:tcPr>
            <w:tcW w:w="1530" w:type="dxa"/>
          </w:tcPr>
          <w:p w14:paraId="1FBDA859" w14:textId="77777777" w:rsidR="00505055" w:rsidRPr="00331162" w:rsidRDefault="00505055" w:rsidP="002050CD">
            <w:pPr>
              <w:rPr>
                <w:rFonts w:ascii="Times New Roman" w:eastAsiaTheme="minorEastAsia" w:hAnsi="Times New Roman" w:cs="Times New Roman"/>
                <w:szCs w:val="24"/>
              </w:rPr>
            </w:pPr>
            <m:oMathPara>
              <m:oMath>
                <m:r>
                  <w:rPr>
                    <w:rFonts w:ascii="Cambria Math" w:eastAsiaTheme="minorEastAsia" w:hAnsi="Cambria Math" w:cs="Times New Roman"/>
                    <w:szCs w:val="24"/>
                  </w:rPr>
                  <m:t>r=1.05</m:t>
                </m:r>
              </m:oMath>
            </m:oMathPara>
          </w:p>
        </w:tc>
        <w:tc>
          <w:tcPr>
            <w:tcW w:w="2880" w:type="dxa"/>
          </w:tcPr>
          <w:p w14:paraId="49F02643"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Recovery to pre-trawl abundance from otter trawls</w:t>
            </w:r>
          </w:p>
        </w:tc>
        <w:tc>
          <w:tcPr>
            <w:tcW w:w="2160" w:type="dxa"/>
          </w:tcPr>
          <w:p w14:paraId="1CF8C091"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5.6</w:t>
            </w:r>
          </w:p>
        </w:tc>
      </w:tr>
      <w:tr w:rsidR="00505055" w:rsidRPr="00331162" w14:paraId="3A1A6E28" w14:textId="77777777" w:rsidTr="002050CD">
        <w:tc>
          <w:tcPr>
            <w:tcW w:w="1180" w:type="dxa"/>
            <w:vMerge/>
          </w:tcPr>
          <w:p w14:paraId="3BC5D400" w14:textId="77777777" w:rsidR="00505055" w:rsidRPr="00331162" w:rsidRDefault="00505055" w:rsidP="002050CD">
            <w:pPr>
              <w:rPr>
                <w:rFonts w:ascii="Times New Roman" w:eastAsiaTheme="minorEastAsia" w:hAnsi="Times New Roman" w:cs="Times New Roman"/>
                <w:szCs w:val="24"/>
              </w:rPr>
            </w:pPr>
          </w:p>
        </w:tc>
        <w:tc>
          <w:tcPr>
            <w:tcW w:w="2145" w:type="dxa"/>
            <w:vMerge/>
          </w:tcPr>
          <w:p w14:paraId="2F62CD6E" w14:textId="77777777" w:rsidR="00505055" w:rsidRPr="00331162" w:rsidRDefault="00505055" w:rsidP="002050CD">
            <w:pPr>
              <w:rPr>
                <w:rFonts w:ascii="Times New Roman" w:eastAsiaTheme="minorEastAsia" w:hAnsi="Times New Roman" w:cs="Times New Roman"/>
                <w:szCs w:val="24"/>
              </w:rPr>
            </w:pPr>
          </w:p>
        </w:tc>
        <w:tc>
          <w:tcPr>
            <w:tcW w:w="1530" w:type="dxa"/>
          </w:tcPr>
          <w:p w14:paraId="7C6FCF19" w14:textId="77777777" w:rsidR="00505055" w:rsidRPr="00331162" w:rsidRDefault="00505055" w:rsidP="002050CD">
            <w:pPr>
              <w:rPr>
                <w:rFonts w:ascii="Times New Roman" w:eastAsiaTheme="minorEastAsia" w:hAnsi="Times New Roman" w:cs="Times New Roman"/>
                <w:szCs w:val="24"/>
              </w:rPr>
            </w:pPr>
            <m:oMathPara>
              <m:oMath>
                <m:r>
                  <w:rPr>
                    <w:rFonts w:ascii="Cambria Math" w:eastAsiaTheme="minorEastAsia" w:hAnsi="Cambria Math" w:cs="Times New Roman"/>
                    <w:szCs w:val="24"/>
                  </w:rPr>
                  <m:t>r=4.49</m:t>
                </m:r>
              </m:oMath>
            </m:oMathPara>
          </w:p>
        </w:tc>
        <w:tc>
          <w:tcPr>
            <w:tcW w:w="2880" w:type="dxa"/>
          </w:tcPr>
          <w:p w14:paraId="6868DFA0"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Recovery to pre-trawl abundance from beam trawls</w:t>
            </w:r>
          </w:p>
        </w:tc>
        <w:tc>
          <w:tcPr>
            <w:tcW w:w="2160" w:type="dxa"/>
          </w:tcPr>
          <w:p w14:paraId="1A57EC8C"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1.3</w:t>
            </w:r>
          </w:p>
        </w:tc>
      </w:tr>
      <w:tr w:rsidR="00505055" w:rsidRPr="00331162" w14:paraId="08E6DC49" w14:textId="77777777" w:rsidTr="002050CD">
        <w:tc>
          <w:tcPr>
            <w:tcW w:w="1180" w:type="dxa"/>
            <w:vMerge/>
          </w:tcPr>
          <w:p w14:paraId="2300D052" w14:textId="77777777" w:rsidR="00505055" w:rsidRPr="00331162" w:rsidRDefault="00505055" w:rsidP="002050CD">
            <w:pPr>
              <w:rPr>
                <w:rFonts w:ascii="Times New Roman" w:eastAsiaTheme="minorEastAsia" w:hAnsi="Times New Roman" w:cs="Times New Roman"/>
                <w:szCs w:val="24"/>
              </w:rPr>
            </w:pPr>
          </w:p>
        </w:tc>
        <w:tc>
          <w:tcPr>
            <w:tcW w:w="2145" w:type="dxa"/>
            <w:vMerge w:val="restart"/>
          </w:tcPr>
          <w:p w14:paraId="7144A0D2"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 xml:space="preserve">Grabowski et </w:t>
            </w:r>
            <w:r w:rsidRPr="00505055">
              <w:rPr>
                <w:rFonts w:ascii="Times New Roman" w:eastAsiaTheme="minorEastAsia" w:hAnsi="Times New Roman" w:cs="Times New Roman"/>
                <w:i/>
                <w:iCs/>
                <w:szCs w:val="24"/>
              </w:rPr>
              <w:t>al.</w:t>
            </w:r>
            <w:r>
              <w:rPr>
                <w:rFonts w:ascii="Times New Roman" w:eastAsiaTheme="minorEastAsia" w:hAnsi="Times New Roman" w:cs="Times New Roman"/>
                <w:szCs w:val="24"/>
              </w:rPr>
              <w:t xml:space="preserve"> </w:t>
            </w:r>
            <w:r>
              <w:rPr>
                <w:rFonts w:ascii="Times New Roman" w:eastAsiaTheme="minorEastAsia" w:hAnsi="Times New Roman" w:cs="Times New Roman"/>
                <w:szCs w:val="24"/>
              </w:rPr>
              <w:fldChar w:fldCharType="begin" w:fldLock="1"/>
            </w:r>
            <w:r>
              <w:rPr>
                <w:rFonts w:ascii="Times New Roman" w:eastAsiaTheme="minorEastAsia" w:hAnsi="Times New Roman" w:cs="Times New Roman"/>
                <w:szCs w:val="24"/>
              </w:rPr>
              <w:instrText>ADDIN CSL_CITATION {"citationItems":[{"id":"ITEM-1","itemData":{"DOI":"10.1080/10641262.2013.846292","ISBN":"2330-8249","ISSN":"2330-8249","abstract":"TheMagnuson-StevensFishery Conservation andManagementAct (MSA) requiresUS fisherymanagement plans to minimize, to the extent practicable, the adverse effects of fishing on essential fish habitats (EFHs). To meet this requirement, fishery managers would ideally be able to quantify such effects and visualize their distributions across space and time. Here, we develop a framework to quantify and assess benthic impacts of the six most common bottom-tending gears (&gt;99% of bottom-tending fishing effort) in New England: otter trawls, scallop dredges, hydraulic clam dredges, gillnets, longlines, and traps. We first conducted a comprehensive review of the habitat impacts literature relevant to Northeast USA fishing gears and seabed types. We then used this information to develop a framework for generating and organizing quantitative susceptibility (based on percent loss of structural habitat from a single interaction with the gear) and recovery (i.e., the time required for recovery of lost structure) parameters for each biological (e.g., sponges, ascidians, mollusks) and geological (e.g., mud burrows, sand ripples, cobble, and boulder piles) feature common to the following five substrates: mud, sand, granule–pebble, cobble, and boulder in low- and high-energy environments. In general, we found that both susceptibility and recovery scores were highest for hydraulic dredges, slightly lower for otter trawls and scallop dredges, and much lower for fixed gears (i.e., gillnets, longlines, and traps). For bottom trawls and scallop dredges, geological features in mud, sand, and cobble-dominated substrates were more susceptible to gear impacts than features found in granule–pebble and boulder substrates.Meanwhile, biological features were largely equally susceptible to impacts across the five substrate types. Average susceptibility scores for both biological and geological substrate features were not affected by energy level. Average recovery times for geological features affected by bottom trawls and dredges were much longer in low-energy granule–pebble, and low- and high-energy cobble and boulder than in mud and sand substrates. Meanwhile, there was no difference among substrates or energy levels for biological feature recovery times. These results collectively suggest that cobble and boulder substrates are the most vulnerable to impacts from mobile bottom-tending gear. Recovery from the relatively minor impacts caused by fixed gear required slightly longer in the thre…","author":[{"dropping-particle":"","family":"Grabowski","given":"Jonathan H.","non-dropping-particle":"","parse-names":false,"suffix":""},{"dropping-particle":"","family":"Bachman","given":"Michelle","non-dropping-particle":"","parse-names":false,"suffix":""},{"dropping-particle":"","family":"Demarest","given":"Chad","non-dropping-particle":"","parse-names":false,"suffix":""},{"dropping-particle":"","family":"Eayrs","given":"Steve","non-dropping-particle":"","parse-names":false,"suffix":""},{"dropping-particle":"","family":"Harris","given":"Bradley P.","non-dropping-particle":"","parse-names":false,"suffix":""},{"dropping-particle":"","family":"Malkoski","given":"Vincent","non-dropping-particle":"","parse-names":false,"suffix":""},{"dropping-particle":"","family":"Packer","given":"David","non-dropping-particle":"","parse-names":false,"suffix":""},{"dropping-particle":"","family":"Stevenson","given":"David","non-dropping-particle":"","parse-names":false,"suffix":""}],"container-title":"Reviews in Fisheries Science &amp; Aquaculture","id":"ITEM-1","issue":"2","issued":{"date-parts":[["2014"]]},"page":"142-155","title":"Assessing the vulnerability of marine benthos to fishing gear impacts","type":"article-journal","volume":"22"},"uris":["http://www.mendeley.com/documents/?uuid=0fdfc60c-c45a-4f76-aa02-dab5cd627953"]}],"mendeley":{"formattedCitation":"(&lt;i&gt;11&lt;/i&gt;)","plainTextFormattedCitation":"(11)","previouslyFormattedCitation":"(&lt;i&gt;11&lt;/i&gt;)"},"properties":{"noteIndex":0},"schema":"https://github.com/citation-style-language/schema/raw/master/csl-citation.json"}</w:instrText>
            </w:r>
            <w:r>
              <w:rPr>
                <w:rFonts w:ascii="Times New Roman" w:eastAsiaTheme="minorEastAsia" w:hAnsi="Times New Roman" w:cs="Times New Roman"/>
                <w:szCs w:val="24"/>
              </w:rPr>
              <w:fldChar w:fldCharType="separate"/>
            </w:r>
            <w:r w:rsidRPr="00505055">
              <w:rPr>
                <w:rFonts w:ascii="Times New Roman" w:eastAsiaTheme="minorEastAsia" w:hAnsi="Times New Roman" w:cs="Times New Roman"/>
                <w:noProof/>
                <w:szCs w:val="24"/>
              </w:rPr>
              <w:t>(</w:t>
            </w:r>
            <w:r w:rsidRPr="00505055">
              <w:rPr>
                <w:rFonts w:ascii="Times New Roman" w:eastAsiaTheme="minorEastAsia" w:hAnsi="Times New Roman" w:cs="Times New Roman"/>
                <w:i/>
                <w:noProof/>
                <w:szCs w:val="24"/>
              </w:rPr>
              <w:t>11</w:t>
            </w:r>
            <w:r w:rsidRPr="00505055">
              <w:rPr>
                <w:rFonts w:ascii="Times New Roman" w:eastAsiaTheme="minorEastAsia" w:hAnsi="Times New Roman" w:cs="Times New Roman"/>
                <w:noProof/>
                <w:szCs w:val="24"/>
              </w:rPr>
              <w:t>)</w:t>
            </w:r>
            <w:r>
              <w:rPr>
                <w:rFonts w:ascii="Times New Roman" w:eastAsiaTheme="minorEastAsia" w:hAnsi="Times New Roman" w:cs="Times New Roman"/>
                <w:szCs w:val="24"/>
              </w:rPr>
              <w:fldChar w:fldCharType="end"/>
            </w:r>
          </w:p>
        </w:tc>
        <w:tc>
          <w:tcPr>
            <w:tcW w:w="1530" w:type="dxa"/>
          </w:tcPr>
          <w:p w14:paraId="70DA799E" w14:textId="77777777" w:rsidR="00505055" w:rsidRPr="00331162" w:rsidRDefault="00A77D75" w:rsidP="002050CD">
            <w:pPr>
              <w:rPr>
                <w:rFonts w:ascii="Times New Roman" w:eastAsiaTheme="minorEastAsia" w:hAnsi="Times New Roman" w:cs="Times New Roman"/>
                <w:szCs w:val="24"/>
              </w:rPr>
            </w:pPr>
            <m:oMathPara>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τ</m:t>
                    </m:r>
                  </m:e>
                </m:acc>
                <m:r>
                  <w:rPr>
                    <w:rFonts w:ascii="Cambria Math" w:eastAsiaTheme="minorEastAsia" w:hAnsi="Cambria Math" w:cs="Times New Roman"/>
                    <w:szCs w:val="24"/>
                  </w:rPr>
                  <m:t>=3.25</m:t>
                </m:r>
              </m:oMath>
            </m:oMathPara>
          </w:p>
        </w:tc>
        <w:tc>
          <w:tcPr>
            <w:tcW w:w="2880" w:type="dxa"/>
          </w:tcPr>
          <w:p w14:paraId="0878A0CE"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High energy mud habitats</w:t>
            </w:r>
          </w:p>
        </w:tc>
        <w:tc>
          <w:tcPr>
            <w:tcW w:w="2160" w:type="dxa"/>
          </w:tcPr>
          <w:p w14:paraId="16BDC2CC"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9.6</w:t>
            </w:r>
          </w:p>
        </w:tc>
      </w:tr>
      <w:tr w:rsidR="00505055" w:rsidRPr="00331162" w14:paraId="3AFF1920" w14:textId="77777777" w:rsidTr="002050CD">
        <w:tc>
          <w:tcPr>
            <w:tcW w:w="1180" w:type="dxa"/>
            <w:vMerge/>
          </w:tcPr>
          <w:p w14:paraId="1B9D9DA3" w14:textId="77777777" w:rsidR="00505055" w:rsidRPr="00331162" w:rsidRDefault="00505055" w:rsidP="002050CD">
            <w:pPr>
              <w:rPr>
                <w:rFonts w:ascii="Times New Roman" w:eastAsiaTheme="minorEastAsia" w:hAnsi="Times New Roman" w:cs="Times New Roman"/>
                <w:szCs w:val="24"/>
              </w:rPr>
            </w:pPr>
          </w:p>
        </w:tc>
        <w:tc>
          <w:tcPr>
            <w:tcW w:w="2145" w:type="dxa"/>
            <w:vMerge/>
          </w:tcPr>
          <w:p w14:paraId="08B523C6" w14:textId="77777777" w:rsidR="00505055" w:rsidRPr="00331162" w:rsidRDefault="00505055" w:rsidP="002050CD">
            <w:pPr>
              <w:rPr>
                <w:rFonts w:ascii="Times New Roman" w:eastAsiaTheme="minorEastAsia" w:hAnsi="Times New Roman" w:cs="Times New Roman"/>
                <w:szCs w:val="24"/>
              </w:rPr>
            </w:pPr>
          </w:p>
        </w:tc>
        <w:tc>
          <w:tcPr>
            <w:tcW w:w="1530" w:type="dxa"/>
          </w:tcPr>
          <w:p w14:paraId="282A2731" w14:textId="77777777" w:rsidR="00505055" w:rsidRPr="00331162" w:rsidRDefault="00A77D75" w:rsidP="002050CD">
            <w:pPr>
              <w:rPr>
                <w:rFonts w:ascii="Times New Roman" w:eastAsiaTheme="minorEastAsia" w:hAnsi="Times New Roman" w:cs="Times New Roman"/>
                <w:szCs w:val="24"/>
              </w:rPr>
            </w:pPr>
            <m:oMathPara>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τ</m:t>
                    </m:r>
                  </m:e>
                </m:acc>
                <m:r>
                  <w:rPr>
                    <w:rFonts w:ascii="Cambria Math" w:eastAsiaTheme="minorEastAsia" w:hAnsi="Cambria Math" w:cs="Times New Roman"/>
                    <w:szCs w:val="24"/>
                  </w:rPr>
                  <m:t>=3.13</m:t>
                </m:r>
              </m:oMath>
            </m:oMathPara>
          </w:p>
        </w:tc>
        <w:tc>
          <w:tcPr>
            <w:tcW w:w="2880" w:type="dxa"/>
          </w:tcPr>
          <w:p w14:paraId="742E487B"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High energy sand habitats</w:t>
            </w:r>
          </w:p>
        </w:tc>
        <w:tc>
          <w:tcPr>
            <w:tcW w:w="2160" w:type="dxa"/>
          </w:tcPr>
          <w:p w14:paraId="2E9F940A"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9.2</w:t>
            </w:r>
          </w:p>
        </w:tc>
      </w:tr>
      <w:tr w:rsidR="00505055" w:rsidRPr="00331162" w14:paraId="0FD8B01B" w14:textId="77777777" w:rsidTr="002050CD">
        <w:tc>
          <w:tcPr>
            <w:tcW w:w="1180" w:type="dxa"/>
            <w:vMerge/>
          </w:tcPr>
          <w:p w14:paraId="6773C421" w14:textId="77777777" w:rsidR="00505055" w:rsidRPr="00331162" w:rsidRDefault="00505055" w:rsidP="002050CD">
            <w:pPr>
              <w:rPr>
                <w:rFonts w:ascii="Times New Roman" w:eastAsiaTheme="minorEastAsia" w:hAnsi="Times New Roman" w:cs="Times New Roman"/>
                <w:szCs w:val="24"/>
              </w:rPr>
            </w:pPr>
          </w:p>
        </w:tc>
        <w:tc>
          <w:tcPr>
            <w:tcW w:w="2145" w:type="dxa"/>
            <w:vMerge/>
          </w:tcPr>
          <w:p w14:paraId="5F380838" w14:textId="77777777" w:rsidR="00505055" w:rsidRPr="00331162" w:rsidRDefault="00505055" w:rsidP="002050CD">
            <w:pPr>
              <w:rPr>
                <w:rFonts w:ascii="Times New Roman" w:eastAsiaTheme="minorEastAsia" w:hAnsi="Times New Roman" w:cs="Times New Roman"/>
                <w:szCs w:val="24"/>
              </w:rPr>
            </w:pPr>
          </w:p>
        </w:tc>
        <w:tc>
          <w:tcPr>
            <w:tcW w:w="1530" w:type="dxa"/>
          </w:tcPr>
          <w:p w14:paraId="03A02B35" w14:textId="77777777" w:rsidR="00505055" w:rsidRPr="00331162" w:rsidRDefault="00A77D75" w:rsidP="002050CD">
            <w:pPr>
              <w:rPr>
                <w:rFonts w:ascii="Times New Roman" w:eastAsiaTheme="minorEastAsia" w:hAnsi="Times New Roman" w:cs="Times New Roman"/>
                <w:szCs w:val="24"/>
              </w:rPr>
            </w:pPr>
            <m:oMathPara>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τ</m:t>
                    </m:r>
                  </m:e>
                </m:acc>
                <m:r>
                  <w:rPr>
                    <w:rFonts w:ascii="Cambria Math" w:eastAsiaTheme="minorEastAsia" w:hAnsi="Cambria Math" w:cs="Times New Roman"/>
                    <w:szCs w:val="24"/>
                  </w:rPr>
                  <m:t>=3.00</m:t>
                </m:r>
              </m:oMath>
            </m:oMathPara>
          </w:p>
        </w:tc>
        <w:tc>
          <w:tcPr>
            <w:tcW w:w="2880" w:type="dxa"/>
          </w:tcPr>
          <w:p w14:paraId="32A64215"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High energy  granule/pebble habitats</w:t>
            </w:r>
          </w:p>
        </w:tc>
        <w:tc>
          <w:tcPr>
            <w:tcW w:w="2160" w:type="dxa"/>
          </w:tcPr>
          <w:p w14:paraId="2F41F174"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8.8</w:t>
            </w:r>
          </w:p>
        </w:tc>
      </w:tr>
      <w:tr w:rsidR="00505055" w:rsidRPr="00331162" w14:paraId="2AC8657B" w14:textId="77777777" w:rsidTr="002050CD">
        <w:tc>
          <w:tcPr>
            <w:tcW w:w="1180" w:type="dxa"/>
            <w:vMerge/>
          </w:tcPr>
          <w:p w14:paraId="06E8C1CC" w14:textId="77777777" w:rsidR="00505055" w:rsidRPr="00331162" w:rsidRDefault="00505055" w:rsidP="002050CD">
            <w:pPr>
              <w:rPr>
                <w:rFonts w:ascii="Times New Roman" w:eastAsiaTheme="minorEastAsia" w:hAnsi="Times New Roman" w:cs="Times New Roman"/>
                <w:szCs w:val="24"/>
              </w:rPr>
            </w:pPr>
          </w:p>
        </w:tc>
        <w:tc>
          <w:tcPr>
            <w:tcW w:w="2145" w:type="dxa"/>
            <w:vMerge/>
          </w:tcPr>
          <w:p w14:paraId="2A5F5540" w14:textId="77777777" w:rsidR="00505055" w:rsidRPr="00331162" w:rsidRDefault="00505055" w:rsidP="002050CD">
            <w:pPr>
              <w:rPr>
                <w:rFonts w:ascii="Times New Roman" w:eastAsiaTheme="minorEastAsia" w:hAnsi="Times New Roman" w:cs="Times New Roman"/>
                <w:szCs w:val="24"/>
              </w:rPr>
            </w:pPr>
          </w:p>
        </w:tc>
        <w:tc>
          <w:tcPr>
            <w:tcW w:w="1530" w:type="dxa"/>
          </w:tcPr>
          <w:p w14:paraId="26563D30" w14:textId="77777777" w:rsidR="00505055" w:rsidRPr="00331162" w:rsidRDefault="00A77D75" w:rsidP="002050CD">
            <w:pPr>
              <w:rPr>
                <w:rFonts w:ascii="Times New Roman" w:eastAsiaTheme="minorEastAsia" w:hAnsi="Times New Roman" w:cs="Times New Roman"/>
                <w:szCs w:val="24"/>
              </w:rPr>
            </w:pPr>
            <m:oMathPara>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τ</m:t>
                    </m:r>
                  </m:e>
                </m:acc>
                <m:r>
                  <w:rPr>
                    <w:rFonts w:ascii="Cambria Math" w:eastAsiaTheme="minorEastAsia" w:hAnsi="Cambria Math" w:cs="Times New Roman"/>
                    <w:szCs w:val="24"/>
                  </w:rPr>
                  <m:t>=3.29</m:t>
                </m:r>
              </m:oMath>
            </m:oMathPara>
          </w:p>
        </w:tc>
        <w:tc>
          <w:tcPr>
            <w:tcW w:w="2880" w:type="dxa"/>
          </w:tcPr>
          <w:p w14:paraId="5576121C"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Low energy mud habitats</w:t>
            </w:r>
          </w:p>
        </w:tc>
        <w:tc>
          <w:tcPr>
            <w:tcW w:w="2160" w:type="dxa"/>
          </w:tcPr>
          <w:p w14:paraId="2DA19470"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9.7</w:t>
            </w:r>
          </w:p>
        </w:tc>
      </w:tr>
      <w:tr w:rsidR="00505055" w:rsidRPr="00331162" w14:paraId="26400D0D" w14:textId="77777777" w:rsidTr="002050CD">
        <w:tc>
          <w:tcPr>
            <w:tcW w:w="1180" w:type="dxa"/>
            <w:vMerge/>
          </w:tcPr>
          <w:p w14:paraId="64E9DC86" w14:textId="77777777" w:rsidR="00505055" w:rsidRPr="00331162" w:rsidRDefault="00505055" w:rsidP="002050CD">
            <w:pPr>
              <w:rPr>
                <w:rFonts w:ascii="Times New Roman" w:eastAsiaTheme="minorEastAsia" w:hAnsi="Times New Roman" w:cs="Times New Roman"/>
                <w:szCs w:val="24"/>
              </w:rPr>
            </w:pPr>
          </w:p>
        </w:tc>
        <w:tc>
          <w:tcPr>
            <w:tcW w:w="2145" w:type="dxa"/>
            <w:vMerge/>
          </w:tcPr>
          <w:p w14:paraId="7ABDED66" w14:textId="77777777" w:rsidR="00505055" w:rsidRPr="00331162" w:rsidRDefault="00505055" w:rsidP="002050CD">
            <w:pPr>
              <w:rPr>
                <w:rFonts w:ascii="Times New Roman" w:eastAsiaTheme="minorEastAsia" w:hAnsi="Times New Roman" w:cs="Times New Roman"/>
                <w:szCs w:val="24"/>
              </w:rPr>
            </w:pPr>
          </w:p>
        </w:tc>
        <w:tc>
          <w:tcPr>
            <w:tcW w:w="1530" w:type="dxa"/>
          </w:tcPr>
          <w:p w14:paraId="63495165" w14:textId="77777777" w:rsidR="00505055" w:rsidRPr="00331162" w:rsidRDefault="00A77D75" w:rsidP="002050CD">
            <w:pPr>
              <w:rPr>
                <w:rFonts w:ascii="Times New Roman" w:eastAsiaTheme="minorEastAsia" w:hAnsi="Times New Roman" w:cs="Times New Roman"/>
                <w:szCs w:val="24"/>
              </w:rPr>
            </w:pPr>
            <m:oMathPara>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τ</m:t>
                    </m:r>
                  </m:e>
                </m:acc>
                <m:r>
                  <w:rPr>
                    <w:rFonts w:ascii="Cambria Math" w:eastAsiaTheme="minorEastAsia" w:hAnsi="Cambria Math" w:cs="Times New Roman"/>
                    <w:szCs w:val="24"/>
                  </w:rPr>
                  <m:t>=3.17</m:t>
                </m:r>
              </m:oMath>
            </m:oMathPara>
          </w:p>
        </w:tc>
        <w:tc>
          <w:tcPr>
            <w:tcW w:w="2880" w:type="dxa"/>
          </w:tcPr>
          <w:p w14:paraId="0EC48CE6"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Low energy sand habitats</w:t>
            </w:r>
          </w:p>
        </w:tc>
        <w:tc>
          <w:tcPr>
            <w:tcW w:w="2160" w:type="dxa"/>
          </w:tcPr>
          <w:p w14:paraId="255E1B0A"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9.3</w:t>
            </w:r>
          </w:p>
        </w:tc>
      </w:tr>
      <w:tr w:rsidR="00505055" w:rsidRPr="00331162" w14:paraId="429C8FF7" w14:textId="77777777" w:rsidTr="002050CD">
        <w:tc>
          <w:tcPr>
            <w:tcW w:w="1180" w:type="dxa"/>
            <w:vMerge/>
          </w:tcPr>
          <w:p w14:paraId="02416AF7" w14:textId="77777777" w:rsidR="00505055" w:rsidRPr="00331162" w:rsidRDefault="00505055" w:rsidP="002050CD">
            <w:pPr>
              <w:rPr>
                <w:rFonts w:ascii="Times New Roman" w:eastAsiaTheme="minorEastAsia" w:hAnsi="Times New Roman" w:cs="Times New Roman"/>
                <w:szCs w:val="24"/>
              </w:rPr>
            </w:pPr>
          </w:p>
        </w:tc>
        <w:tc>
          <w:tcPr>
            <w:tcW w:w="2145" w:type="dxa"/>
            <w:vMerge/>
          </w:tcPr>
          <w:p w14:paraId="22B144E6" w14:textId="77777777" w:rsidR="00505055" w:rsidRPr="00331162" w:rsidRDefault="00505055" w:rsidP="002050CD">
            <w:pPr>
              <w:rPr>
                <w:rFonts w:ascii="Times New Roman" w:eastAsiaTheme="minorEastAsia" w:hAnsi="Times New Roman" w:cs="Times New Roman"/>
                <w:szCs w:val="24"/>
              </w:rPr>
            </w:pPr>
          </w:p>
        </w:tc>
        <w:tc>
          <w:tcPr>
            <w:tcW w:w="1530" w:type="dxa"/>
          </w:tcPr>
          <w:p w14:paraId="05ACE3C2" w14:textId="77777777" w:rsidR="00505055" w:rsidRPr="00331162" w:rsidRDefault="00A77D75" w:rsidP="002050CD">
            <w:pPr>
              <w:rPr>
                <w:rFonts w:ascii="Times New Roman" w:eastAsiaTheme="minorEastAsia" w:hAnsi="Times New Roman" w:cs="Times New Roman"/>
                <w:szCs w:val="24"/>
              </w:rPr>
            </w:pPr>
            <m:oMathPara>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τ</m:t>
                    </m:r>
                  </m:e>
                </m:acc>
                <m:r>
                  <w:rPr>
                    <w:rFonts w:ascii="Cambria Math" w:eastAsiaTheme="minorEastAsia" w:hAnsi="Cambria Math" w:cs="Times New Roman"/>
                    <w:szCs w:val="24"/>
                  </w:rPr>
                  <m:t>=3.14</m:t>
                </m:r>
              </m:oMath>
            </m:oMathPara>
          </w:p>
        </w:tc>
        <w:tc>
          <w:tcPr>
            <w:tcW w:w="2880" w:type="dxa"/>
          </w:tcPr>
          <w:p w14:paraId="54AA366F"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Low energy  granule/pebble habitats</w:t>
            </w:r>
          </w:p>
        </w:tc>
        <w:tc>
          <w:tcPr>
            <w:tcW w:w="2160" w:type="dxa"/>
          </w:tcPr>
          <w:p w14:paraId="20F71991"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9.3</w:t>
            </w:r>
          </w:p>
        </w:tc>
      </w:tr>
      <w:tr w:rsidR="00505055" w:rsidRPr="00331162" w14:paraId="1684CAA9" w14:textId="77777777" w:rsidTr="002050CD">
        <w:tc>
          <w:tcPr>
            <w:tcW w:w="1180" w:type="dxa"/>
            <w:vMerge w:val="restart"/>
          </w:tcPr>
          <w:p w14:paraId="0B4BCABB"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Hard substrate</w:t>
            </w:r>
          </w:p>
          <w:p w14:paraId="75AD0CCC" w14:textId="77777777" w:rsidR="00505055" w:rsidRPr="00331162" w:rsidRDefault="00505055" w:rsidP="002050CD">
            <w:pPr>
              <w:rPr>
                <w:rFonts w:ascii="Times New Roman" w:eastAsiaTheme="minorEastAsia" w:hAnsi="Times New Roman" w:cs="Times New Roman"/>
                <w:szCs w:val="24"/>
              </w:rPr>
            </w:pPr>
          </w:p>
        </w:tc>
        <w:tc>
          <w:tcPr>
            <w:tcW w:w="2145" w:type="dxa"/>
            <w:vMerge w:val="restart"/>
          </w:tcPr>
          <w:p w14:paraId="0AD0D60A"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 xml:space="preserve">Grabowski et </w:t>
            </w:r>
            <w:r w:rsidRPr="00505055">
              <w:rPr>
                <w:rFonts w:ascii="Times New Roman" w:eastAsiaTheme="minorEastAsia" w:hAnsi="Times New Roman" w:cs="Times New Roman"/>
                <w:i/>
                <w:iCs/>
                <w:szCs w:val="24"/>
              </w:rPr>
              <w:t>al.</w:t>
            </w:r>
            <w:r>
              <w:rPr>
                <w:rFonts w:ascii="Times New Roman" w:eastAsiaTheme="minorEastAsia" w:hAnsi="Times New Roman" w:cs="Times New Roman"/>
                <w:szCs w:val="24"/>
              </w:rPr>
              <w:t xml:space="preserve"> </w:t>
            </w:r>
            <w:r>
              <w:rPr>
                <w:rFonts w:ascii="Times New Roman" w:eastAsiaTheme="minorEastAsia" w:hAnsi="Times New Roman" w:cs="Times New Roman"/>
                <w:szCs w:val="24"/>
              </w:rPr>
              <w:fldChar w:fldCharType="begin" w:fldLock="1"/>
            </w:r>
            <w:r>
              <w:rPr>
                <w:rFonts w:ascii="Times New Roman" w:eastAsiaTheme="minorEastAsia" w:hAnsi="Times New Roman" w:cs="Times New Roman"/>
                <w:szCs w:val="24"/>
              </w:rPr>
              <w:instrText>ADDIN CSL_CITATION {"citationItems":[{"id":"ITEM-1","itemData":{"DOI":"10.1080/10641262.2013.846292","ISBN":"2330-8249","ISSN":"2330-8249","abstract":"TheMagnuson-StevensFishery Conservation andManagementAct (MSA) requiresUS fisherymanagement plans to minimize, to the extent practicable, the adverse effects of fishing on essential fish habitats (EFHs). To meet this requirement, fishery managers would ideally be able to quantify such effects and visualize their distributions across space and time. Here, we develop a framework to quantify and assess benthic impacts of the six most common bottom-tending gears (&gt;99% of bottom-tending fishing effort) in New England: otter trawls, scallop dredges, hydraulic clam dredges, gillnets, longlines, and traps. We first conducted a comprehensive review of the habitat impacts literature relevant to Northeast USA fishing gears and seabed types. We then used this information to develop a framework for generating and organizing quantitative susceptibility (based on percent loss of structural habitat from a single interaction with the gear) and recovery (i.e., the time required for recovery of lost structure) parameters for each biological (e.g., sponges, ascidians, mollusks) and geological (e.g., mud burrows, sand ripples, cobble, and boulder piles) feature common to the following five substrates: mud, sand, granule–pebble, cobble, and boulder in low- and high-energy environments. In general, we found that both susceptibility and recovery scores were highest for hydraulic dredges, slightly lower for otter trawls and scallop dredges, and much lower for fixed gears (i.e., gillnets, longlines, and traps). For bottom trawls and scallop dredges, geological features in mud, sand, and cobble-dominated substrates were more susceptible to gear impacts than features found in granule–pebble and boulder substrates.Meanwhile, biological features were largely equally susceptible to impacts across the five substrate types. Average susceptibility scores for both biological and geological substrate features were not affected by energy level. Average recovery times for geological features affected by bottom trawls and dredges were much longer in low-energy granule–pebble, and low- and high-energy cobble and boulder than in mud and sand substrates. Meanwhile, there was no difference among substrates or energy levels for biological feature recovery times. These results collectively suggest that cobble and boulder substrates are the most vulnerable to impacts from mobile bottom-tending gear. Recovery from the relatively minor impacts caused by fixed gear required slightly longer in the thre…","author":[{"dropping-particle":"","family":"Grabowski","given":"Jonathan H.","non-dropping-particle":"","parse-names":false,"suffix":""},{"dropping-particle":"","family":"Bachman","given":"Michelle","non-dropping-particle":"","parse-names":false,"suffix":""},{"dropping-particle":"","family":"Demarest","given":"Chad","non-dropping-particle":"","parse-names":false,"suffix":""},{"dropping-particle":"","family":"Eayrs","given":"Steve","non-dropping-particle":"","parse-names":false,"suffix":""},{"dropping-particle":"","family":"Harris","given":"Bradley P.","non-dropping-particle":"","parse-names":false,"suffix":""},{"dropping-particle":"","family":"Malkoski","given":"Vincent","non-dropping-particle":"","parse-names":false,"suffix":""},{"dropping-particle":"","family":"Packer","given":"David","non-dropping-particle":"","parse-names":false,"suffix":""},{"dropping-particle":"","family":"Stevenson","given":"David","non-dropping-particle":"","parse-names":false,"suffix":""}],"container-title":"Reviews in Fisheries Science &amp; Aquaculture","id":"ITEM-1","issue":"2","issued":{"date-parts":[["2014"]]},"page":"142-155","title":"Assessing the vulnerability of marine benthos to fishing gear impacts","type":"article-journal","volume":"22"},"uris":["http://www.mendeley.com/documents/?uuid=0fdfc60c-c45a-4f76-aa02-dab5cd627953"]}],"mendeley":{"formattedCitation":"(&lt;i&gt;11&lt;/i&gt;)","plainTextFormattedCitation":"(11)","previouslyFormattedCitation":"(&lt;i&gt;11&lt;/i&gt;)"},"properties":{"noteIndex":0},"schema":"https://github.com/citation-style-language/schema/raw/master/csl-citation.json"}</w:instrText>
            </w:r>
            <w:r>
              <w:rPr>
                <w:rFonts w:ascii="Times New Roman" w:eastAsiaTheme="minorEastAsia" w:hAnsi="Times New Roman" w:cs="Times New Roman"/>
                <w:szCs w:val="24"/>
              </w:rPr>
              <w:fldChar w:fldCharType="separate"/>
            </w:r>
            <w:r w:rsidRPr="00505055">
              <w:rPr>
                <w:rFonts w:ascii="Times New Roman" w:eastAsiaTheme="minorEastAsia" w:hAnsi="Times New Roman" w:cs="Times New Roman"/>
                <w:noProof/>
                <w:szCs w:val="24"/>
              </w:rPr>
              <w:t>(</w:t>
            </w:r>
            <w:r w:rsidRPr="00505055">
              <w:rPr>
                <w:rFonts w:ascii="Times New Roman" w:eastAsiaTheme="minorEastAsia" w:hAnsi="Times New Roman" w:cs="Times New Roman"/>
                <w:i/>
                <w:noProof/>
                <w:szCs w:val="24"/>
              </w:rPr>
              <w:t>11</w:t>
            </w:r>
            <w:r w:rsidRPr="00505055">
              <w:rPr>
                <w:rFonts w:ascii="Times New Roman" w:eastAsiaTheme="minorEastAsia" w:hAnsi="Times New Roman" w:cs="Times New Roman"/>
                <w:noProof/>
                <w:szCs w:val="24"/>
              </w:rPr>
              <w:t>)</w:t>
            </w:r>
            <w:r>
              <w:rPr>
                <w:rFonts w:ascii="Times New Roman" w:eastAsiaTheme="minorEastAsia" w:hAnsi="Times New Roman" w:cs="Times New Roman"/>
                <w:szCs w:val="24"/>
              </w:rPr>
              <w:fldChar w:fldCharType="end"/>
            </w:r>
            <w:r w:rsidRPr="00331162">
              <w:rPr>
                <w:rFonts w:ascii="Times New Roman" w:eastAsiaTheme="minorEastAsia" w:hAnsi="Times New Roman" w:cs="Times New Roman"/>
                <w:szCs w:val="24"/>
              </w:rPr>
              <w:t xml:space="preserve"> </w:t>
            </w:r>
          </w:p>
        </w:tc>
        <w:tc>
          <w:tcPr>
            <w:tcW w:w="1530" w:type="dxa"/>
          </w:tcPr>
          <w:p w14:paraId="08AFEEB7" w14:textId="77777777" w:rsidR="00505055" w:rsidRPr="00331162" w:rsidRDefault="00A77D75" w:rsidP="002050CD">
            <w:pPr>
              <w:rPr>
                <w:rFonts w:ascii="Times New Roman" w:eastAsiaTheme="minorEastAsia" w:hAnsi="Times New Roman" w:cs="Times New Roman"/>
                <w:szCs w:val="24"/>
              </w:rPr>
            </w:pPr>
            <m:oMathPara>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τ</m:t>
                    </m:r>
                  </m:e>
                </m:acc>
                <m:r>
                  <w:rPr>
                    <w:rFonts w:ascii="Cambria Math" w:eastAsiaTheme="minorEastAsia" w:hAnsi="Cambria Math" w:cs="Times New Roman"/>
                    <w:szCs w:val="24"/>
                  </w:rPr>
                  <m:t>=2.95</m:t>
                </m:r>
              </m:oMath>
            </m:oMathPara>
          </w:p>
        </w:tc>
        <w:tc>
          <w:tcPr>
            <w:tcW w:w="2880" w:type="dxa"/>
          </w:tcPr>
          <w:p w14:paraId="606594FB"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High energy  cobble habitats</w:t>
            </w:r>
          </w:p>
        </w:tc>
        <w:tc>
          <w:tcPr>
            <w:tcW w:w="2160" w:type="dxa"/>
          </w:tcPr>
          <w:p w14:paraId="34114B5C"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8.69</w:t>
            </w:r>
          </w:p>
        </w:tc>
      </w:tr>
      <w:tr w:rsidR="00505055" w:rsidRPr="00331162" w14:paraId="5B82C08A" w14:textId="77777777" w:rsidTr="002050CD">
        <w:tc>
          <w:tcPr>
            <w:tcW w:w="1180" w:type="dxa"/>
            <w:vMerge/>
          </w:tcPr>
          <w:p w14:paraId="7F5F7EBF" w14:textId="77777777" w:rsidR="00505055" w:rsidRPr="00331162" w:rsidRDefault="00505055" w:rsidP="002050CD">
            <w:pPr>
              <w:rPr>
                <w:rFonts w:ascii="Times New Roman" w:eastAsiaTheme="minorEastAsia" w:hAnsi="Times New Roman" w:cs="Times New Roman"/>
                <w:szCs w:val="24"/>
              </w:rPr>
            </w:pPr>
          </w:p>
        </w:tc>
        <w:tc>
          <w:tcPr>
            <w:tcW w:w="2145" w:type="dxa"/>
            <w:vMerge/>
          </w:tcPr>
          <w:p w14:paraId="0D8E5EEC" w14:textId="77777777" w:rsidR="00505055" w:rsidRPr="00331162" w:rsidRDefault="00505055" w:rsidP="002050CD">
            <w:pPr>
              <w:rPr>
                <w:rFonts w:ascii="Times New Roman" w:eastAsiaTheme="minorEastAsia" w:hAnsi="Times New Roman" w:cs="Times New Roman"/>
                <w:szCs w:val="24"/>
              </w:rPr>
            </w:pPr>
          </w:p>
        </w:tc>
        <w:tc>
          <w:tcPr>
            <w:tcW w:w="1530" w:type="dxa"/>
          </w:tcPr>
          <w:p w14:paraId="29DC4F30" w14:textId="77777777" w:rsidR="00505055" w:rsidRPr="00331162" w:rsidRDefault="00A77D75" w:rsidP="002050CD">
            <w:pPr>
              <w:rPr>
                <w:rFonts w:ascii="Times New Roman" w:eastAsiaTheme="minorEastAsia" w:hAnsi="Times New Roman" w:cs="Times New Roman"/>
                <w:szCs w:val="24"/>
              </w:rPr>
            </w:pPr>
            <m:oMathPara>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τ</m:t>
                    </m:r>
                  </m:e>
                </m:acc>
                <m:r>
                  <w:rPr>
                    <w:rFonts w:ascii="Cambria Math" w:eastAsiaTheme="minorEastAsia" w:hAnsi="Cambria Math" w:cs="Times New Roman"/>
                    <w:szCs w:val="24"/>
                  </w:rPr>
                  <m:t>=2.91</m:t>
                </m:r>
              </m:oMath>
            </m:oMathPara>
          </w:p>
        </w:tc>
        <w:tc>
          <w:tcPr>
            <w:tcW w:w="2880" w:type="dxa"/>
          </w:tcPr>
          <w:p w14:paraId="03D6BAE9"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High energy  boulder habitats</w:t>
            </w:r>
          </w:p>
        </w:tc>
        <w:tc>
          <w:tcPr>
            <w:tcW w:w="2160" w:type="dxa"/>
          </w:tcPr>
          <w:p w14:paraId="5FCD2148"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8.57</w:t>
            </w:r>
          </w:p>
        </w:tc>
      </w:tr>
      <w:tr w:rsidR="00505055" w:rsidRPr="00331162" w14:paraId="7FFEF22C" w14:textId="77777777" w:rsidTr="002050CD">
        <w:tc>
          <w:tcPr>
            <w:tcW w:w="1180" w:type="dxa"/>
            <w:vMerge/>
          </w:tcPr>
          <w:p w14:paraId="422151DD" w14:textId="77777777" w:rsidR="00505055" w:rsidRPr="00331162" w:rsidRDefault="00505055" w:rsidP="002050CD">
            <w:pPr>
              <w:rPr>
                <w:rFonts w:ascii="Times New Roman" w:eastAsiaTheme="minorEastAsia" w:hAnsi="Times New Roman" w:cs="Times New Roman"/>
                <w:szCs w:val="24"/>
              </w:rPr>
            </w:pPr>
          </w:p>
        </w:tc>
        <w:tc>
          <w:tcPr>
            <w:tcW w:w="2145" w:type="dxa"/>
            <w:vMerge/>
          </w:tcPr>
          <w:p w14:paraId="134E5C10" w14:textId="77777777" w:rsidR="00505055" w:rsidRPr="00331162" w:rsidRDefault="00505055" w:rsidP="002050CD">
            <w:pPr>
              <w:rPr>
                <w:rFonts w:ascii="Times New Roman" w:eastAsiaTheme="minorEastAsia" w:hAnsi="Times New Roman" w:cs="Times New Roman"/>
                <w:szCs w:val="24"/>
              </w:rPr>
            </w:pPr>
          </w:p>
        </w:tc>
        <w:tc>
          <w:tcPr>
            <w:tcW w:w="1530" w:type="dxa"/>
          </w:tcPr>
          <w:p w14:paraId="402E7DF2" w14:textId="77777777" w:rsidR="00505055" w:rsidRPr="00331162" w:rsidRDefault="00A77D75" w:rsidP="002050CD">
            <w:pPr>
              <w:rPr>
                <w:rFonts w:ascii="Times New Roman" w:eastAsiaTheme="minorEastAsia" w:hAnsi="Times New Roman" w:cs="Times New Roman"/>
                <w:szCs w:val="24"/>
              </w:rPr>
            </w:pPr>
            <m:oMathPara>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τ</m:t>
                    </m:r>
                  </m:e>
                </m:acc>
                <m:r>
                  <w:rPr>
                    <w:rFonts w:ascii="Cambria Math" w:eastAsiaTheme="minorEastAsia" w:hAnsi="Cambria Math" w:cs="Times New Roman"/>
                    <w:szCs w:val="24"/>
                  </w:rPr>
                  <m:t>=3.10</m:t>
                </m:r>
              </m:oMath>
            </m:oMathPara>
          </w:p>
        </w:tc>
        <w:tc>
          <w:tcPr>
            <w:tcW w:w="2880" w:type="dxa"/>
          </w:tcPr>
          <w:p w14:paraId="52A2863A"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Low energy  cobble habitats</w:t>
            </w:r>
          </w:p>
        </w:tc>
        <w:tc>
          <w:tcPr>
            <w:tcW w:w="2160" w:type="dxa"/>
          </w:tcPr>
          <w:p w14:paraId="40044CB1"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9.13</w:t>
            </w:r>
          </w:p>
        </w:tc>
      </w:tr>
      <w:tr w:rsidR="00505055" w:rsidRPr="00331162" w14:paraId="1F703ACB" w14:textId="77777777" w:rsidTr="002050CD">
        <w:tc>
          <w:tcPr>
            <w:tcW w:w="1180" w:type="dxa"/>
            <w:vMerge/>
          </w:tcPr>
          <w:p w14:paraId="729D73F3" w14:textId="77777777" w:rsidR="00505055" w:rsidRPr="00331162" w:rsidRDefault="00505055" w:rsidP="002050CD">
            <w:pPr>
              <w:rPr>
                <w:rFonts w:ascii="Times New Roman" w:eastAsiaTheme="minorEastAsia" w:hAnsi="Times New Roman" w:cs="Times New Roman"/>
                <w:szCs w:val="24"/>
              </w:rPr>
            </w:pPr>
          </w:p>
        </w:tc>
        <w:tc>
          <w:tcPr>
            <w:tcW w:w="2145" w:type="dxa"/>
            <w:vMerge/>
          </w:tcPr>
          <w:p w14:paraId="1D7615C2" w14:textId="77777777" w:rsidR="00505055" w:rsidRPr="00331162" w:rsidRDefault="00505055" w:rsidP="002050CD">
            <w:pPr>
              <w:rPr>
                <w:rFonts w:ascii="Times New Roman" w:eastAsiaTheme="minorEastAsia" w:hAnsi="Times New Roman" w:cs="Times New Roman"/>
                <w:szCs w:val="24"/>
              </w:rPr>
            </w:pPr>
          </w:p>
        </w:tc>
        <w:tc>
          <w:tcPr>
            <w:tcW w:w="1530" w:type="dxa"/>
          </w:tcPr>
          <w:p w14:paraId="562D7D48" w14:textId="77777777" w:rsidR="00505055" w:rsidRPr="00331162" w:rsidRDefault="00A77D75" w:rsidP="002050CD">
            <w:pPr>
              <w:rPr>
                <w:rFonts w:ascii="Times New Roman" w:eastAsiaTheme="minorEastAsia" w:hAnsi="Times New Roman" w:cs="Times New Roman"/>
                <w:szCs w:val="24"/>
              </w:rPr>
            </w:pPr>
            <m:oMathPara>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τ</m:t>
                    </m:r>
                  </m:e>
                </m:acc>
                <m:r>
                  <w:rPr>
                    <w:rFonts w:ascii="Cambria Math" w:eastAsiaTheme="minorEastAsia" w:hAnsi="Cambria Math" w:cs="Times New Roman"/>
                    <w:szCs w:val="24"/>
                  </w:rPr>
                  <m:t>=3.06</m:t>
                </m:r>
              </m:oMath>
            </m:oMathPara>
          </w:p>
        </w:tc>
        <w:tc>
          <w:tcPr>
            <w:tcW w:w="2880" w:type="dxa"/>
          </w:tcPr>
          <w:p w14:paraId="2A2C09C6"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Low energy  boulder habitats</w:t>
            </w:r>
          </w:p>
        </w:tc>
        <w:tc>
          <w:tcPr>
            <w:tcW w:w="2160" w:type="dxa"/>
          </w:tcPr>
          <w:p w14:paraId="767FC9DE"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9.01</w:t>
            </w:r>
          </w:p>
        </w:tc>
      </w:tr>
      <w:tr w:rsidR="00505055" w:rsidRPr="00331162" w14:paraId="7D8F054C" w14:textId="77777777" w:rsidTr="002050CD">
        <w:tc>
          <w:tcPr>
            <w:tcW w:w="1180" w:type="dxa"/>
          </w:tcPr>
          <w:p w14:paraId="2F8C3C03"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Rocky reef</w:t>
            </w:r>
          </w:p>
        </w:tc>
        <w:tc>
          <w:tcPr>
            <w:tcW w:w="2145" w:type="dxa"/>
          </w:tcPr>
          <w:p w14:paraId="31E716C2" w14:textId="785C9D5A"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 xml:space="preserve">Graham et </w:t>
            </w:r>
            <w:r w:rsidRPr="00505055">
              <w:rPr>
                <w:rFonts w:ascii="Times New Roman" w:eastAsiaTheme="minorEastAsia" w:hAnsi="Times New Roman" w:cs="Times New Roman"/>
                <w:i/>
                <w:iCs/>
                <w:szCs w:val="24"/>
              </w:rPr>
              <w:t>al.</w:t>
            </w:r>
            <w:r>
              <w:rPr>
                <w:rFonts w:ascii="Times New Roman" w:eastAsiaTheme="minorEastAsia" w:hAnsi="Times New Roman" w:cs="Times New Roman"/>
                <w:szCs w:val="24"/>
              </w:rPr>
              <w:t xml:space="preserve"> </w:t>
            </w:r>
            <w:r>
              <w:rPr>
                <w:rFonts w:ascii="Times New Roman" w:eastAsiaTheme="minorEastAsia" w:hAnsi="Times New Roman" w:cs="Times New Roman"/>
                <w:szCs w:val="24"/>
              </w:rPr>
              <w:fldChar w:fldCharType="begin" w:fldLock="1"/>
            </w:r>
            <w:r>
              <w:rPr>
                <w:rFonts w:ascii="Times New Roman" w:eastAsiaTheme="minorEastAsia" w:hAnsi="Times New Roman" w:cs="Times New Roman"/>
                <w:szCs w:val="24"/>
              </w:rPr>
              <w:instrText>ADDIN CSL_CITATION {"citationItems":[{"id":"ITEM-1","itemData":{"DOI":"10.1007/s00338-010-0717-z","ISSN":"07224028","abstract":"Coral reef ecosystems are degrading through multiple disturbances that are becoming more frequent and severe. The complexities of this degradation have been studied in detail, but little work has assessed characteristics that allow reefs to bounce back and recover between pulse disturbance events. We quantitatively review recovery rates of coral cover from pulse disturbance events among 48 different reef locations, testing the relative roles of disturbance characteristics, reef characteristics, connectiv- ity and anthropogenic influences. Reefs in the western Pacific Ocean had the fastest recovery, whereas reefs in the geographically isolated eastern Pacific Ocean were slowest to recover, reflecting regional differences in coral compo- sition, fish functional diversity and geographic isolation. Disturbances that opened up large areas of benthic space recovered quickly, potentially because of nonlinear recovery where recruitment rates were high. The type of disturbance had a limited effect on subsequent rates of reef recovery, although recovery was faster following crown- of-thorns starfish outbreaks. This inconsequential role of disturbance type may be in part due to the role of unaltered structural complexity in maintaining key reef processes, such as recruitment and herbivory. Few studies explicitly recorded potential ecological determinants of recovery, such as recruitment rates, structural complexity of habitat and the functional composition of reef-associated fish. There was some evidence of slower recovery rates within protected areas compared with other management systems and fished areas, which may reflect the higher initial coral cover in protected areas rather than reflecting a manage- ment effect. A better understanding of the driving role of processes, structural complexity and diversity on recovery may enable more appropriate management actions that support coral-dominated ecosystems in our changing climate","author":[{"dropping-particle":"","family":"Graham","given":"N. A.J.","non-dropping-particle":"","parse-names":false,"suffix":""},{"dropping-particle":"","family":"Nash","given":"K. L.","non-dropping-particle":"","parse-names":false,"suffix":""},{"dropping-particle":"","family":"Kool","given":"J. T.","non-dropping-particle":"","parse-names":false,"suffix":""}],"container-title":"Coral Reefs","id":"ITEM-1","issue":"2","issued":{"date-parts":[["2011"]]},"page":"283-294","title":"Coral reef recovery dynamics in a changing world","type":"article-journal","volume":"30"},"uris":["http://www.mendeley.com/documents/?uuid=da190854-2471-4286-9490-56181e75d68f"]}],"mendeley":{"formattedCitation":"(&lt;i&gt;36&lt;/i&gt;)","plainTextFormattedCitation":"(36)","previouslyFormattedCitation":"(&lt;i&gt;36&lt;/i&gt;)"},"properties":{"noteIndex":0},"schema":"https://github.com/citation-style-language/schema/raw/master/csl-citation.json"}</w:instrText>
            </w:r>
            <w:r>
              <w:rPr>
                <w:rFonts w:ascii="Times New Roman" w:eastAsiaTheme="minorEastAsia" w:hAnsi="Times New Roman" w:cs="Times New Roman"/>
                <w:szCs w:val="24"/>
              </w:rPr>
              <w:fldChar w:fldCharType="separate"/>
            </w:r>
            <w:r w:rsidRPr="00505055">
              <w:rPr>
                <w:rFonts w:ascii="Times New Roman" w:eastAsiaTheme="minorEastAsia" w:hAnsi="Times New Roman" w:cs="Times New Roman"/>
                <w:noProof/>
                <w:szCs w:val="24"/>
              </w:rPr>
              <w:t>(</w:t>
            </w:r>
            <w:r w:rsidRPr="00505055">
              <w:rPr>
                <w:rFonts w:ascii="Times New Roman" w:eastAsiaTheme="minorEastAsia" w:hAnsi="Times New Roman" w:cs="Times New Roman"/>
                <w:i/>
                <w:noProof/>
                <w:szCs w:val="24"/>
              </w:rPr>
              <w:t>36</w:t>
            </w:r>
            <w:r w:rsidRPr="00505055">
              <w:rPr>
                <w:rFonts w:ascii="Times New Roman" w:eastAsiaTheme="minorEastAsia" w:hAnsi="Times New Roman" w:cs="Times New Roman"/>
                <w:noProof/>
                <w:szCs w:val="24"/>
              </w:rPr>
              <w:t>)</w:t>
            </w:r>
            <w:r>
              <w:rPr>
                <w:rFonts w:ascii="Times New Roman" w:eastAsiaTheme="minorEastAsia" w:hAnsi="Times New Roman" w:cs="Times New Roman"/>
                <w:szCs w:val="24"/>
              </w:rPr>
              <w:fldChar w:fldCharType="end"/>
            </w:r>
          </w:p>
        </w:tc>
        <w:tc>
          <w:tcPr>
            <w:tcW w:w="1530" w:type="dxa"/>
          </w:tcPr>
          <w:p w14:paraId="0960D7E3" w14:textId="77777777" w:rsidR="00505055" w:rsidRPr="00331162" w:rsidRDefault="00A77D75" w:rsidP="002050CD">
            <w:pPr>
              <w:rPr>
                <w:rFonts w:ascii="Times New Roman" w:eastAsiaTheme="minorEastAsia" w:hAnsi="Times New Roman" w:cs="Times New Roman"/>
                <w:szCs w:val="24"/>
              </w:rPr>
            </w:pPr>
            <m:oMathPara>
              <m:oMathParaPr>
                <m:jc m:val="left"/>
              </m:oMathPara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rp</m:t>
                    </m:r>
                  </m:sub>
                </m:sSub>
                <m:r>
                  <w:rPr>
                    <w:rFonts w:ascii="Cambria Math" w:eastAsiaTheme="minorEastAsia" w:hAnsi="Cambria Math" w:cs="Times New Roman"/>
                    <w:szCs w:val="24"/>
                  </w:rPr>
                  <m:t>=0.0356</m:t>
                </m:r>
              </m:oMath>
            </m:oMathPara>
          </w:p>
        </w:tc>
        <w:tc>
          <w:tcPr>
            <w:tcW w:w="2880" w:type="dxa"/>
          </w:tcPr>
          <w:p w14:paraId="6346D6E9" w14:textId="77777777" w:rsidR="00505055" w:rsidRPr="00331162" w:rsidRDefault="00505055" w:rsidP="002050CD">
            <w:pPr>
              <w:rPr>
                <w:rFonts w:ascii="Times New Roman" w:eastAsiaTheme="minorEastAsia" w:hAnsi="Times New Roman" w:cs="Times New Roman"/>
                <w:szCs w:val="24"/>
              </w:rPr>
            </w:pPr>
          </w:p>
        </w:tc>
        <w:tc>
          <w:tcPr>
            <w:tcW w:w="2160" w:type="dxa"/>
          </w:tcPr>
          <w:p w14:paraId="2FAF925F" w14:textId="77777777" w:rsidR="00505055" w:rsidRPr="00331162" w:rsidRDefault="00505055" w:rsidP="002050CD">
            <w:pPr>
              <w:rPr>
                <w:rFonts w:ascii="Times New Roman" w:eastAsiaTheme="minorEastAsia" w:hAnsi="Times New Roman" w:cs="Times New Roman"/>
                <w:szCs w:val="24"/>
              </w:rPr>
            </w:pPr>
            <w:r w:rsidRPr="00331162">
              <w:rPr>
                <w:rFonts w:ascii="Times New Roman" w:eastAsiaTheme="minorEastAsia" w:hAnsi="Times New Roman" w:cs="Times New Roman"/>
                <w:szCs w:val="24"/>
              </w:rPr>
              <w:t>25.28</w:t>
            </w:r>
          </w:p>
        </w:tc>
      </w:tr>
    </w:tbl>
    <w:p w14:paraId="72CB3D0D" w14:textId="77777777" w:rsidR="00505055" w:rsidRDefault="00505055" w:rsidP="00505055">
      <w:pPr>
        <w:pStyle w:val="Heading2"/>
      </w:pPr>
    </w:p>
    <w:p w14:paraId="79F21315" w14:textId="77777777" w:rsidR="00505055" w:rsidRPr="00024214" w:rsidRDefault="00505055" w:rsidP="00505055"/>
    <w:p w14:paraId="6F0C7995" w14:textId="77777777" w:rsidR="00D208ED" w:rsidRPr="00935F46" w:rsidRDefault="00D208ED" w:rsidP="00D208ED">
      <w:pPr>
        <w:spacing w:line="360" w:lineRule="auto"/>
        <w:rPr>
          <w:szCs w:val="24"/>
          <w:u w:val="single"/>
        </w:rPr>
      </w:pPr>
      <w:r w:rsidRPr="00935F46">
        <w:rPr>
          <w:szCs w:val="24"/>
          <w:u w:val="single"/>
        </w:rPr>
        <w:t>Model runs</w:t>
      </w:r>
    </w:p>
    <w:p w14:paraId="4CA13686" w14:textId="77777777" w:rsidR="00D208ED" w:rsidRPr="00941DD5" w:rsidRDefault="00D208ED" w:rsidP="00D208ED">
      <w:pPr>
        <w:spacing w:line="360" w:lineRule="auto"/>
        <w:ind w:firstLine="540"/>
        <w:rPr>
          <w:szCs w:val="24"/>
        </w:rPr>
      </w:pPr>
      <w:r w:rsidRPr="00941DD5">
        <w:rPr>
          <w:szCs w:val="24"/>
        </w:rPr>
        <w:t xml:space="preserve">Three types of model runs were used in these analyses: 1) initial condition burn-in, 2) baseline model runs, and 3) forward projection scenarios.  To create reasonable initial conditions of seafloor disturbance for the start of the baseline model, we first conducted a “burn-in” model run.  This entailed setting seafloor disturbance to 0% for all grid cells domain-wide for the initial conditions of the burn-in and randomly selecting and applying effort levels from all available years of fishing effort data for each respective month (e.g., for each January in the burn-in, a random January realization of effort was </w:t>
      </w:r>
      <w:r w:rsidRPr="00941DD5">
        <w:rPr>
          <w:szCs w:val="24"/>
        </w:rPr>
        <w:lastRenderedPageBreak/>
        <w:t xml:space="preserve">selected from 2013-2018).  This burn-in was run for 30 years to allow ample time for seafloor disturbance to equilibrate under effort levels representative of current fishing levels.  </w:t>
      </w:r>
    </w:p>
    <w:p w14:paraId="5FB59403" w14:textId="72289864" w:rsidR="00D208ED" w:rsidRPr="00941DD5" w:rsidRDefault="00D208ED" w:rsidP="00D208ED">
      <w:pPr>
        <w:spacing w:line="360" w:lineRule="auto"/>
        <w:ind w:firstLine="540"/>
        <w:rPr>
          <w:szCs w:val="24"/>
        </w:rPr>
      </w:pPr>
      <w:r w:rsidRPr="00941DD5">
        <w:rPr>
          <w:szCs w:val="24"/>
        </w:rPr>
        <w:t xml:space="preserve">Next, the baseline model was run using the final month results of the burn-in as its initial conditions.  The baseline model was run using monthly fishing effort data in consecutive order from 2013 - 2018.  Results presented in the main text reflect the estimates for December 2018, the terminal month of the fishing effort data.  Based on discussions with the data providers, some LMEs, particularly at lower latitudes, were known to have low AIS coverage of their trawl fisheries.  We identified ten LMEs as likely to have low AIS coverage of their bottom-tendered gear fleets by identifying LMEs that were univariate outliers in their ratio of 2014 total harvest to fishing effort (Fig. </w:t>
      </w:r>
      <w:r w:rsidR="00505055">
        <w:rPr>
          <w:szCs w:val="24"/>
        </w:rPr>
        <w:t>S</w:t>
      </w:r>
      <w:r w:rsidRPr="00941DD5">
        <w:rPr>
          <w:szCs w:val="24"/>
        </w:rPr>
        <w:t>1).  We upward adjusted estimated seafloor disturbance for these LMEs using k-means clustering to group all LMEs into ten catch groups based on their harvest profiles (proportional harvest of functional groups).  For each catch group, we used a linear model relating logit-transformed seafloor disturbance (%) to logged total harvest (mt year</w:t>
      </w:r>
      <w:r w:rsidRPr="00941DD5">
        <w:rPr>
          <w:szCs w:val="24"/>
          <w:vertAlign w:val="superscript"/>
        </w:rPr>
        <w:t>-1</w:t>
      </w:r>
      <w:r w:rsidRPr="00941DD5">
        <w:rPr>
          <w:szCs w:val="24"/>
        </w:rPr>
        <w:t>) using the remaining LMEs with high AIS coverage.  Adjusted estimates for the low coverage LMEs were then estimated from these models.  At the global scale, this increased estimated seafloor disturbance from 2.9 million km</w:t>
      </w:r>
      <w:r w:rsidRPr="00941DD5">
        <w:rPr>
          <w:szCs w:val="24"/>
          <w:vertAlign w:val="superscript"/>
        </w:rPr>
        <w:t>2</w:t>
      </w:r>
      <w:r w:rsidRPr="00941DD5">
        <w:rPr>
          <w:szCs w:val="24"/>
        </w:rPr>
        <w:t xml:space="preserve"> (unadjusted estimated) to 3.4 million km</w:t>
      </w:r>
      <w:r w:rsidRPr="00941DD5">
        <w:rPr>
          <w:szCs w:val="24"/>
          <w:vertAlign w:val="superscript"/>
        </w:rPr>
        <w:t>2</w:t>
      </w:r>
      <w:r w:rsidRPr="00941DD5">
        <w:rPr>
          <w:szCs w:val="24"/>
        </w:rPr>
        <w:t xml:space="preserve"> (adjusted estimate, reported in main text), a 13% increase (see Table </w:t>
      </w:r>
      <w:r w:rsidR="00505055">
        <w:rPr>
          <w:szCs w:val="24"/>
        </w:rPr>
        <w:t>S</w:t>
      </w:r>
      <w:r w:rsidRPr="00941DD5">
        <w:rPr>
          <w:szCs w:val="24"/>
        </w:rPr>
        <w:t xml:space="preserve">1 for LME-specific adjusted values).  These effort-adjusted LMEs were excluded from subsequent harvest and contact adjustment scenario analyses.    </w:t>
      </w:r>
    </w:p>
    <w:p w14:paraId="53FC0F0E" w14:textId="77777777" w:rsidR="00D208ED" w:rsidRPr="00941DD5" w:rsidRDefault="00D208ED" w:rsidP="00D208ED">
      <w:pPr>
        <w:spacing w:line="360" w:lineRule="auto"/>
        <w:ind w:firstLine="540"/>
        <w:rPr>
          <w:szCs w:val="24"/>
        </w:rPr>
      </w:pPr>
      <w:r w:rsidRPr="00941DD5">
        <w:rPr>
          <w:szCs w:val="24"/>
        </w:rPr>
        <w:t>Four forward projection scenarios were conducted: 1) current fishing effort, 2) MSY fishing effort, 3) current fishing effort with contact reduction, and 4) MSY fishing effort with contact reduction.  The terminal month of the baseline model was used as initial conditions for all forward projection model runs.  For each run of the forward projection scenarios, fishing effort for each month was randomly selected from all available years (same process as the random selection for the initial condition burn-in).  In the current fishing effort scenario, we drew directly from the realized fishing data.  The MSY scenario adjusted the realized fishing data with an LME-specific parameter representing the ratio of estimated fishing effort at MSY to baseline fishing effort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msy</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base</m:t>
            </m:r>
          </m:sub>
        </m:sSub>
      </m:oMath>
      <w:r w:rsidRPr="00941DD5">
        <w:rPr>
          <w:rFonts w:eastAsiaTheme="minorEastAsia"/>
          <w:szCs w:val="24"/>
        </w:rPr>
        <w:t xml:space="preserve">).  The contact adjustment scenarios used realized fishing effort, but adjusted impacts over a range of contact reductions (0%, 10%, 20%, 30%, 40%, and 50%).  The MSY fishing with contact reduction was a combination of the two scenarios.  </w:t>
      </w:r>
      <w:r w:rsidRPr="00941DD5">
        <w:rPr>
          <w:szCs w:val="24"/>
        </w:rPr>
        <w:t xml:space="preserve">These forward projections were each run for 30 years, using the mean of the last 15 years as reported values.  Uncertainty in these estimates was calculated from the standard error of these means, and reflect the variability in year-to-year fishing effort intensity and spatial distribution of fishing effort.  All reported </w:t>
      </w:r>
      <w:r w:rsidRPr="00941DD5">
        <w:rPr>
          <w:szCs w:val="24"/>
        </w:rPr>
        <w:lastRenderedPageBreak/>
        <w:t xml:space="preserve">estimates of relative change in seafloor disturbance for the MSY, contact reduction, and MSY/contact reduction scenarios are relative to the current fishing effort scenario.      </w:t>
      </w:r>
    </w:p>
    <w:p w14:paraId="07DA6F5F" w14:textId="77777777" w:rsidR="00D208ED" w:rsidRPr="00941DD5" w:rsidRDefault="00D208ED" w:rsidP="00D208ED">
      <w:pPr>
        <w:spacing w:line="360" w:lineRule="auto"/>
        <w:rPr>
          <w:szCs w:val="24"/>
        </w:rPr>
      </w:pPr>
      <w:r w:rsidRPr="00941DD5">
        <w:rPr>
          <w:szCs w:val="24"/>
        </w:rPr>
        <w:t>MSY forward projection scenarios</w:t>
      </w:r>
    </w:p>
    <w:p w14:paraId="61EF3679" w14:textId="08DCAF5C" w:rsidR="00D208ED" w:rsidRPr="00941DD5" w:rsidRDefault="00D208ED" w:rsidP="00D208ED">
      <w:pPr>
        <w:spacing w:line="360" w:lineRule="auto"/>
        <w:ind w:firstLine="720"/>
        <w:rPr>
          <w:szCs w:val="24"/>
        </w:rPr>
      </w:pPr>
      <w:r w:rsidRPr="00941DD5">
        <w:rPr>
          <w:szCs w:val="24"/>
        </w:rPr>
        <w:t xml:space="preserve">Running the MSY scenarios required estimation of the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msy</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base</m:t>
            </m:r>
          </m:sub>
        </m:sSub>
      </m:oMath>
      <w:r w:rsidRPr="00941DD5">
        <w:rPr>
          <w:rFonts w:eastAsiaTheme="minorEastAsia"/>
          <w:szCs w:val="24"/>
        </w:rPr>
        <w:t xml:space="preserve"> ratio for each LME as well as estimating fishery yield at MSY.  </w:t>
      </w:r>
      <w:r w:rsidRPr="00941DD5">
        <w:rPr>
          <w:szCs w:val="24"/>
        </w:rPr>
        <w:t xml:space="preserve">This required first estimating the exploitation rate, </w:t>
      </w:r>
      <m:oMath>
        <m:r>
          <w:rPr>
            <w:rFonts w:ascii="Cambria Math" w:hAnsi="Cambria Math"/>
            <w:szCs w:val="24"/>
          </w:rPr>
          <m:t>U</m:t>
        </m:r>
      </m:oMath>
      <w:r w:rsidRPr="00941DD5">
        <w:rPr>
          <w:rFonts w:eastAsiaTheme="minorEastAsia"/>
          <w:szCs w:val="24"/>
        </w:rPr>
        <w:t xml:space="preserve">, and standing biomass, </w:t>
      </w:r>
      <m:oMath>
        <m:r>
          <w:rPr>
            <w:rFonts w:ascii="Cambria Math" w:eastAsiaTheme="minorEastAsia" w:hAnsi="Cambria Math"/>
            <w:szCs w:val="24"/>
          </w:rPr>
          <m:t>B</m:t>
        </m:r>
      </m:oMath>
      <w:r w:rsidRPr="00941DD5">
        <w:rPr>
          <w:rFonts w:eastAsiaTheme="minorEastAsia"/>
          <w:szCs w:val="24"/>
        </w:rPr>
        <w:t>, for trawl caught stocks both at MSY (</w:t>
      </w:r>
      <m:oMath>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msy</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msy</m:t>
            </m:r>
          </m:sub>
        </m:sSub>
      </m:oMath>
      <w:r w:rsidRPr="00941DD5">
        <w:rPr>
          <w:rFonts w:eastAsiaTheme="minorEastAsia"/>
          <w:szCs w:val="24"/>
        </w:rPr>
        <w:t>) and baseline levels (</w:t>
      </w:r>
      <m:oMath>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base</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base</m:t>
            </m:r>
          </m:sub>
        </m:sSub>
      </m:oMath>
      <w:r w:rsidRPr="00941DD5">
        <w:rPr>
          <w:rFonts w:eastAsiaTheme="minorEastAsia"/>
          <w:szCs w:val="24"/>
        </w:rPr>
        <w:t xml:space="preserve">).  </w:t>
      </w:r>
      <w:r w:rsidRPr="00941DD5">
        <w:rPr>
          <w:color w:val="000000"/>
          <w:szCs w:val="24"/>
        </w:rPr>
        <w:t xml:space="preserve">We estimated these parameters using Robin-Hood cMSY (RH-cMSY) </w:t>
      </w:r>
      <w:r w:rsidRPr="00941DD5">
        <w:rPr>
          <w:color w:val="000000"/>
          <w:szCs w:val="24"/>
        </w:rPr>
        <w:fldChar w:fldCharType="begin" w:fldLock="1"/>
      </w:r>
      <w:r>
        <w:rPr>
          <w:color w:val="000000"/>
          <w:szCs w:val="24"/>
        </w:rPr>
        <w:instrText>ADDIN CSL_CITATION {"citationItems":[{"id":"ITEM-1","itemData":{"DOI":"https://doi.org/10.5281/zenodo.3866384","URL":"https://github.com/cfree14/rh_cmsy/","author":[{"dropping-particle":"","family":"Free","given":"Chris M.","non-dropping-particle":"","parse-names":false,"suffix":""},{"dropping-particle":"","family":"Jensen","given":"Olaf P.","non-dropping-particle":"","parse-names":false,"suffix":""}],"id":"ITEM-1","issued":{"date-parts":[["2020"]]},"title":"Robin Hood cMSY: using catch data and borrowed information to assess data-poor fish stocks","type":"webpage"},"uris":["http://www.mendeley.com/documents/?uuid=4083b556-7bd6-49a1-a8a8-6c0b2a0c0dfd"]}],"mendeley":{"formattedCitation":"(&lt;i&gt;23&lt;/i&gt;)","plainTextFormattedCitation":"(23)","previouslyFormattedCitation":"(&lt;i&gt;23&lt;/i&gt;)"},"properties":{"noteIndex":0},"schema":"https://github.com/citation-style-language/schema/raw/master/csl-citation.json"}</w:instrText>
      </w:r>
      <w:r w:rsidRPr="00941DD5">
        <w:rPr>
          <w:color w:val="000000"/>
          <w:szCs w:val="24"/>
        </w:rPr>
        <w:fldChar w:fldCharType="separate"/>
      </w:r>
      <w:r w:rsidRPr="003F3902">
        <w:rPr>
          <w:noProof/>
          <w:color w:val="000000"/>
          <w:szCs w:val="24"/>
        </w:rPr>
        <w:t>(</w:t>
      </w:r>
      <w:r w:rsidRPr="003F3902">
        <w:rPr>
          <w:i/>
          <w:noProof/>
          <w:color w:val="000000"/>
          <w:szCs w:val="24"/>
        </w:rPr>
        <w:t>23</w:t>
      </w:r>
      <w:r w:rsidRPr="003F3902">
        <w:rPr>
          <w:noProof/>
          <w:color w:val="000000"/>
          <w:szCs w:val="24"/>
        </w:rPr>
        <w:t>)</w:t>
      </w:r>
      <w:r w:rsidRPr="00941DD5">
        <w:rPr>
          <w:color w:val="000000"/>
          <w:szCs w:val="24"/>
        </w:rPr>
        <w:fldChar w:fldCharType="end"/>
      </w:r>
      <w:r w:rsidRPr="00941DD5">
        <w:rPr>
          <w:color w:val="000000"/>
          <w:szCs w:val="24"/>
        </w:rPr>
        <w:t>, an adaptation of the catch-MSY catch-only stock assessment method</w:t>
      </w:r>
      <w:r w:rsidR="00B61AD6">
        <w:rPr>
          <w:color w:val="000000"/>
          <w:szCs w:val="24"/>
        </w:rPr>
        <w:t xml:space="preserve"> </w:t>
      </w:r>
      <w:r w:rsidRPr="00941DD5">
        <w:rPr>
          <w:color w:val="000000"/>
          <w:szCs w:val="24"/>
        </w:rPr>
        <w:fldChar w:fldCharType="begin" w:fldLock="1"/>
      </w:r>
      <w:r>
        <w:rPr>
          <w:color w:val="000000"/>
          <w:szCs w:val="24"/>
        </w:rPr>
        <w:instrText>ADDIN CSL_CITATION {"citationItems":[{"id":"ITEM-1","itemData":{"DOI":"10.1111/j.1467-2979.2012.00485.x","author":[{"dropping-particle":"","family":"Martell","given":"Steven","non-dropping-particle":"","parse-names":false,"suffix":""},{"dropping-particle":"","family":"Froese","given":"Rainer","non-dropping-particle":"","parse-names":false,"suffix":""}],"container-title":"Fish and Fisheries","id":"ITEM-1","issued":{"date-parts":[["2013"]]},"page":"504-514","title":"A simple method for estimating MSY from catch and resilience","type":"article-journal","volume":"14"},"uris":["http://www.mendeley.com/documents/?uuid=60768eaf-08f7-4d13-b9b0-0ab3d286ed2a","http://www.mendeley.com/documents/?uuid=640eada5-7caf-491c-96a8-5fd4396ed618"]},{"id":"ITEM-2","itemData":{"DOI":"10.1111/faf.12190","author":[{"dropping-particle":"","family":"Froese","given":"Rainer","non-dropping-particle":"","parse-names":false,"suffix":""},{"dropping-particle":"","family":"Demirel","given":"Nazli","non-dropping-particle":"","parse-names":false,"suffix":""},{"dropping-particle":"","family":"Coro","given":"Gianpaolo","non-dropping-particle":"","parse-names":false,"suffix":""},{"dropping-particle":"","family":"Kleisner","given":"Kristin M","non-dropping-particle":"","parse-names":false,"suffix":""},{"dropping-particle":"","family":"Winker","given":"Henning","non-dropping-particle":"","parse-names":false,"suffix":""}],"container-title":"Fish and Fisheries","id":"ITEM-2","issued":{"date-parts":[["2017"]]},"page":"506-526","title":"Estimating fisheries reference points from catch and resilience","type":"article-journal","volume":"18"},"uris":["http://www.mendeley.com/documents/?uuid=238d73a4-1c49-4b5f-bb35-5649319a4af5","http://www.mendeley.com/documents/?uuid=6ca48610-8462-4bcd-90fc-9ee675e7ae4c"]}],"mendeley":{"formattedCitation":"(&lt;i&gt;37&lt;/i&gt;, &lt;i&gt;38&lt;/i&gt;)","plainTextFormattedCitation":"(37, 38)","previouslyFormattedCitation":"(&lt;i&gt;37&lt;/i&gt;, &lt;i&gt;38&lt;/i&gt;)"},"properties":{"noteIndex":0},"schema":"https://github.com/citation-style-language/schema/raw/master/csl-citation.json"}</w:instrText>
      </w:r>
      <w:r w:rsidRPr="00941DD5">
        <w:rPr>
          <w:color w:val="000000"/>
          <w:szCs w:val="24"/>
        </w:rPr>
        <w:fldChar w:fldCharType="separate"/>
      </w:r>
      <w:r w:rsidRPr="003F3902">
        <w:rPr>
          <w:noProof/>
          <w:color w:val="000000"/>
          <w:szCs w:val="24"/>
        </w:rPr>
        <w:t>(</w:t>
      </w:r>
      <w:r w:rsidRPr="003F3902">
        <w:rPr>
          <w:i/>
          <w:noProof/>
          <w:color w:val="000000"/>
          <w:szCs w:val="24"/>
        </w:rPr>
        <w:t>37</w:t>
      </w:r>
      <w:r w:rsidRPr="003F3902">
        <w:rPr>
          <w:noProof/>
          <w:color w:val="000000"/>
          <w:szCs w:val="24"/>
        </w:rPr>
        <w:t xml:space="preserve">, </w:t>
      </w:r>
      <w:r w:rsidRPr="003F3902">
        <w:rPr>
          <w:i/>
          <w:noProof/>
          <w:color w:val="000000"/>
          <w:szCs w:val="24"/>
        </w:rPr>
        <w:t>38</w:t>
      </w:r>
      <w:r w:rsidRPr="003F3902">
        <w:rPr>
          <w:noProof/>
          <w:color w:val="000000"/>
          <w:szCs w:val="24"/>
        </w:rPr>
        <w:t>)</w:t>
      </w:r>
      <w:r w:rsidRPr="00941DD5">
        <w:rPr>
          <w:color w:val="000000"/>
          <w:szCs w:val="24"/>
        </w:rPr>
        <w:fldChar w:fldCharType="end"/>
      </w:r>
      <w:r w:rsidRPr="00941DD5">
        <w:rPr>
          <w:color w:val="000000"/>
          <w:szCs w:val="24"/>
        </w:rPr>
        <w:t>, to assess marine fish and invertebrate stocks in the Sea Around Us Database</w:t>
      </w:r>
      <w:r w:rsidR="00B61AD6">
        <w:rPr>
          <w:color w:val="000000"/>
          <w:szCs w:val="24"/>
        </w:rPr>
        <w:t xml:space="preserve"> </w:t>
      </w:r>
      <w:r w:rsidRPr="00941DD5">
        <w:rPr>
          <w:color w:val="000000"/>
          <w:szCs w:val="24"/>
        </w:rPr>
        <w:fldChar w:fldCharType="begin" w:fldLock="1"/>
      </w:r>
      <w:r>
        <w:rPr>
          <w:color w:val="000000"/>
          <w:szCs w:val="24"/>
        </w:rPr>
        <w:instrText>ADDIN CSL_CITATION {"citationItems":[{"id":"ITEM-1","itemData":{"URL":"seaaroundus.org","accessed":{"date-parts":[["2019","9","15"]]},"author":[{"dropping-particle":"","family":"Pauly","given":"D.","non-dropping-particle":"","parse-names":false,"suffix":""},{"dropping-particle":"","family":"Zeller","given":"D.","non-dropping-particle":"","parse-names":false,"suffix":""}],"id":"ITEM-1","issued":{"date-parts":[["2015"]]},"title":"Sea Around Us Concepts, Design and Data","type":"webpage"},"uris":["http://www.mendeley.com/documents/?uuid=a94c4568-52e7-4dc9-b123-ba37eaad162c"]}],"mendeley":{"formattedCitation":"(&lt;i&gt;6&lt;/i&gt;)","plainTextFormattedCitation":"(6)","previouslyFormattedCitation":"(&lt;i&gt;6&lt;/i&gt;)"},"properties":{"noteIndex":0},"schema":"https://github.com/citation-style-language/schema/raw/master/csl-citation.json"}</w:instrText>
      </w:r>
      <w:r w:rsidRPr="00941DD5">
        <w:rPr>
          <w:color w:val="000000"/>
          <w:szCs w:val="24"/>
        </w:rPr>
        <w:fldChar w:fldCharType="separate"/>
      </w:r>
      <w:r w:rsidRPr="003F3902">
        <w:rPr>
          <w:noProof/>
          <w:color w:val="000000"/>
          <w:szCs w:val="24"/>
        </w:rPr>
        <w:t>(</w:t>
      </w:r>
      <w:r w:rsidRPr="003F3902">
        <w:rPr>
          <w:i/>
          <w:noProof/>
          <w:color w:val="000000"/>
          <w:szCs w:val="24"/>
        </w:rPr>
        <w:t>6</w:t>
      </w:r>
      <w:r w:rsidRPr="003F3902">
        <w:rPr>
          <w:noProof/>
          <w:color w:val="000000"/>
          <w:szCs w:val="24"/>
        </w:rPr>
        <w:t>)</w:t>
      </w:r>
      <w:r w:rsidRPr="00941DD5">
        <w:rPr>
          <w:color w:val="000000"/>
          <w:szCs w:val="24"/>
        </w:rPr>
        <w:fldChar w:fldCharType="end"/>
      </w:r>
      <w:r w:rsidRPr="00941DD5">
        <w:rPr>
          <w:color w:val="000000"/>
          <w:szCs w:val="24"/>
        </w:rPr>
        <w:t xml:space="preserve">.  We defined stocks as LME and species combinations and evaluated the </w:t>
      </w:r>
      <w:r w:rsidRPr="00941DD5">
        <w:rPr>
          <w:szCs w:val="24"/>
        </w:rPr>
        <w:t xml:space="preserve">2,070 stocks with at least 20 years of reported catch data and more than 1,000 </w:t>
      </w:r>
      <w:r w:rsidRPr="00941DD5">
        <w:rPr>
          <w:color w:val="000000"/>
          <w:szCs w:val="24"/>
        </w:rPr>
        <w:t xml:space="preserve">mt of maximum reported catch, which captured </w:t>
      </w:r>
      <w:r w:rsidRPr="00941DD5">
        <w:rPr>
          <w:szCs w:val="24"/>
        </w:rPr>
        <w:t>54.6% of global reconstructed trawl catch</w:t>
      </w:r>
      <w:r w:rsidRPr="00941DD5">
        <w:rPr>
          <w:color w:val="000000"/>
          <w:szCs w:val="24"/>
        </w:rPr>
        <w:t>.</w:t>
      </w:r>
    </w:p>
    <w:p w14:paraId="3109AB2E" w14:textId="55357A24" w:rsidR="00D208ED" w:rsidRPr="00941DD5" w:rsidRDefault="00D208ED" w:rsidP="00D208ED">
      <w:pPr>
        <w:spacing w:line="360" w:lineRule="auto"/>
        <w:ind w:firstLine="540"/>
        <w:rPr>
          <w:color w:val="000000"/>
          <w:szCs w:val="24"/>
        </w:rPr>
      </w:pPr>
      <w:r w:rsidRPr="00941DD5">
        <w:rPr>
          <w:color w:val="000000"/>
          <w:szCs w:val="24"/>
        </w:rPr>
        <w:t>RH-cMSY is based on the cMSY</w:t>
      </w:r>
      <w:r w:rsidR="00B61AD6">
        <w:rPr>
          <w:color w:val="000000"/>
          <w:szCs w:val="24"/>
        </w:rPr>
        <w:t xml:space="preserve"> </w:t>
      </w:r>
      <w:r w:rsidRPr="00941DD5">
        <w:rPr>
          <w:color w:val="000000"/>
          <w:szCs w:val="24"/>
        </w:rPr>
        <w:fldChar w:fldCharType="begin" w:fldLock="1"/>
      </w:r>
      <w:r>
        <w:rPr>
          <w:color w:val="000000"/>
          <w:szCs w:val="24"/>
        </w:rPr>
        <w:instrText>ADDIN CSL_CITATION {"citationItems":[{"id":"ITEM-1","itemData":{"DOI":"10.1111/faf.12190","author":[{"dropping-particle":"","family":"Froese","given":"Rainer","non-dropping-particle":"","parse-names":false,"suffix":""},{"dropping-particle":"","family":"Demirel","given":"Nazli","non-dropping-particle":"","parse-names":false,"suffix":""},{"dropping-particle":"","family":"Coro","given":"Gianpaolo","non-dropping-particle":"","parse-names":false,"suffix":""},{"dropping-particle":"","family":"Kleisner","given":"Kristin M","non-dropping-particle":"","parse-names":false,"suffix":""},{"dropping-particle":"","family":"Winker","given":"Henning","non-dropping-particle":"","parse-names":false,"suffix":""}],"container-title":"Fish and Fisheries","id":"ITEM-1","issued":{"date-parts":[["2017"]]},"page":"506-526","title":"Estimating fisheries reference points from catch and resilience","type":"article-journal","volume":"18"},"uris":["http://www.mendeley.com/documents/?uuid=6ca48610-8462-4bcd-90fc-9ee675e7ae4c","http://www.mendeley.com/documents/?uuid=238d73a4-1c49-4b5f-bb35-5649319a4af5"]}],"mendeley":{"formattedCitation":"(&lt;i&gt;38&lt;/i&gt;)","plainTextFormattedCitation":"(38)","previouslyFormattedCitation":"(&lt;i&gt;38&lt;/i&gt;)"},"properties":{"noteIndex":0},"schema":"https://github.com/citation-style-language/schema/raw/master/csl-citation.json"}</w:instrText>
      </w:r>
      <w:r w:rsidRPr="00941DD5">
        <w:rPr>
          <w:color w:val="000000"/>
          <w:szCs w:val="24"/>
        </w:rPr>
        <w:fldChar w:fldCharType="separate"/>
      </w:r>
      <w:r w:rsidRPr="003F3902">
        <w:rPr>
          <w:noProof/>
          <w:color w:val="000000"/>
          <w:szCs w:val="24"/>
        </w:rPr>
        <w:t>(</w:t>
      </w:r>
      <w:r w:rsidRPr="003F3902">
        <w:rPr>
          <w:i/>
          <w:noProof/>
          <w:color w:val="000000"/>
          <w:szCs w:val="24"/>
        </w:rPr>
        <w:t>38</w:t>
      </w:r>
      <w:r w:rsidRPr="003F3902">
        <w:rPr>
          <w:noProof/>
          <w:color w:val="000000"/>
          <w:szCs w:val="24"/>
        </w:rPr>
        <w:t>)</w:t>
      </w:r>
      <w:r w:rsidRPr="00941DD5">
        <w:rPr>
          <w:color w:val="000000"/>
          <w:szCs w:val="24"/>
        </w:rPr>
        <w:fldChar w:fldCharType="end"/>
      </w:r>
      <w:r w:rsidRPr="00941DD5">
        <w:rPr>
          <w:color w:val="000000"/>
          <w:szCs w:val="24"/>
        </w:rPr>
        <w:t xml:space="preserve"> stock reduction analysis but uses information from data-rich stocks to set priors for data-poor stock parameters. In general, both methods reconstruct historical abundance and exploitation rates by simulating biomass trajectories that could feasibly produce the observed catch time series given assumptions about initial and final year depletion and population parameters such as carrying capacity, </w:t>
      </w:r>
      <w:r w:rsidRPr="00941DD5">
        <w:rPr>
          <w:i/>
          <w:iCs/>
          <w:color w:val="000000"/>
          <w:szCs w:val="24"/>
        </w:rPr>
        <w:t xml:space="preserve">K </w:t>
      </w:r>
      <w:r w:rsidRPr="00941DD5">
        <w:rPr>
          <w:color w:val="000000"/>
          <w:szCs w:val="24"/>
        </w:rPr>
        <w:t xml:space="preserve">and intrinsic growth rate, </w:t>
      </w:r>
      <w:r w:rsidRPr="00941DD5">
        <w:rPr>
          <w:i/>
          <w:iCs/>
          <w:color w:val="000000"/>
          <w:szCs w:val="24"/>
        </w:rPr>
        <w:t>r</w:t>
      </w:r>
      <w:r w:rsidRPr="00941DD5">
        <w:rPr>
          <w:color w:val="000000"/>
          <w:szCs w:val="24"/>
        </w:rPr>
        <w:t>. RH-cMSY primarily differs from cMSY in that it uses meta-analyses of data-rich stocks in the RAM Legacy Stock Assessment Database</w:t>
      </w:r>
      <w:r w:rsidR="00B61AD6">
        <w:rPr>
          <w:color w:val="000000"/>
          <w:szCs w:val="24"/>
        </w:rPr>
        <w:t xml:space="preserve"> </w:t>
      </w:r>
      <w:r w:rsidRPr="00941DD5">
        <w:rPr>
          <w:color w:val="000000"/>
          <w:szCs w:val="24"/>
        </w:rPr>
        <w:fldChar w:fldCharType="begin" w:fldLock="1"/>
      </w:r>
      <w:r>
        <w:rPr>
          <w:color w:val="000000"/>
          <w:szCs w:val="24"/>
        </w:rPr>
        <w:instrText>ADDIN CSL_CITATION {"citationItems":[{"id":"ITEM-1","itemData":{"DOI":"10.1111/j.1467-2979.2011.00435.x","author":[{"dropping-particle":"","family":"Ricard","given":"Daniel","non-dropping-particle":"","parse-names":false,"suffix":""},{"dropping-particle":"","family":"Minto","given":"Cóilín","non-dropping-particle":"","parse-names":false,"suffix":""},{"dropping-particle":"","family":"Jensen","given":"Olaf P","non-dropping-particle":"","parse-names":false,"suffix":""},{"dropping-particle":"","family":"Baum","given":"Julia K","non-dropping-particle":"","parse-names":false,"suffix":""}],"container-title":"Fish and Fisheries","id":"ITEM-1","issue":"4","issued":{"date-parts":[["2012"]]},"page":"380 - 398","title":"Examining the knowledge base and status of commercially exploited marine species with the RAM Legacy Stock Assessment Database","type":"article-journal","volume":"13"},"uris":["http://www.mendeley.com/documents/?uuid=f724dcb2-d49b-4a15-a680-32691a865d47","http://www.mendeley.com/documents/?uuid=682cbb8b-068a-4b2c-8007-a5ae4d989752"]}],"mendeley":{"formattedCitation":"(&lt;i&gt;39&lt;/i&gt;)","plainTextFormattedCitation":"(39)","previouslyFormattedCitation":"(&lt;i&gt;39&lt;/i&gt;)"},"properties":{"noteIndex":0},"schema":"https://github.com/citation-style-language/schema/raw/master/csl-citation.json"}</w:instrText>
      </w:r>
      <w:r w:rsidRPr="00941DD5">
        <w:rPr>
          <w:color w:val="000000"/>
          <w:szCs w:val="24"/>
        </w:rPr>
        <w:fldChar w:fldCharType="separate"/>
      </w:r>
      <w:r w:rsidRPr="003F3902">
        <w:rPr>
          <w:noProof/>
          <w:color w:val="000000"/>
          <w:szCs w:val="24"/>
        </w:rPr>
        <w:t>(</w:t>
      </w:r>
      <w:r w:rsidRPr="003F3902">
        <w:rPr>
          <w:i/>
          <w:noProof/>
          <w:color w:val="000000"/>
          <w:szCs w:val="24"/>
        </w:rPr>
        <w:t>39</w:t>
      </w:r>
      <w:r w:rsidRPr="003F3902">
        <w:rPr>
          <w:noProof/>
          <w:color w:val="000000"/>
          <w:szCs w:val="24"/>
        </w:rPr>
        <w:t>)</w:t>
      </w:r>
      <w:r w:rsidRPr="00941DD5">
        <w:rPr>
          <w:color w:val="000000"/>
          <w:szCs w:val="24"/>
        </w:rPr>
        <w:fldChar w:fldCharType="end"/>
      </w:r>
      <w:r w:rsidRPr="00941DD5">
        <w:rPr>
          <w:color w:val="000000"/>
          <w:szCs w:val="24"/>
        </w:rPr>
        <w:t xml:space="preserve"> to set priors for all four values. Furthermore, it uses a Pella-Tomlinson rather than a Schaefer surplus production model to account for asymmetry in production</w:t>
      </w:r>
      <w:r w:rsidR="00B61AD6">
        <w:rPr>
          <w:color w:val="000000"/>
          <w:szCs w:val="24"/>
        </w:rPr>
        <w:t xml:space="preserve"> </w:t>
      </w:r>
      <w:r w:rsidRPr="00941DD5">
        <w:rPr>
          <w:color w:val="000000"/>
          <w:szCs w:val="24"/>
        </w:rPr>
        <w:fldChar w:fldCharType="begin" w:fldLock="1"/>
      </w:r>
      <w:r>
        <w:rPr>
          <w:color w:val="000000"/>
          <w:szCs w:val="24"/>
        </w:rPr>
        <w:instrText>ADDIN CSL_CITATION {"citationItems":[{"id":"ITEM-1","itemData":{"DOI":"10.1139/f2012-016","author":[{"dropping-particle":"","family":"Thorson","given":"James T","non-dropping-particle":"","parse-names":false,"suffix":""},{"dropping-particle":"","family":"Branch","given":"Trevor A","non-dropping-particle":"","parse-names":false,"suffix":""},{"dropping-particle":"","family":"Jensen","given":"Olaf P","non-dropping-particle":"","parse-names":false,"suffix":""}],"container-title":"Canadian Journal of Fisheries and Aquatic Sciences","id":"ITEM-1","issued":{"date-parts":[["2012"]]},"page":"645-655","title":"Using model-based inference to evaluate global fisheries status from landings, location, and life history data","type":"article-journal","volume":"69"},"uris":["http://www.mendeley.com/documents/?uuid=a40adb00-85b3-4462-9e29-5db124069120"]}],"mendeley":{"formattedCitation":"(&lt;i&gt;40&lt;/i&gt;)","plainTextFormattedCitation":"(40)","previouslyFormattedCitation":"(&lt;i&gt;40&lt;/i&gt;)"},"properties":{"noteIndex":0},"schema":"https://github.com/citation-style-language/schema/raw/master/csl-citation.json"}</w:instrText>
      </w:r>
      <w:r w:rsidRPr="00941DD5">
        <w:rPr>
          <w:color w:val="000000"/>
          <w:szCs w:val="24"/>
        </w:rPr>
        <w:fldChar w:fldCharType="separate"/>
      </w:r>
      <w:r w:rsidRPr="003F3902">
        <w:rPr>
          <w:noProof/>
          <w:color w:val="000000"/>
          <w:szCs w:val="24"/>
        </w:rPr>
        <w:t>(</w:t>
      </w:r>
      <w:r w:rsidRPr="003F3902">
        <w:rPr>
          <w:i/>
          <w:noProof/>
          <w:color w:val="000000"/>
          <w:szCs w:val="24"/>
        </w:rPr>
        <w:t>40</w:t>
      </w:r>
      <w:r w:rsidRPr="003F3902">
        <w:rPr>
          <w:noProof/>
          <w:color w:val="000000"/>
          <w:szCs w:val="24"/>
        </w:rPr>
        <w:t>)</w:t>
      </w:r>
      <w:r w:rsidRPr="00941DD5">
        <w:rPr>
          <w:color w:val="000000"/>
          <w:szCs w:val="24"/>
        </w:rPr>
        <w:fldChar w:fldCharType="end"/>
      </w:r>
      <w:r w:rsidRPr="00941DD5">
        <w:rPr>
          <w:color w:val="000000"/>
          <w:szCs w:val="24"/>
        </w:rPr>
        <w:t xml:space="preserve"> and does not use the “tip of the triangle” assumption employed in cMSY.  </w:t>
      </w:r>
    </w:p>
    <w:p w14:paraId="5AF8DAC7" w14:textId="77777777" w:rsidR="00D208ED" w:rsidRPr="00941DD5" w:rsidRDefault="00D208ED" w:rsidP="00D208ED">
      <w:pPr>
        <w:spacing w:line="360" w:lineRule="auto"/>
        <w:ind w:firstLine="540"/>
        <w:rPr>
          <w:rFonts w:eastAsiaTheme="minorEastAsia"/>
          <w:szCs w:val="24"/>
        </w:rPr>
      </w:pPr>
      <w:r w:rsidRPr="00941DD5">
        <w:rPr>
          <w:rFonts w:eastAsiaTheme="minorEastAsia"/>
          <w:szCs w:val="24"/>
        </w:rPr>
        <w:t xml:space="preserve">  Yield for each stock in the MSY scenarios was calculated from the </w:t>
      </w:r>
      <m:oMath>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msy</m:t>
            </m:r>
          </m:sub>
        </m:sSub>
        <m:r>
          <w:rPr>
            <w:rFonts w:ascii="Cambria Math" w:eastAsiaTheme="minorEastAsia" w:hAnsi="Cambria Math"/>
            <w:szCs w:val="24"/>
          </w:rPr>
          <m:t xml:space="preserve"> </m:t>
        </m:r>
      </m:oMath>
      <w:r w:rsidRPr="00941DD5">
        <w:rPr>
          <w:rFonts w:eastAsiaTheme="minorEastAsia"/>
          <w:szCs w:val="24"/>
        </w:rPr>
        <w:t xml:space="preserve">and </w:t>
      </w:r>
      <m:oMath>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msy</m:t>
            </m:r>
          </m:sub>
        </m:sSub>
      </m:oMath>
      <w:r w:rsidRPr="00941DD5">
        <w:rPr>
          <w:rFonts w:eastAsiaTheme="minorEastAsia"/>
          <w:szCs w:val="24"/>
        </w:rPr>
        <w:t xml:space="preserve"> parameters estimated in the RH-cMSY analysis as:  </w:t>
      </w:r>
      <m:oMath>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msy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msy</m:t>
            </m:r>
          </m:sub>
        </m:sSub>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msy</m:t>
            </m:r>
          </m:sub>
        </m:sSub>
      </m:oMath>
      <w:r w:rsidRPr="00941DD5">
        <w:rPr>
          <w:rFonts w:eastAsiaTheme="minorEastAsia"/>
          <w:szCs w:val="24"/>
        </w:rPr>
        <w:t xml:space="preserve">.  Yield for the LME was the sum of the yield from all stocks within the LME.  However, this only reflects the data- rich stocks included in the RH-cMSY analysis, thus the percent change in yield at MSY over baseline conditions presented in the main text reflects only these stocks.  Estimations of total yield at MSY (mt year </w:t>
      </w:r>
      <w:r w:rsidRPr="00941DD5">
        <w:rPr>
          <w:rFonts w:eastAsiaTheme="minorEastAsia"/>
          <w:szCs w:val="24"/>
          <w:vertAlign w:val="superscript"/>
        </w:rPr>
        <w:t>-1</w:t>
      </w:r>
      <w:r w:rsidRPr="00941DD5">
        <w:rPr>
          <w:rFonts w:eastAsiaTheme="minorEastAsia"/>
          <w:szCs w:val="24"/>
        </w:rPr>
        <w:t xml:space="preserve">) presented in the main text apply this percent change to the total LME-wide baseline yield.        </w:t>
      </w:r>
    </w:p>
    <w:p w14:paraId="17EDE0AF" w14:textId="77777777" w:rsidR="00D208ED" w:rsidRPr="00941DD5" w:rsidRDefault="00D208ED" w:rsidP="00D208ED">
      <w:pPr>
        <w:spacing w:line="360" w:lineRule="auto"/>
        <w:ind w:firstLine="540"/>
        <w:rPr>
          <w:rFonts w:eastAsiaTheme="minorEastAsia"/>
          <w:szCs w:val="24"/>
        </w:rPr>
      </w:pPr>
      <w:r w:rsidRPr="00941DD5">
        <w:rPr>
          <w:rFonts w:eastAsiaTheme="minorEastAsia"/>
          <w:szCs w:val="24"/>
        </w:rPr>
        <w:t xml:space="preserve">Estimating </w:t>
      </w:r>
      <m:oMath>
        <m:sSub>
          <m:sSubPr>
            <m:ctrlPr>
              <w:rPr>
                <w:rFonts w:ascii="Cambria Math" w:eastAsiaTheme="minorEastAsia" w:hAnsi="Cambria Math"/>
                <w:i/>
                <w:szCs w:val="24"/>
              </w:rPr>
            </m:ctrlPr>
          </m:sSubPr>
          <m:e>
            <m:r>
              <w:rPr>
                <w:rFonts w:ascii="Cambria Math" w:eastAsiaTheme="minorEastAsia" w:hAnsi="Cambria Math"/>
                <w:szCs w:val="24"/>
              </w:rPr>
              <m:t>E</m:t>
            </m:r>
          </m:e>
          <m:sub>
            <m:r>
              <w:rPr>
                <w:rFonts w:ascii="Cambria Math" w:eastAsiaTheme="minorEastAsia" w:hAnsi="Cambria Math"/>
                <w:szCs w:val="24"/>
              </w:rPr>
              <m:t>msy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E</m:t>
            </m:r>
          </m:e>
          <m:sub>
            <m:r>
              <w:rPr>
                <w:rFonts w:ascii="Cambria Math" w:eastAsiaTheme="minorEastAsia" w:hAnsi="Cambria Math"/>
                <w:szCs w:val="24"/>
              </w:rPr>
              <m:t>base</m:t>
            </m:r>
          </m:sub>
        </m:sSub>
      </m:oMath>
      <w:r w:rsidRPr="00941DD5">
        <w:rPr>
          <w:rFonts w:eastAsiaTheme="minorEastAsia"/>
          <w:szCs w:val="24"/>
        </w:rPr>
        <w:t xml:space="preserve"> began from the basic fishery equation relating yield, effort, stock biomass, and catchability, </w:t>
      </w:r>
      <m:oMath>
        <m:r>
          <w:rPr>
            <w:rFonts w:ascii="Cambria Math" w:eastAsiaTheme="minorEastAsia" w:hAnsi="Cambria Math"/>
            <w:szCs w:val="24"/>
          </w:rPr>
          <m:t>q</m:t>
        </m:r>
      </m:oMath>
      <w:r w:rsidRPr="00941DD5">
        <w:rPr>
          <w:rFonts w:eastAsiaTheme="minorEastAsia"/>
          <w:szCs w:val="24"/>
        </w:rPr>
        <w:t xml:space="preserve">: </w:t>
      </w:r>
      <m:oMath>
        <m:r>
          <w:rPr>
            <w:rFonts w:ascii="Cambria Math" w:eastAsiaTheme="minorEastAsia" w:hAnsi="Cambria Math"/>
            <w:szCs w:val="24"/>
          </w:rPr>
          <m:t>Y=qEB</m:t>
        </m:r>
      </m:oMath>
      <w:r w:rsidRPr="00941DD5">
        <w:rPr>
          <w:rFonts w:eastAsiaTheme="minorEastAsia"/>
          <w:szCs w:val="24"/>
        </w:rPr>
        <w:t xml:space="preserve">.  Solving for </w:t>
      </w:r>
      <m:oMath>
        <m:r>
          <w:rPr>
            <w:rFonts w:ascii="Cambria Math" w:eastAsiaTheme="minorEastAsia" w:hAnsi="Cambria Math"/>
            <w:szCs w:val="24"/>
          </w:rPr>
          <m:t>E</m:t>
        </m:r>
      </m:oMath>
      <w:r w:rsidRPr="00941DD5">
        <w:rPr>
          <w:rFonts w:eastAsiaTheme="minorEastAsia"/>
          <w:szCs w:val="24"/>
        </w:rPr>
        <w:t xml:space="preserve"> then gives the ratio as follows: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0"/>
        <w:gridCol w:w="1440"/>
      </w:tblGrid>
      <w:tr w:rsidR="00D208ED" w:rsidRPr="00941DD5" w14:paraId="4482F100" w14:textId="77777777" w:rsidTr="00D208ED">
        <w:tc>
          <w:tcPr>
            <w:tcW w:w="1440" w:type="dxa"/>
            <w:vAlign w:val="center"/>
          </w:tcPr>
          <w:p w14:paraId="1BD14BA1" w14:textId="77777777" w:rsidR="00D208ED" w:rsidRPr="00941DD5" w:rsidRDefault="00D208ED" w:rsidP="00D208ED">
            <w:pPr>
              <w:spacing w:line="360" w:lineRule="auto"/>
              <w:jc w:val="center"/>
              <w:rPr>
                <w:rFonts w:ascii="Times New Roman" w:eastAsiaTheme="minorEastAsia" w:hAnsi="Times New Roman" w:cs="Times New Roman"/>
                <w:szCs w:val="24"/>
              </w:rPr>
            </w:pPr>
          </w:p>
        </w:tc>
        <w:tc>
          <w:tcPr>
            <w:tcW w:w="5760" w:type="dxa"/>
            <w:vAlign w:val="center"/>
          </w:tcPr>
          <w:p w14:paraId="474F1FDA" w14:textId="77777777" w:rsidR="00D208ED" w:rsidRPr="00941DD5" w:rsidRDefault="00A77D75" w:rsidP="00D208ED">
            <w:pPr>
              <w:spacing w:line="360" w:lineRule="auto"/>
              <w:jc w:val="center"/>
              <w:rPr>
                <w:rFonts w:ascii="Times New Roman" w:eastAsiaTheme="minorEastAsia" w:hAnsi="Times New Roman" w:cs="Times New Roman"/>
                <w:szCs w:val="24"/>
              </w:rPr>
            </w:pPr>
            <m:oMathPara>
              <m:oMath>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msy</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base</m:t>
                        </m:r>
                      </m:sub>
                    </m:sSub>
                  </m:den>
                </m:f>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msy</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msy</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msy</m:t>
                        </m:r>
                      </m:sub>
                    </m:sSub>
                  </m:den>
                </m:f>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base</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base</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base</m:t>
                        </m:r>
                      </m:sub>
                    </m:sSub>
                  </m:den>
                </m:f>
                <m:r>
                  <w:rPr>
                    <w:rFonts w:ascii="Cambria Math" w:eastAsiaTheme="minorEastAsia" w:hAnsi="Cambria Math" w:cs="Times New Roman"/>
                    <w:szCs w:val="24"/>
                  </w:rPr>
                  <m:t>)</m:t>
                </m:r>
              </m:oMath>
            </m:oMathPara>
          </w:p>
        </w:tc>
        <w:tc>
          <w:tcPr>
            <w:tcW w:w="1440" w:type="dxa"/>
            <w:vAlign w:val="center"/>
          </w:tcPr>
          <w:p w14:paraId="4185C929" w14:textId="4A6ECDB4" w:rsidR="00D208ED" w:rsidRPr="00941DD5" w:rsidRDefault="00D208ED" w:rsidP="00D208ED">
            <w:pPr>
              <w:spacing w:line="360" w:lineRule="auto"/>
              <w:jc w:val="center"/>
              <w:rPr>
                <w:rFonts w:ascii="Times New Roman" w:eastAsiaTheme="minorEastAsia" w:hAnsi="Times New Roman" w:cs="Times New Roman"/>
                <w:szCs w:val="24"/>
              </w:rPr>
            </w:pPr>
            <w:r w:rsidRPr="00941DD5">
              <w:rPr>
                <w:rFonts w:ascii="Times New Roman" w:eastAsiaTheme="minorEastAsia" w:hAnsi="Times New Roman" w:cs="Times New Roman"/>
                <w:szCs w:val="24"/>
              </w:rPr>
              <w:t>(</w:t>
            </w:r>
            <w:r w:rsidR="00B61AD6">
              <w:rPr>
                <w:rFonts w:ascii="Times New Roman" w:eastAsiaTheme="minorEastAsia" w:hAnsi="Times New Roman" w:cs="Times New Roman"/>
                <w:szCs w:val="24"/>
              </w:rPr>
              <w:t>S.4</w:t>
            </w:r>
            <w:r w:rsidRPr="00941DD5">
              <w:rPr>
                <w:rFonts w:ascii="Times New Roman" w:eastAsiaTheme="minorEastAsia" w:hAnsi="Times New Roman" w:cs="Times New Roman"/>
                <w:szCs w:val="24"/>
              </w:rPr>
              <w:t>)</w:t>
            </w:r>
          </w:p>
        </w:tc>
      </w:tr>
    </w:tbl>
    <w:p w14:paraId="6E64754C" w14:textId="607EB6D7" w:rsidR="00D208ED" w:rsidRPr="00941DD5" w:rsidRDefault="00D208ED" w:rsidP="00D208ED">
      <w:pPr>
        <w:spacing w:line="360" w:lineRule="auto"/>
        <w:rPr>
          <w:rFonts w:eastAsiaTheme="minorEastAsia"/>
          <w:szCs w:val="24"/>
        </w:rPr>
      </w:pPr>
      <w:r w:rsidRPr="00941DD5">
        <w:rPr>
          <w:rFonts w:eastAsiaTheme="minorEastAsia"/>
          <w:szCs w:val="24"/>
        </w:rPr>
        <w:t>To estimate this ratio, a relationship between catchability at MSY and baseline conditions is needed.  As a simplifying assumption we assumed that catchability at MSY is equal to that at baseline conditions (</w:t>
      </w:r>
      <m:oMath>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msy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base</m:t>
            </m:r>
          </m:sub>
        </m:sSub>
      </m:oMath>
      <w:r w:rsidRPr="00941DD5">
        <w:rPr>
          <w:rFonts w:eastAsiaTheme="minorEastAsia"/>
          <w:szCs w:val="24"/>
        </w:rPr>
        <w:t>), reducing eq. (</w:t>
      </w:r>
      <w:r w:rsidR="00B61AD6">
        <w:rPr>
          <w:rFonts w:eastAsiaTheme="minorEastAsia"/>
          <w:szCs w:val="24"/>
        </w:rPr>
        <w:t>S.4</w:t>
      </w:r>
      <w:r w:rsidRPr="00941DD5">
        <w:rPr>
          <w:rFonts w:eastAsiaTheme="minorEastAsia"/>
          <w:szCs w:val="24"/>
        </w:rPr>
        <w:t>) to:</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0"/>
        <w:gridCol w:w="1440"/>
      </w:tblGrid>
      <w:tr w:rsidR="00D208ED" w:rsidRPr="00941DD5" w14:paraId="01958D56" w14:textId="77777777" w:rsidTr="00D208ED">
        <w:tc>
          <w:tcPr>
            <w:tcW w:w="1440" w:type="dxa"/>
            <w:vAlign w:val="center"/>
          </w:tcPr>
          <w:p w14:paraId="1EF4DED2" w14:textId="77777777" w:rsidR="00D208ED" w:rsidRPr="00941DD5" w:rsidRDefault="00D208ED" w:rsidP="00D208ED">
            <w:pPr>
              <w:spacing w:line="360" w:lineRule="auto"/>
              <w:jc w:val="center"/>
              <w:rPr>
                <w:rFonts w:ascii="Times New Roman" w:eastAsiaTheme="minorEastAsia" w:hAnsi="Times New Roman" w:cs="Times New Roman"/>
                <w:szCs w:val="24"/>
              </w:rPr>
            </w:pPr>
          </w:p>
        </w:tc>
        <w:tc>
          <w:tcPr>
            <w:tcW w:w="5760" w:type="dxa"/>
            <w:vAlign w:val="center"/>
          </w:tcPr>
          <w:p w14:paraId="3314DBA8" w14:textId="77777777" w:rsidR="00D208ED" w:rsidRPr="00941DD5" w:rsidRDefault="00A77D75" w:rsidP="00D208ED">
            <w:pPr>
              <w:spacing w:line="360" w:lineRule="auto"/>
              <w:jc w:val="center"/>
              <w:rPr>
                <w:rFonts w:ascii="Times New Roman" w:eastAsiaTheme="minorEastAsia" w:hAnsi="Times New Roman" w:cs="Times New Roman"/>
                <w:szCs w:val="24"/>
              </w:rPr>
            </w:pPr>
            <m:oMathPara>
              <m:oMath>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msy</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base</m:t>
                        </m:r>
                      </m:sub>
                    </m:sSub>
                  </m:den>
                </m:f>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msy</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msy</m:t>
                        </m:r>
                      </m:sub>
                    </m:sSub>
                  </m:den>
                </m:f>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base</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base</m:t>
                        </m:r>
                      </m:sub>
                    </m:sSub>
                  </m:den>
                </m:f>
                <m:r>
                  <w:rPr>
                    <w:rFonts w:ascii="Cambria Math" w:eastAsiaTheme="minorEastAsia" w:hAnsi="Cambria Math" w:cs="Times New Roman"/>
                    <w:szCs w:val="24"/>
                  </w:rPr>
                  <m:t>)</m:t>
                </m:r>
              </m:oMath>
            </m:oMathPara>
          </w:p>
        </w:tc>
        <w:tc>
          <w:tcPr>
            <w:tcW w:w="1440" w:type="dxa"/>
            <w:vAlign w:val="center"/>
          </w:tcPr>
          <w:p w14:paraId="423B8CCE" w14:textId="0D5D5AE5" w:rsidR="00D208ED" w:rsidRPr="00941DD5" w:rsidRDefault="00D208ED" w:rsidP="00D208ED">
            <w:pPr>
              <w:spacing w:line="360" w:lineRule="auto"/>
              <w:jc w:val="center"/>
              <w:rPr>
                <w:rFonts w:ascii="Times New Roman" w:eastAsiaTheme="minorEastAsia" w:hAnsi="Times New Roman" w:cs="Times New Roman"/>
                <w:szCs w:val="24"/>
              </w:rPr>
            </w:pPr>
            <w:r w:rsidRPr="00941DD5">
              <w:rPr>
                <w:rFonts w:ascii="Times New Roman" w:eastAsiaTheme="minorEastAsia" w:hAnsi="Times New Roman" w:cs="Times New Roman"/>
                <w:szCs w:val="24"/>
              </w:rPr>
              <w:t>(</w:t>
            </w:r>
            <w:r w:rsidR="00B61AD6">
              <w:rPr>
                <w:rFonts w:ascii="Times New Roman" w:eastAsiaTheme="minorEastAsia" w:hAnsi="Times New Roman" w:cs="Times New Roman"/>
                <w:szCs w:val="24"/>
              </w:rPr>
              <w:t>S.5</w:t>
            </w:r>
            <w:r w:rsidRPr="00941DD5">
              <w:rPr>
                <w:rFonts w:ascii="Times New Roman" w:eastAsiaTheme="minorEastAsia" w:hAnsi="Times New Roman" w:cs="Times New Roman"/>
                <w:szCs w:val="24"/>
              </w:rPr>
              <w:t>)</w:t>
            </w:r>
          </w:p>
        </w:tc>
      </w:tr>
    </w:tbl>
    <w:p w14:paraId="615BCF31" w14:textId="149F82CF" w:rsidR="00D208ED" w:rsidRPr="00941DD5" w:rsidRDefault="00D208ED" w:rsidP="00D208ED">
      <w:pPr>
        <w:spacing w:line="360" w:lineRule="auto"/>
        <w:rPr>
          <w:rFonts w:eastAsiaTheme="minorEastAsia"/>
          <w:szCs w:val="24"/>
        </w:rPr>
      </w:pPr>
      <w:r w:rsidRPr="00941DD5">
        <w:rPr>
          <w:rFonts w:eastAsiaTheme="minorEastAsia"/>
          <w:szCs w:val="24"/>
        </w:rPr>
        <w:t xml:space="preserve"> Additionally, because </w:t>
      </w:r>
      <m:oMath>
        <m:sSub>
          <m:sSubPr>
            <m:ctrlPr>
              <w:rPr>
                <w:rFonts w:ascii="Cambria Math" w:eastAsiaTheme="minorEastAsia" w:hAnsi="Cambria Math"/>
                <w:i/>
                <w:szCs w:val="24"/>
              </w:rPr>
            </m:ctrlPr>
          </m:sSubPr>
          <m:e>
            <m:r>
              <w:rPr>
                <w:rFonts w:ascii="Cambria Math" w:eastAsiaTheme="minorEastAsia" w:hAnsi="Cambria Math"/>
                <w:szCs w:val="24"/>
              </w:rPr>
              <m:t>E</m:t>
            </m:r>
          </m:e>
          <m:sub>
            <m:r>
              <w:rPr>
                <w:rFonts w:ascii="Cambria Math" w:eastAsiaTheme="minorEastAsia" w:hAnsi="Cambria Math"/>
                <w:szCs w:val="24"/>
              </w:rPr>
              <m:t>msy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E</m:t>
            </m:r>
          </m:e>
          <m:sub>
            <m:r>
              <w:rPr>
                <w:rFonts w:ascii="Cambria Math" w:eastAsiaTheme="minorEastAsia" w:hAnsi="Cambria Math"/>
                <w:szCs w:val="24"/>
              </w:rPr>
              <m:t>base</m:t>
            </m:r>
          </m:sub>
        </m:sSub>
      </m:oMath>
      <w:r w:rsidRPr="00941DD5">
        <w:rPr>
          <w:rFonts w:eastAsiaTheme="minorEastAsia"/>
          <w:szCs w:val="24"/>
        </w:rPr>
        <w:t xml:space="preserve"> is used at the level of the LME, the yields and stock biomasses in eq. (</w:t>
      </w:r>
      <w:r w:rsidR="00B61AD6">
        <w:rPr>
          <w:rFonts w:eastAsiaTheme="minorEastAsia"/>
          <w:szCs w:val="24"/>
        </w:rPr>
        <w:t>S.5</w:t>
      </w:r>
      <w:r w:rsidRPr="00941DD5">
        <w:rPr>
          <w:rFonts w:eastAsiaTheme="minorEastAsia"/>
          <w:szCs w:val="24"/>
        </w:rPr>
        <w:t>) reflect the sum of these values across an LME for stocks included in the RH-cMSY analysis.</w:t>
      </w:r>
    </w:p>
    <w:p w14:paraId="1A28786D" w14:textId="77777777" w:rsidR="00D208ED" w:rsidRDefault="00D208ED" w:rsidP="00D208ED">
      <w:pPr>
        <w:pStyle w:val="SMText"/>
        <w:ind w:firstLine="0"/>
      </w:pPr>
    </w:p>
    <w:p w14:paraId="1DA0A293" w14:textId="6067530F" w:rsidR="00B61AD6" w:rsidRDefault="00B61AD6">
      <w:pPr>
        <w:rPr>
          <w:rFonts w:ascii="Times New Roman" w:eastAsia="Times New Roman" w:hAnsi="Times New Roman" w:cs="Times New Roman"/>
          <w:sz w:val="24"/>
          <w:szCs w:val="20"/>
        </w:rPr>
      </w:pPr>
      <w:r>
        <w:br w:type="page"/>
      </w:r>
    </w:p>
    <w:p w14:paraId="3689A4FD" w14:textId="77777777" w:rsidR="00D208ED" w:rsidRDefault="00D208ED" w:rsidP="00D208ED">
      <w:pPr>
        <w:pStyle w:val="SMText"/>
      </w:pPr>
    </w:p>
    <w:p w14:paraId="598B519B" w14:textId="77777777" w:rsidR="00D208ED" w:rsidRPr="00941DD5" w:rsidRDefault="00D208ED" w:rsidP="00D208ED">
      <w:pPr>
        <w:rPr>
          <w:szCs w:val="24"/>
        </w:rPr>
      </w:pPr>
      <w:r w:rsidRPr="00941DD5">
        <w:rPr>
          <w:noProof/>
          <w:szCs w:val="24"/>
        </w:rPr>
        <w:drawing>
          <wp:inline distT="0" distB="0" distL="0" distR="0" wp14:anchorId="725AC516" wp14:editId="1F47DE78">
            <wp:extent cx="5257800" cy="525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5257800"/>
                    </a:xfrm>
                    <a:prstGeom prst="rect">
                      <a:avLst/>
                    </a:prstGeom>
                  </pic:spPr>
                </pic:pic>
              </a:graphicData>
            </a:graphic>
          </wp:inline>
        </w:drawing>
      </w:r>
    </w:p>
    <w:p w14:paraId="50C67D07" w14:textId="77777777" w:rsidR="00D208ED" w:rsidRPr="00941DD5" w:rsidRDefault="00D208ED" w:rsidP="00D208ED">
      <w:pPr>
        <w:rPr>
          <w:szCs w:val="24"/>
        </w:rPr>
      </w:pPr>
      <w:r w:rsidRPr="00941DD5">
        <w:rPr>
          <w:szCs w:val="24"/>
        </w:rPr>
        <w:t>Fig</w:t>
      </w:r>
      <w:r>
        <w:rPr>
          <w:szCs w:val="24"/>
        </w:rPr>
        <w:t>. S1</w:t>
      </w:r>
      <w:r w:rsidRPr="00941DD5">
        <w:rPr>
          <w:szCs w:val="24"/>
        </w:rPr>
        <w:t>.  Relationship between 2014 bottom-tendered fishery production (mt) and fishing effort (hrs) for large marine ecosystems (LMEs).  The X’s signify LMEs that were identified as outliers in their ratio of production: effort (suggesting missing fishing effort) and consequently had adjustments made to their estimates of seafloor disturbance.</w:t>
      </w:r>
    </w:p>
    <w:p w14:paraId="69B74796" w14:textId="7E2F2CBD" w:rsidR="00B61AD6" w:rsidRDefault="00D208ED" w:rsidP="00D208ED">
      <w:pPr>
        <w:rPr>
          <w:szCs w:val="24"/>
        </w:rPr>
      </w:pPr>
      <w:r w:rsidRPr="00941DD5">
        <w:rPr>
          <w:szCs w:val="24"/>
        </w:rPr>
        <w:t xml:space="preserve"> </w:t>
      </w:r>
    </w:p>
    <w:p w14:paraId="72D43D54" w14:textId="77777777" w:rsidR="00B61AD6" w:rsidRDefault="00B61AD6">
      <w:pPr>
        <w:rPr>
          <w:szCs w:val="24"/>
        </w:rPr>
      </w:pPr>
      <w:r>
        <w:rPr>
          <w:szCs w:val="24"/>
        </w:rPr>
        <w:br w:type="page"/>
      </w:r>
    </w:p>
    <w:p w14:paraId="374241B9" w14:textId="77777777" w:rsidR="00D208ED" w:rsidRPr="00941DD5" w:rsidRDefault="00D208ED" w:rsidP="00D208ED">
      <w:pPr>
        <w:rPr>
          <w:szCs w:val="24"/>
        </w:rPr>
      </w:pPr>
    </w:p>
    <w:p w14:paraId="03E03632" w14:textId="77777777" w:rsidR="00D208ED" w:rsidRPr="00941DD5" w:rsidRDefault="00D208ED" w:rsidP="00D208ED">
      <w:pPr>
        <w:rPr>
          <w:szCs w:val="24"/>
        </w:rPr>
      </w:pPr>
      <w:r w:rsidRPr="00941DD5">
        <w:rPr>
          <w:noProof/>
          <w:szCs w:val="24"/>
        </w:rPr>
        <w:drawing>
          <wp:inline distT="0" distB="0" distL="0" distR="0" wp14:anchorId="232E76A4" wp14:editId="488A2B46">
            <wp:extent cx="4676775" cy="4676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775" cy="4676775"/>
                    </a:xfrm>
                    <a:prstGeom prst="rect">
                      <a:avLst/>
                    </a:prstGeom>
                  </pic:spPr>
                </pic:pic>
              </a:graphicData>
            </a:graphic>
          </wp:inline>
        </w:drawing>
      </w:r>
    </w:p>
    <w:p w14:paraId="4B8BC36D" w14:textId="77777777" w:rsidR="00D208ED" w:rsidRPr="00941DD5" w:rsidRDefault="00D208ED" w:rsidP="00D208ED">
      <w:pPr>
        <w:rPr>
          <w:rFonts w:eastAsiaTheme="minorEastAsia"/>
          <w:szCs w:val="24"/>
        </w:rPr>
      </w:pPr>
      <w:r>
        <w:rPr>
          <w:szCs w:val="24"/>
        </w:rPr>
        <w:t>Fig. S</w:t>
      </w:r>
      <w:r w:rsidRPr="00941DD5">
        <w:rPr>
          <w:szCs w:val="24"/>
        </w:rPr>
        <w:t>2.  Status of global bottom-tendered gear fisheries showing exploitation rate and stock biomass relative to MSY of stocks estimated using the RH-cMSY catch-only assessment model.  The vertical axis is the ratio of current exploitation rate to that at MSY (</w:t>
      </w:r>
      <m:oMath>
        <m:r>
          <w:rPr>
            <w:rFonts w:ascii="Cambria Math" w:hAnsi="Cambria Math"/>
            <w:szCs w:val="24"/>
          </w:rPr>
          <m:t>U/</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MSY</m:t>
            </m:r>
          </m:sub>
        </m:sSub>
      </m:oMath>
      <w:r w:rsidRPr="00941DD5">
        <w:rPr>
          <w:rFonts w:eastAsiaTheme="minorEastAsia"/>
          <w:szCs w:val="24"/>
        </w:rPr>
        <w:t xml:space="preserve">).  The horizontal axis is the ratio of current </w:t>
      </w:r>
      <w:r w:rsidRPr="00941DD5">
        <w:rPr>
          <w:szCs w:val="24"/>
        </w:rPr>
        <w:t>stock biomass to that at MSY (</w:t>
      </w:r>
      <m:oMath>
        <m:r>
          <w:rPr>
            <w:rFonts w:ascii="Cambria Math" w:hAnsi="Cambria Math"/>
            <w:szCs w:val="24"/>
          </w:rPr>
          <m:t>B/</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MSY</m:t>
            </m:r>
          </m:sub>
        </m:sSub>
      </m:oMath>
      <w:r w:rsidRPr="00941DD5">
        <w:rPr>
          <w:rFonts w:eastAsiaTheme="minorEastAsia"/>
          <w:szCs w:val="24"/>
        </w:rPr>
        <w:t xml:space="preserve">).  Fisheries in the upper left quadrant are currently overexploited and have stock biomasses below those associated with MSY, indicating opportunities for which reductions in fishing effort could both increase harvests and stock sizes, as well as reduce seafloor impacts. In contrast, underexploited fisheries below the horizontal </w:t>
      </w:r>
      <m:oMath>
        <m:r>
          <w:rPr>
            <w:rFonts w:ascii="Cambria Math" w:hAnsi="Cambria Math"/>
            <w:szCs w:val="24"/>
          </w:rPr>
          <m:t>U/</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MSY</m:t>
            </m:r>
          </m:sub>
        </m:sSub>
      </m:oMath>
      <w:r w:rsidRPr="00941DD5">
        <w:rPr>
          <w:rFonts w:eastAsiaTheme="minorEastAsia"/>
          <w:szCs w:val="24"/>
        </w:rPr>
        <w:t xml:space="preserve"> = 1.0 line would require increases in fishing effort to achieve MSY and thus may increase seafloor disturbances under conventional fishing practices.</w:t>
      </w:r>
    </w:p>
    <w:p w14:paraId="4BD50D54" w14:textId="301B99A8" w:rsidR="00B61AD6" w:rsidRDefault="00B61AD6">
      <w:pPr>
        <w:rPr>
          <w:szCs w:val="24"/>
        </w:rPr>
      </w:pPr>
      <w:r>
        <w:rPr>
          <w:szCs w:val="24"/>
        </w:rPr>
        <w:br w:type="page"/>
      </w:r>
    </w:p>
    <w:p w14:paraId="7C839743" w14:textId="77777777" w:rsidR="00D208ED" w:rsidRPr="00941DD5" w:rsidRDefault="00D208ED" w:rsidP="00D208ED">
      <w:pPr>
        <w:rPr>
          <w:szCs w:val="24"/>
        </w:rPr>
      </w:pPr>
      <w:r w:rsidRPr="00941DD5">
        <w:rPr>
          <w:szCs w:val="24"/>
        </w:rPr>
        <w:lastRenderedPageBreak/>
        <w:t xml:space="preserve">Table </w:t>
      </w:r>
      <w:r>
        <w:rPr>
          <w:szCs w:val="24"/>
        </w:rPr>
        <w:t>S</w:t>
      </w:r>
      <w:r w:rsidRPr="00941DD5">
        <w:rPr>
          <w:szCs w:val="24"/>
        </w:rPr>
        <w:t>1.  Seafloor disturbance, harvests, and estimated maximum sustainable yields for trawl fisheries by large marine ecosystem (LME).</w:t>
      </w:r>
    </w:p>
    <w:tbl>
      <w:tblPr>
        <w:tblW w:w="9810" w:type="dxa"/>
        <w:tblCellMar>
          <w:top w:w="15" w:type="dxa"/>
          <w:left w:w="15" w:type="dxa"/>
          <w:bottom w:w="15" w:type="dxa"/>
          <w:right w:w="15" w:type="dxa"/>
        </w:tblCellMar>
        <w:tblLook w:val="04A0" w:firstRow="1" w:lastRow="0" w:firstColumn="1" w:lastColumn="0" w:noHBand="0" w:noVBand="1"/>
      </w:tblPr>
      <w:tblGrid>
        <w:gridCol w:w="3059"/>
        <w:gridCol w:w="1143"/>
        <w:gridCol w:w="937"/>
        <w:gridCol w:w="2230"/>
        <w:gridCol w:w="1271"/>
        <w:gridCol w:w="1170"/>
      </w:tblGrid>
      <w:tr w:rsidR="00D208ED" w:rsidRPr="00941DD5" w14:paraId="13050F85" w14:textId="77777777" w:rsidTr="00D208ED">
        <w:trPr>
          <w:tblHeader/>
        </w:trPr>
        <w:tc>
          <w:tcPr>
            <w:tcW w:w="3059" w:type="dxa"/>
            <w:tcBorders>
              <w:top w:val="single" w:sz="4" w:space="0" w:color="auto"/>
              <w:bottom w:val="single" w:sz="4" w:space="0" w:color="auto"/>
            </w:tcBorders>
            <w:vAlign w:val="center"/>
            <w:hideMark/>
          </w:tcPr>
          <w:p w14:paraId="5F4ED368" w14:textId="77777777" w:rsidR="00D208ED" w:rsidRPr="00941DD5" w:rsidRDefault="00D208ED" w:rsidP="00D208ED">
            <w:pPr>
              <w:rPr>
                <w:b/>
                <w:bCs/>
                <w:szCs w:val="24"/>
              </w:rPr>
            </w:pPr>
            <w:r w:rsidRPr="00941DD5">
              <w:rPr>
                <w:b/>
                <w:bCs/>
                <w:szCs w:val="24"/>
              </w:rPr>
              <w:t>LME</w:t>
            </w:r>
          </w:p>
        </w:tc>
        <w:tc>
          <w:tcPr>
            <w:tcW w:w="1143" w:type="dxa"/>
            <w:tcBorders>
              <w:top w:val="single" w:sz="4" w:space="0" w:color="auto"/>
              <w:bottom w:val="single" w:sz="4" w:space="0" w:color="auto"/>
            </w:tcBorders>
            <w:vAlign w:val="center"/>
            <w:hideMark/>
          </w:tcPr>
          <w:p w14:paraId="6E11368A" w14:textId="77777777" w:rsidR="00D208ED" w:rsidRPr="00941DD5" w:rsidRDefault="00D208ED" w:rsidP="00D208ED">
            <w:pPr>
              <w:rPr>
                <w:b/>
                <w:bCs/>
                <w:szCs w:val="24"/>
              </w:rPr>
            </w:pPr>
            <w:r w:rsidRPr="00941DD5">
              <w:rPr>
                <w:b/>
                <w:bCs/>
                <w:szCs w:val="24"/>
              </w:rPr>
              <w:t>Seafloor disturbance (%)</w:t>
            </w:r>
          </w:p>
        </w:tc>
        <w:tc>
          <w:tcPr>
            <w:tcW w:w="0" w:type="auto"/>
            <w:tcBorders>
              <w:top w:val="single" w:sz="4" w:space="0" w:color="auto"/>
              <w:bottom w:val="single" w:sz="4" w:space="0" w:color="auto"/>
            </w:tcBorders>
            <w:vAlign w:val="center"/>
            <w:hideMark/>
          </w:tcPr>
          <w:p w14:paraId="25662C58" w14:textId="77777777" w:rsidR="00D208ED" w:rsidRPr="00941DD5" w:rsidRDefault="00D208ED" w:rsidP="00D208ED">
            <w:pPr>
              <w:jc w:val="center"/>
              <w:rPr>
                <w:b/>
                <w:bCs/>
                <w:szCs w:val="24"/>
              </w:rPr>
            </w:pPr>
            <w:r w:rsidRPr="00941DD5">
              <w:rPr>
                <w:b/>
                <w:bCs/>
                <w:szCs w:val="24"/>
              </w:rPr>
              <w:t>Shelf area</w:t>
            </w:r>
          </w:p>
          <w:p w14:paraId="5BBFE823" w14:textId="77777777" w:rsidR="00D208ED" w:rsidRPr="00941DD5" w:rsidRDefault="00D208ED" w:rsidP="00D208ED">
            <w:pPr>
              <w:jc w:val="center"/>
              <w:rPr>
                <w:b/>
                <w:bCs/>
                <w:szCs w:val="24"/>
              </w:rPr>
            </w:pPr>
            <w:r w:rsidRPr="00941DD5">
              <w:rPr>
                <w:b/>
                <w:bCs/>
                <w:szCs w:val="24"/>
              </w:rPr>
              <w:t xml:space="preserve"> (sq. km)</w:t>
            </w:r>
          </w:p>
        </w:tc>
        <w:tc>
          <w:tcPr>
            <w:tcW w:w="0" w:type="auto"/>
            <w:tcBorders>
              <w:top w:val="single" w:sz="4" w:space="0" w:color="auto"/>
              <w:bottom w:val="single" w:sz="4" w:space="0" w:color="auto"/>
            </w:tcBorders>
            <w:vAlign w:val="center"/>
            <w:hideMark/>
          </w:tcPr>
          <w:p w14:paraId="6C395B15" w14:textId="77777777" w:rsidR="00D208ED" w:rsidRPr="00941DD5" w:rsidRDefault="00D208ED" w:rsidP="00D208ED">
            <w:pPr>
              <w:jc w:val="center"/>
              <w:rPr>
                <w:b/>
                <w:bCs/>
                <w:szCs w:val="24"/>
              </w:rPr>
            </w:pPr>
            <w:r w:rsidRPr="00941DD5">
              <w:rPr>
                <w:b/>
                <w:bCs/>
                <w:szCs w:val="24"/>
              </w:rPr>
              <w:t>2014 trawl harvest (1,000 mt)</w:t>
            </w:r>
          </w:p>
        </w:tc>
        <w:tc>
          <w:tcPr>
            <w:tcW w:w="1271" w:type="dxa"/>
            <w:tcBorders>
              <w:top w:val="single" w:sz="4" w:space="0" w:color="auto"/>
              <w:bottom w:val="single" w:sz="4" w:space="0" w:color="auto"/>
            </w:tcBorders>
            <w:vAlign w:val="center"/>
            <w:hideMark/>
          </w:tcPr>
          <w:p w14:paraId="6F6822B2" w14:textId="77777777" w:rsidR="00D208ED" w:rsidRPr="00941DD5" w:rsidRDefault="00A77D75" w:rsidP="00D208ED">
            <w:pPr>
              <w:jc w:val="center"/>
              <w:rPr>
                <w:b/>
                <w:bCs/>
                <w:szCs w:val="24"/>
                <w:vertAlign w:val="superscript"/>
              </w:rPr>
            </w:pPr>
            <m:oMath>
              <m:sSub>
                <m:sSubPr>
                  <m:ctrlPr>
                    <w:rPr>
                      <w:rFonts w:ascii="Cambria Math" w:hAnsi="Cambria Math"/>
                      <w:b/>
                      <w:bCs/>
                      <w:i/>
                      <w:szCs w:val="24"/>
                    </w:rPr>
                  </m:ctrlPr>
                </m:sSubPr>
                <m:e>
                  <m:r>
                    <m:rPr>
                      <m:sty m:val="bi"/>
                    </m:rPr>
                    <w:rPr>
                      <w:rFonts w:ascii="Cambria Math" w:hAnsi="Cambria Math"/>
                      <w:szCs w:val="24"/>
                    </w:rPr>
                    <m:t>E</m:t>
                  </m:r>
                </m:e>
                <m:sub>
                  <m:r>
                    <m:rPr>
                      <m:sty m:val="bi"/>
                    </m:rPr>
                    <w:rPr>
                      <w:rFonts w:ascii="Cambria Math" w:hAnsi="Cambria Math"/>
                      <w:szCs w:val="24"/>
                    </w:rPr>
                    <m:t>msy</m:t>
                  </m:r>
                </m:sub>
              </m:sSub>
              <m:r>
                <m:rPr>
                  <m:sty m:val="bi"/>
                </m:rPr>
                <w:rPr>
                  <w:rFonts w:ascii="Cambria Math" w:hAnsi="Cambria Math"/>
                  <w:szCs w:val="24"/>
                </w:rPr>
                <m:t>/</m:t>
              </m:r>
              <m:sSub>
                <m:sSubPr>
                  <m:ctrlPr>
                    <w:rPr>
                      <w:rFonts w:ascii="Cambria Math" w:hAnsi="Cambria Math"/>
                      <w:b/>
                      <w:bCs/>
                      <w:i/>
                      <w:szCs w:val="24"/>
                    </w:rPr>
                  </m:ctrlPr>
                </m:sSubPr>
                <m:e>
                  <m:r>
                    <m:rPr>
                      <m:sty m:val="bi"/>
                    </m:rPr>
                    <w:rPr>
                      <w:rFonts w:ascii="Cambria Math" w:hAnsi="Cambria Math"/>
                      <w:szCs w:val="24"/>
                    </w:rPr>
                    <m:t>E</m:t>
                  </m:r>
                </m:e>
                <m:sub>
                  <m:r>
                    <m:rPr>
                      <m:sty m:val="bi"/>
                    </m:rPr>
                    <w:rPr>
                      <w:rFonts w:ascii="Cambria Math" w:hAnsi="Cambria Math"/>
                      <w:szCs w:val="24"/>
                    </w:rPr>
                    <m:t>last</m:t>
                  </m:r>
                </m:sub>
              </m:sSub>
            </m:oMath>
            <w:r w:rsidR="00D208ED" w:rsidRPr="00941DD5">
              <w:rPr>
                <w:color w:val="000000"/>
                <w:szCs w:val="24"/>
                <w:shd w:val="clear" w:color="auto" w:fill="FFFFFF"/>
              </w:rPr>
              <w:t>*</w:t>
            </w:r>
          </w:p>
        </w:tc>
        <w:tc>
          <w:tcPr>
            <w:tcW w:w="1170" w:type="dxa"/>
            <w:tcBorders>
              <w:top w:val="single" w:sz="4" w:space="0" w:color="auto"/>
              <w:bottom w:val="single" w:sz="4" w:space="0" w:color="auto"/>
            </w:tcBorders>
            <w:vAlign w:val="center"/>
            <w:hideMark/>
          </w:tcPr>
          <w:p w14:paraId="0908006D" w14:textId="77777777" w:rsidR="00D208ED" w:rsidRPr="00941DD5" w:rsidRDefault="00A77D75" w:rsidP="00D208ED">
            <w:pPr>
              <w:jc w:val="center"/>
              <w:rPr>
                <w:b/>
                <w:bCs/>
                <w:szCs w:val="24"/>
                <w:vertAlign w:val="superscript"/>
              </w:rPr>
            </w:pPr>
            <m:oMath>
              <m:sSub>
                <m:sSubPr>
                  <m:ctrlPr>
                    <w:rPr>
                      <w:rFonts w:ascii="Cambria Math" w:hAnsi="Cambria Math"/>
                      <w:b/>
                      <w:bCs/>
                      <w:i/>
                      <w:szCs w:val="24"/>
                    </w:rPr>
                  </m:ctrlPr>
                </m:sSubPr>
                <m:e>
                  <m:r>
                    <m:rPr>
                      <m:sty m:val="bi"/>
                    </m:rPr>
                    <w:rPr>
                      <w:rFonts w:ascii="Cambria Math" w:hAnsi="Cambria Math"/>
                      <w:szCs w:val="24"/>
                    </w:rPr>
                    <m:t>Y</m:t>
                  </m:r>
                </m:e>
                <m:sub>
                  <m:r>
                    <m:rPr>
                      <m:sty m:val="bi"/>
                    </m:rPr>
                    <w:rPr>
                      <w:rFonts w:ascii="Cambria Math" w:hAnsi="Cambria Math"/>
                      <w:szCs w:val="24"/>
                    </w:rPr>
                    <m:t>msy</m:t>
                  </m:r>
                </m:sub>
              </m:sSub>
              <m:r>
                <m:rPr>
                  <m:sty m:val="bi"/>
                </m:rPr>
                <w:rPr>
                  <w:rFonts w:ascii="Cambria Math" w:hAnsi="Cambria Math"/>
                  <w:szCs w:val="24"/>
                </w:rPr>
                <m:t>/</m:t>
              </m:r>
              <m:sSub>
                <m:sSubPr>
                  <m:ctrlPr>
                    <w:rPr>
                      <w:rFonts w:ascii="Cambria Math" w:hAnsi="Cambria Math"/>
                      <w:b/>
                      <w:bCs/>
                      <w:i/>
                      <w:szCs w:val="24"/>
                    </w:rPr>
                  </m:ctrlPr>
                </m:sSubPr>
                <m:e>
                  <m:r>
                    <m:rPr>
                      <m:sty m:val="bi"/>
                    </m:rPr>
                    <w:rPr>
                      <w:rFonts w:ascii="Cambria Math" w:hAnsi="Cambria Math"/>
                      <w:szCs w:val="24"/>
                    </w:rPr>
                    <m:t>Y</m:t>
                  </m:r>
                </m:e>
                <m:sub>
                  <m:r>
                    <m:rPr>
                      <m:sty m:val="bi"/>
                    </m:rPr>
                    <w:rPr>
                      <w:rFonts w:ascii="Cambria Math" w:hAnsi="Cambria Math"/>
                      <w:szCs w:val="24"/>
                    </w:rPr>
                    <m:t>last</m:t>
                  </m:r>
                </m:sub>
              </m:sSub>
            </m:oMath>
            <w:r w:rsidR="00D208ED" w:rsidRPr="00941DD5">
              <w:rPr>
                <w:color w:val="000000"/>
                <w:szCs w:val="24"/>
                <w:shd w:val="clear" w:color="auto" w:fill="FFFFFF"/>
                <w:vertAlign w:val="superscript"/>
              </w:rPr>
              <w:t>†</w:t>
            </w:r>
          </w:p>
        </w:tc>
      </w:tr>
      <w:tr w:rsidR="00D208ED" w:rsidRPr="00941DD5" w14:paraId="42EAE06D" w14:textId="77777777" w:rsidTr="00D208ED">
        <w:tc>
          <w:tcPr>
            <w:tcW w:w="3059" w:type="dxa"/>
            <w:tcBorders>
              <w:top w:val="single" w:sz="4" w:space="0" w:color="auto"/>
            </w:tcBorders>
            <w:vAlign w:val="center"/>
            <w:hideMark/>
          </w:tcPr>
          <w:p w14:paraId="44312474" w14:textId="77777777" w:rsidR="00D208ED" w:rsidRPr="00941DD5" w:rsidRDefault="00D208ED" w:rsidP="00D208ED">
            <w:pPr>
              <w:rPr>
                <w:szCs w:val="24"/>
              </w:rPr>
            </w:pPr>
            <w:r w:rsidRPr="00941DD5">
              <w:rPr>
                <w:szCs w:val="24"/>
              </w:rPr>
              <w:t>Agulhas Current</w:t>
            </w:r>
          </w:p>
        </w:tc>
        <w:tc>
          <w:tcPr>
            <w:tcW w:w="1143" w:type="dxa"/>
            <w:tcBorders>
              <w:top w:val="single" w:sz="4" w:space="0" w:color="auto"/>
            </w:tcBorders>
            <w:vAlign w:val="center"/>
            <w:hideMark/>
          </w:tcPr>
          <w:p w14:paraId="2C504664" w14:textId="77777777" w:rsidR="00D208ED" w:rsidRPr="00941DD5" w:rsidRDefault="00D208ED" w:rsidP="00D208ED">
            <w:pPr>
              <w:rPr>
                <w:szCs w:val="24"/>
              </w:rPr>
            </w:pPr>
            <w:r w:rsidRPr="00941DD5">
              <w:rPr>
                <w:szCs w:val="24"/>
              </w:rPr>
              <w:t>7.2</w:t>
            </w:r>
          </w:p>
        </w:tc>
        <w:tc>
          <w:tcPr>
            <w:tcW w:w="0" w:type="auto"/>
            <w:tcBorders>
              <w:top w:val="single" w:sz="4" w:space="0" w:color="auto"/>
            </w:tcBorders>
            <w:vAlign w:val="center"/>
            <w:hideMark/>
          </w:tcPr>
          <w:p w14:paraId="1EA93269" w14:textId="77777777" w:rsidR="00D208ED" w:rsidRPr="00941DD5" w:rsidRDefault="00D208ED" w:rsidP="00D208ED">
            <w:pPr>
              <w:jc w:val="center"/>
              <w:rPr>
                <w:szCs w:val="24"/>
              </w:rPr>
            </w:pPr>
            <w:r w:rsidRPr="00941DD5">
              <w:rPr>
                <w:szCs w:val="24"/>
              </w:rPr>
              <w:t>470,184</w:t>
            </w:r>
          </w:p>
        </w:tc>
        <w:tc>
          <w:tcPr>
            <w:tcW w:w="0" w:type="auto"/>
            <w:tcBorders>
              <w:top w:val="single" w:sz="4" w:space="0" w:color="auto"/>
            </w:tcBorders>
            <w:vAlign w:val="center"/>
            <w:hideMark/>
          </w:tcPr>
          <w:p w14:paraId="5BFFB5F1" w14:textId="77777777" w:rsidR="00D208ED" w:rsidRPr="00941DD5" w:rsidRDefault="00D208ED" w:rsidP="00D208ED">
            <w:pPr>
              <w:jc w:val="center"/>
              <w:rPr>
                <w:szCs w:val="24"/>
              </w:rPr>
            </w:pPr>
            <w:r w:rsidRPr="00941DD5">
              <w:rPr>
                <w:szCs w:val="24"/>
              </w:rPr>
              <w:t>108.9</w:t>
            </w:r>
          </w:p>
        </w:tc>
        <w:tc>
          <w:tcPr>
            <w:tcW w:w="1271" w:type="dxa"/>
            <w:tcBorders>
              <w:top w:val="single" w:sz="4" w:space="0" w:color="auto"/>
            </w:tcBorders>
            <w:vAlign w:val="center"/>
            <w:hideMark/>
          </w:tcPr>
          <w:p w14:paraId="7BF3C98C" w14:textId="77777777" w:rsidR="00D208ED" w:rsidRPr="00941DD5" w:rsidRDefault="00D208ED" w:rsidP="00D208ED">
            <w:pPr>
              <w:jc w:val="center"/>
              <w:rPr>
                <w:szCs w:val="24"/>
              </w:rPr>
            </w:pPr>
            <w:r w:rsidRPr="00941DD5">
              <w:rPr>
                <w:szCs w:val="24"/>
              </w:rPr>
              <w:t>0.87</w:t>
            </w:r>
          </w:p>
        </w:tc>
        <w:tc>
          <w:tcPr>
            <w:tcW w:w="1170" w:type="dxa"/>
            <w:tcBorders>
              <w:top w:val="single" w:sz="4" w:space="0" w:color="auto"/>
            </w:tcBorders>
            <w:vAlign w:val="center"/>
            <w:hideMark/>
          </w:tcPr>
          <w:p w14:paraId="5287E862" w14:textId="77777777" w:rsidR="00D208ED" w:rsidRPr="00941DD5" w:rsidRDefault="00D208ED" w:rsidP="00D208ED">
            <w:pPr>
              <w:jc w:val="center"/>
              <w:rPr>
                <w:szCs w:val="24"/>
              </w:rPr>
            </w:pPr>
            <w:r w:rsidRPr="00941DD5">
              <w:rPr>
                <w:szCs w:val="24"/>
              </w:rPr>
              <w:t>1.25</w:t>
            </w:r>
          </w:p>
        </w:tc>
      </w:tr>
      <w:tr w:rsidR="00D208ED" w:rsidRPr="00941DD5" w14:paraId="4394534C" w14:textId="77777777" w:rsidTr="00D208ED">
        <w:tc>
          <w:tcPr>
            <w:tcW w:w="3059" w:type="dxa"/>
            <w:vAlign w:val="center"/>
            <w:hideMark/>
          </w:tcPr>
          <w:p w14:paraId="47B093DB" w14:textId="77777777" w:rsidR="00D208ED" w:rsidRPr="00941DD5" w:rsidRDefault="00D208ED" w:rsidP="00D208ED">
            <w:pPr>
              <w:rPr>
                <w:szCs w:val="24"/>
              </w:rPr>
            </w:pPr>
            <w:r w:rsidRPr="00941DD5">
              <w:rPr>
                <w:szCs w:val="24"/>
              </w:rPr>
              <w:t>Aleutian Islands</w:t>
            </w:r>
          </w:p>
        </w:tc>
        <w:tc>
          <w:tcPr>
            <w:tcW w:w="1143" w:type="dxa"/>
            <w:vAlign w:val="center"/>
            <w:hideMark/>
          </w:tcPr>
          <w:p w14:paraId="5C2525BA" w14:textId="77777777" w:rsidR="00D208ED" w:rsidRPr="00941DD5" w:rsidRDefault="00D208ED" w:rsidP="00D208ED">
            <w:pPr>
              <w:rPr>
                <w:szCs w:val="24"/>
              </w:rPr>
            </w:pPr>
            <w:r w:rsidRPr="00941DD5">
              <w:rPr>
                <w:szCs w:val="24"/>
              </w:rPr>
              <w:t>6.8</w:t>
            </w:r>
          </w:p>
        </w:tc>
        <w:tc>
          <w:tcPr>
            <w:tcW w:w="0" w:type="auto"/>
            <w:vAlign w:val="center"/>
            <w:hideMark/>
          </w:tcPr>
          <w:p w14:paraId="1825435D" w14:textId="77777777" w:rsidR="00D208ED" w:rsidRPr="00941DD5" w:rsidRDefault="00D208ED" w:rsidP="00D208ED">
            <w:pPr>
              <w:jc w:val="center"/>
              <w:rPr>
                <w:szCs w:val="24"/>
              </w:rPr>
            </w:pPr>
            <w:r w:rsidRPr="00941DD5">
              <w:rPr>
                <w:szCs w:val="24"/>
              </w:rPr>
              <w:t>83,264</w:t>
            </w:r>
          </w:p>
        </w:tc>
        <w:tc>
          <w:tcPr>
            <w:tcW w:w="0" w:type="auto"/>
            <w:vAlign w:val="center"/>
            <w:hideMark/>
          </w:tcPr>
          <w:p w14:paraId="689604C0" w14:textId="77777777" w:rsidR="00D208ED" w:rsidRPr="00941DD5" w:rsidRDefault="00D208ED" w:rsidP="00D208ED">
            <w:pPr>
              <w:jc w:val="center"/>
              <w:rPr>
                <w:szCs w:val="24"/>
              </w:rPr>
            </w:pPr>
            <w:r w:rsidRPr="00941DD5">
              <w:rPr>
                <w:szCs w:val="24"/>
              </w:rPr>
              <w:t>508.1</w:t>
            </w:r>
          </w:p>
        </w:tc>
        <w:tc>
          <w:tcPr>
            <w:tcW w:w="1271" w:type="dxa"/>
            <w:vAlign w:val="center"/>
            <w:hideMark/>
          </w:tcPr>
          <w:p w14:paraId="5E411BE8" w14:textId="77777777" w:rsidR="00D208ED" w:rsidRPr="00941DD5" w:rsidRDefault="00D208ED" w:rsidP="00D208ED">
            <w:pPr>
              <w:jc w:val="center"/>
              <w:rPr>
                <w:szCs w:val="24"/>
              </w:rPr>
            </w:pPr>
            <w:r w:rsidRPr="00941DD5">
              <w:rPr>
                <w:szCs w:val="24"/>
              </w:rPr>
              <w:t>1.85</w:t>
            </w:r>
          </w:p>
        </w:tc>
        <w:tc>
          <w:tcPr>
            <w:tcW w:w="1170" w:type="dxa"/>
            <w:vAlign w:val="center"/>
            <w:hideMark/>
          </w:tcPr>
          <w:p w14:paraId="02D86B2D" w14:textId="77777777" w:rsidR="00D208ED" w:rsidRPr="00941DD5" w:rsidRDefault="00D208ED" w:rsidP="00D208ED">
            <w:pPr>
              <w:jc w:val="center"/>
              <w:rPr>
                <w:szCs w:val="24"/>
              </w:rPr>
            </w:pPr>
            <w:r w:rsidRPr="00941DD5">
              <w:rPr>
                <w:szCs w:val="24"/>
              </w:rPr>
              <w:t>1.13</w:t>
            </w:r>
          </w:p>
        </w:tc>
      </w:tr>
      <w:tr w:rsidR="00D208ED" w:rsidRPr="00941DD5" w14:paraId="4C79DC58" w14:textId="77777777" w:rsidTr="00D208ED">
        <w:tc>
          <w:tcPr>
            <w:tcW w:w="3059" w:type="dxa"/>
            <w:vAlign w:val="center"/>
            <w:hideMark/>
          </w:tcPr>
          <w:p w14:paraId="2C4C5C0F" w14:textId="77777777" w:rsidR="00D208ED" w:rsidRPr="00941DD5" w:rsidRDefault="00D208ED" w:rsidP="00D208ED">
            <w:pPr>
              <w:rPr>
                <w:szCs w:val="24"/>
              </w:rPr>
            </w:pPr>
            <w:r w:rsidRPr="00941DD5">
              <w:rPr>
                <w:szCs w:val="24"/>
              </w:rPr>
              <w:t>Antarctic</w:t>
            </w:r>
          </w:p>
        </w:tc>
        <w:tc>
          <w:tcPr>
            <w:tcW w:w="1143" w:type="dxa"/>
            <w:vAlign w:val="center"/>
            <w:hideMark/>
          </w:tcPr>
          <w:p w14:paraId="087486F1" w14:textId="77777777" w:rsidR="00D208ED" w:rsidRPr="00941DD5" w:rsidRDefault="00D208ED" w:rsidP="00D208ED">
            <w:pPr>
              <w:rPr>
                <w:szCs w:val="24"/>
              </w:rPr>
            </w:pPr>
            <w:r w:rsidRPr="00941DD5">
              <w:rPr>
                <w:szCs w:val="24"/>
              </w:rPr>
              <w:t>0.2</w:t>
            </w:r>
          </w:p>
        </w:tc>
        <w:tc>
          <w:tcPr>
            <w:tcW w:w="0" w:type="auto"/>
            <w:vAlign w:val="center"/>
            <w:hideMark/>
          </w:tcPr>
          <w:p w14:paraId="796976B5" w14:textId="77777777" w:rsidR="00D208ED" w:rsidRPr="00941DD5" w:rsidRDefault="00D208ED" w:rsidP="00D208ED">
            <w:pPr>
              <w:jc w:val="center"/>
              <w:rPr>
                <w:szCs w:val="24"/>
              </w:rPr>
            </w:pPr>
            <w:r w:rsidRPr="00941DD5">
              <w:rPr>
                <w:szCs w:val="24"/>
              </w:rPr>
              <w:t>2,721,116</w:t>
            </w:r>
          </w:p>
        </w:tc>
        <w:tc>
          <w:tcPr>
            <w:tcW w:w="0" w:type="auto"/>
            <w:vAlign w:val="center"/>
            <w:hideMark/>
          </w:tcPr>
          <w:p w14:paraId="5DFBEF92" w14:textId="77777777" w:rsidR="00D208ED" w:rsidRPr="00941DD5" w:rsidRDefault="00D208ED" w:rsidP="00D208ED">
            <w:pPr>
              <w:jc w:val="center"/>
              <w:rPr>
                <w:szCs w:val="24"/>
              </w:rPr>
            </w:pPr>
            <w:r w:rsidRPr="00941DD5">
              <w:rPr>
                <w:szCs w:val="24"/>
              </w:rPr>
              <w:t>146.7</w:t>
            </w:r>
          </w:p>
        </w:tc>
        <w:tc>
          <w:tcPr>
            <w:tcW w:w="1271" w:type="dxa"/>
            <w:vAlign w:val="center"/>
            <w:hideMark/>
          </w:tcPr>
          <w:p w14:paraId="25228A95" w14:textId="77777777" w:rsidR="00D208ED" w:rsidRPr="00941DD5" w:rsidRDefault="00D208ED" w:rsidP="00D208ED">
            <w:pPr>
              <w:jc w:val="center"/>
              <w:rPr>
                <w:szCs w:val="24"/>
              </w:rPr>
            </w:pPr>
            <w:r w:rsidRPr="00941DD5">
              <w:rPr>
                <w:szCs w:val="24"/>
              </w:rPr>
              <w:t>1.85</w:t>
            </w:r>
          </w:p>
        </w:tc>
        <w:tc>
          <w:tcPr>
            <w:tcW w:w="1170" w:type="dxa"/>
            <w:vAlign w:val="center"/>
            <w:hideMark/>
          </w:tcPr>
          <w:p w14:paraId="392B481A" w14:textId="77777777" w:rsidR="00D208ED" w:rsidRPr="00941DD5" w:rsidRDefault="00D208ED" w:rsidP="00D208ED">
            <w:pPr>
              <w:jc w:val="center"/>
              <w:rPr>
                <w:szCs w:val="24"/>
              </w:rPr>
            </w:pPr>
            <w:r w:rsidRPr="00941DD5">
              <w:rPr>
                <w:szCs w:val="24"/>
              </w:rPr>
              <w:t>1.08</w:t>
            </w:r>
          </w:p>
        </w:tc>
      </w:tr>
      <w:tr w:rsidR="00D208ED" w:rsidRPr="00941DD5" w14:paraId="4ECC3631" w14:textId="77777777" w:rsidTr="00D208ED">
        <w:tc>
          <w:tcPr>
            <w:tcW w:w="3059" w:type="dxa"/>
            <w:vAlign w:val="center"/>
            <w:hideMark/>
          </w:tcPr>
          <w:p w14:paraId="7A070012" w14:textId="77777777" w:rsidR="00D208ED" w:rsidRPr="00941DD5" w:rsidRDefault="00D208ED" w:rsidP="00D208ED">
            <w:pPr>
              <w:rPr>
                <w:szCs w:val="24"/>
              </w:rPr>
            </w:pPr>
            <w:r w:rsidRPr="00941DD5">
              <w:rPr>
                <w:szCs w:val="24"/>
              </w:rPr>
              <w:t>Arabian Sea</w:t>
            </w:r>
          </w:p>
        </w:tc>
        <w:tc>
          <w:tcPr>
            <w:tcW w:w="1143" w:type="dxa"/>
            <w:vAlign w:val="center"/>
            <w:hideMark/>
          </w:tcPr>
          <w:p w14:paraId="799AA626" w14:textId="77777777" w:rsidR="00D208ED" w:rsidRPr="00941DD5" w:rsidRDefault="00D208ED" w:rsidP="00D208ED">
            <w:pPr>
              <w:rPr>
                <w:szCs w:val="24"/>
              </w:rPr>
            </w:pPr>
            <w:r w:rsidRPr="00941DD5">
              <w:rPr>
                <w:szCs w:val="24"/>
              </w:rPr>
              <w:t>1.9</w:t>
            </w:r>
          </w:p>
        </w:tc>
        <w:tc>
          <w:tcPr>
            <w:tcW w:w="0" w:type="auto"/>
            <w:vAlign w:val="center"/>
            <w:hideMark/>
          </w:tcPr>
          <w:p w14:paraId="3CE50A7F" w14:textId="77777777" w:rsidR="00D208ED" w:rsidRPr="00941DD5" w:rsidRDefault="00D208ED" w:rsidP="00D208ED">
            <w:pPr>
              <w:jc w:val="center"/>
              <w:rPr>
                <w:szCs w:val="24"/>
              </w:rPr>
            </w:pPr>
            <w:r w:rsidRPr="00941DD5">
              <w:rPr>
                <w:szCs w:val="24"/>
              </w:rPr>
              <w:t>861,776</w:t>
            </w:r>
          </w:p>
        </w:tc>
        <w:tc>
          <w:tcPr>
            <w:tcW w:w="0" w:type="auto"/>
            <w:vAlign w:val="center"/>
            <w:hideMark/>
          </w:tcPr>
          <w:p w14:paraId="39D08C5E" w14:textId="77777777" w:rsidR="00D208ED" w:rsidRPr="00941DD5" w:rsidRDefault="00D208ED" w:rsidP="00D208ED">
            <w:pPr>
              <w:jc w:val="center"/>
              <w:rPr>
                <w:szCs w:val="24"/>
              </w:rPr>
            </w:pPr>
            <w:r w:rsidRPr="00941DD5">
              <w:rPr>
                <w:szCs w:val="24"/>
              </w:rPr>
              <w:t>584.5</w:t>
            </w:r>
          </w:p>
        </w:tc>
        <w:tc>
          <w:tcPr>
            <w:tcW w:w="1271" w:type="dxa"/>
            <w:vAlign w:val="center"/>
            <w:hideMark/>
          </w:tcPr>
          <w:p w14:paraId="10A5D103" w14:textId="77777777" w:rsidR="00D208ED" w:rsidRPr="00941DD5" w:rsidRDefault="00D208ED" w:rsidP="00D208ED">
            <w:pPr>
              <w:jc w:val="center"/>
              <w:rPr>
                <w:szCs w:val="24"/>
              </w:rPr>
            </w:pPr>
            <w:r w:rsidRPr="00941DD5">
              <w:rPr>
                <w:szCs w:val="24"/>
              </w:rPr>
              <w:t>2.28</w:t>
            </w:r>
          </w:p>
        </w:tc>
        <w:tc>
          <w:tcPr>
            <w:tcW w:w="1170" w:type="dxa"/>
            <w:vAlign w:val="center"/>
            <w:hideMark/>
          </w:tcPr>
          <w:p w14:paraId="445011EB" w14:textId="77777777" w:rsidR="00D208ED" w:rsidRPr="00941DD5" w:rsidRDefault="00D208ED" w:rsidP="00D208ED">
            <w:pPr>
              <w:jc w:val="center"/>
              <w:rPr>
                <w:szCs w:val="24"/>
              </w:rPr>
            </w:pPr>
            <w:r w:rsidRPr="00941DD5">
              <w:rPr>
                <w:szCs w:val="24"/>
              </w:rPr>
              <w:t>1.42</w:t>
            </w:r>
          </w:p>
        </w:tc>
      </w:tr>
      <w:tr w:rsidR="00D208ED" w:rsidRPr="00941DD5" w14:paraId="3956AB10" w14:textId="77777777" w:rsidTr="00D208ED">
        <w:tc>
          <w:tcPr>
            <w:tcW w:w="3059" w:type="dxa"/>
            <w:vAlign w:val="center"/>
            <w:hideMark/>
          </w:tcPr>
          <w:p w14:paraId="0B47DD21" w14:textId="77777777" w:rsidR="00D208ED" w:rsidRPr="00941DD5" w:rsidRDefault="00D208ED" w:rsidP="00D208ED">
            <w:pPr>
              <w:rPr>
                <w:szCs w:val="24"/>
              </w:rPr>
            </w:pPr>
            <w:r w:rsidRPr="00941DD5">
              <w:rPr>
                <w:szCs w:val="24"/>
              </w:rPr>
              <w:t>Baltic Sea</w:t>
            </w:r>
          </w:p>
        </w:tc>
        <w:tc>
          <w:tcPr>
            <w:tcW w:w="1143" w:type="dxa"/>
            <w:vAlign w:val="center"/>
            <w:hideMark/>
          </w:tcPr>
          <w:p w14:paraId="5EFB00F8" w14:textId="77777777" w:rsidR="00D208ED" w:rsidRPr="00941DD5" w:rsidRDefault="00D208ED" w:rsidP="00D208ED">
            <w:pPr>
              <w:rPr>
                <w:szCs w:val="24"/>
              </w:rPr>
            </w:pPr>
            <w:r w:rsidRPr="00941DD5">
              <w:rPr>
                <w:szCs w:val="24"/>
              </w:rPr>
              <w:t>20.2</w:t>
            </w:r>
          </w:p>
        </w:tc>
        <w:tc>
          <w:tcPr>
            <w:tcW w:w="0" w:type="auto"/>
            <w:vAlign w:val="center"/>
            <w:hideMark/>
          </w:tcPr>
          <w:p w14:paraId="5E611CF5" w14:textId="77777777" w:rsidR="00D208ED" w:rsidRPr="00941DD5" w:rsidRDefault="00D208ED" w:rsidP="00D208ED">
            <w:pPr>
              <w:jc w:val="center"/>
              <w:rPr>
                <w:szCs w:val="24"/>
              </w:rPr>
            </w:pPr>
            <w:r w:rsidRPr="00941DD5">
              <w:rPr>
                <w:szCs w:val="24"/>
              </w:rPr>
              <w:t>377,548</w:t>
            </w:r>
          </w:p>
        </w:tc>
        <w:tc>
          <w:tcPr>
            <w:tcW w:w="0" w:type="auto"/>
            <w:vAlign w:val="center"/>
            <w:hideMark/>
          </w:tcPr>
          <w:p w14:paraId="4EA0CE4D" w14:textId="77777777" w:rsidR="00D208ED" w:rsidRPr="00941DD5" w:rsidRDefault="00D208ED" w:rsidP="00D208ED">
            <w:pPr>
              <w:jc w:val="center"/>
              <w:rPr>
                <w:szCs w:val="24"/>
              </w:rPr>
            </w:pPr>
            <w:r w:rsidRPr="00941DD5">
              <w:rPr>
                <w:szCs w:val="24"/>
              </w:rPr>
              <w:t>436.4</w:t>
            </w:r>
          </w:p>
        </w:tc>
        <w:tc>
          <w:tcPr>
            <w:tcW w:w="1271" w:type="dxa"/>
            <w:vAlign w:val="center"/>
            <w:hideMark/>
          </w:tcPr>
          <w:p w14:paraId="0A173E03" w14:textId="77777777" w:rsidR="00D208ED" w:rsidRPr="00941DD5" w:rsidRDefault="00D208ED" w:rsidP="00D208ED">
            <w:pPr>
              <w:jc w:val="center"/>
              <w:rPr>
                <w:szCs w:val="24"/>
              </w:rPr>
            </w:pPr>
            <w:r w:rsidRPr="00941DD5">
              <w:rPr>
                <w:szCs w:val="24"/>
              </w:rPr>
              <w:t>1.77</w:t>
            </w:r>
          </w:p>
        </w:tc>
        <w:tc>
          <w:tcPr>
            <w:tcW w:w="1170" w:type="dxa"/>
            <w:vAlign w:val="center"/>
            <w:hideMark/>
          </w:tcPr>
          <w:p w14:paraId="38B2AAFE" w14:textId="77777777" w:rsidR="00D208ED" w:rsidRPr="00941DD5" w:rsidRDefault="00D208ED" w:rsidP="00D208ED">
            <w:pPr>
              <w:jc w:val="center"/>
              <w:rPr>
                <w:szCs w:val="24"/>
              </w:rPr>
            </w:pPr>
            <w:r w:rsidRPr="00941DD5">
              <w:rPr>
                <w:szCs w:val="24"/>
              </w:rPr>
              <w:t>1.42</w:t>
            </w:r>
          </w:p>
        </w:tc>
      </w:tr>
      <w:tr w:rsidR="00D208ED" w:rsidRPr="00941DD5" w14:paraId="65CDC9EF" w14:textId="77777777" w:rsidTr="00D208ED">
        <w:tc>
          <w:tcPr>
            <w:tcW w:w="3059" w:type="dxa"/>
            <w:vAlign w:val="center"/>
            <w:hideMark/>
          </w:tcPr>
          <w:p w14:paraId="4CED6804" w14:textId="77777777" w:rsidR="00D208ED" w:rsidRPr="00941DD5" w:rsidRDefault="00D208ED" w:rsidP="00D208ED">
            <w:pPr>
              <w:rPr>
                <w:szCs w:val="24"/>
              </w:rPr>
            </w:pPr>
            <w:r w:rsidRPr="00941DD5">
              <w:rPr>
                <w:szCs w:val="24"/>
              </w:rPr>
              <w:t>Barents Sea</w:t>
            </w:r>
          </w:p>
        </w:tc>
        <w:tc>
          <w:tcPr>
            <w:tcW w:w="1143" w:type="dxa"/>
            <w:vAlign w:val="center"/>
            <w:hideMark/>
          </w:tcPr>
          <w:p w14:paraId="4ABC4E2C" w14:textId="77777777" w:rsidR="00D208ED" w:rsidRPr="00941DD5" w:rsidRDefault="00D208ED" w:rsidP="00D208ED">
            <w:pPr>
              <w:rPr>
                <w:szCs w:val="24"/>
              </w:rPr>
            </w:pPr>
            <w:r w:rsidRPr="00941DD5">
              <w:rPr>
                <w:szCs w:val="24"/>
              </w:rPr>
              <w:t>14.3</w:t>
            </w:r>
          </w:p>
        </w:tc>
        <w:tc>
          <w:tcPr>
            <w:tcW w:w="0" w:type="auto"/>
            <w:vAlign w:val="center"/>
            <w:hideMark/>
          </w:tcPr>
          <w:p w14:paraId="350FDD54" w14:textId="77777777" w:rsidR="00D208ED" w:rsidRPr="00941DD5" w:rsidRDefault="00D208ED" w:rsidP="00D208ED">
            <w:pPr>
              <w:jc w:val="center"/>
              <w:rPr>
                <w:szCs w:val="24"/>
              </w:rPr>
            </w:pPr>
            <w:r w:rsidRPr="00941DD5">
              <w:rPr>
                <w:szCs w:val="24"/>
              </w:rPr>
              <w:t>1,793,564</w:t>
            </w:r>
          </w:p>
        </w:tc>
        <w:tc>
          <w:tcPr>
            <w:tcW w:w="0" w:type="auto"/>
            <w:vAlign w:val="center"/>
            <w:hideMark/>
          </w:tcPr>
          <w:p w14:paraId="3CAAB635" w14:textId="77777777" w:rsidR="00D208ED" w:rsidRPr="00941DD5" w:rsidRDefault="00D208ED" w:rsidP="00D208ED">
            <w:pPr>
              <w:jc w:val="center"/>
              <w:rPr>
                <w:szCs w:val="24"/>
              </w:rPr>
            </w:pPr>
            <w:r w:rsidRPr="00941DD5">
              <w:rPr>
                <w:szCs w:val="24"/>
              </w:rPr>
              <w:t>229.3</w:t>
            </w:r>
          </w:p>
        </w:tc>
        <w:tc>
          <w:tcPr>
            <w:tcW w:w="1271" w:type="dxa"/>
            <w:vAlign w:val="center"/>
            <w:hideMark/>
          </w:tcPr>
          <w:p w14:paraId="7C1CEF29" w14:textId="77777777" w:rsidR="00D208ED" w:rsidRPr="00941DD5" w:rsidRDefault="00D208ED" w:rsidP="00D208ED">
            <w:pPr>
              <w:jc w:val="center"/>
              <w:rPr>
                <w:szCs w:val="24"/>
              </w:rPr>
            </w:pPr>
            <w:r w:rsidRPr="00941DD5">
              <w:rPr>
                <w:szCs w:val="24"/>
              </w:rPr>
              <w:t>1.55</w:t>
            </w:r>
          </w:p>
        </w:tc>
        <w:tc>
          <w:tcPr>
            <w:tcW w:w="1170" w:type="dxa"/>
            <w:vAlign w:val="center"/>
            <w:hideMark/>
          </w:tcPr>
          <w:p w14:paraId="7D0FE4E9" w14:textId="77777777" w:rsidR="00D208ED" w:rsidRPr="00941DD5" w:rsidRDefault="00D208ED" w:rsidP="00D208ED">
            <w:pPr>
              <w:jc w:val="center"/>
              <w:rPr>
                <w:szCs w:val="24"/>
              </w:rPr>
            </w:pPr>
            <w:r w:rsidRPr="00941DD5">
              <w:rPr>
                <w:szCs w:val="24"/>
              </w:rPr>
              <w:t>1.67</w:t>
            </w:r>
          </w:p>
        </w:tc>
      </w:tr>
      <w:tr w:rsidR="00D208ED" w:rsidRPr="00941DD5" w14:paraId="3F5D64DA" w14:textId="77777777" w:rsidTr="00D208ED">
        <w:tc>
          <w:tcPr>
            <w:tcW w:w="3059" w:type="dxa"/>
            <w:vAlign w:val="center"/>
            <w:hideMark/>
          </w:tcPr>
          <w:p w14:paraId="22C8C971" w14:textId="77777777" w:rsidR="00D208ED" w:rsidRPr="00941DD5" w:rsidRDefault="00D208ED" w:rsidP="00D208ED">
            <w:pPr>
              <w:rPr>
                <w:szCs w:val="24"/>
              </w:rPr>
            </w:pPr>
            <w:r w:rsidRPr="00941DD5">
              <w:rPr>
                <w:szCs w:val="24"/>
              </w:rPr>
              <w:t>Bay of Bengal</w:t>
            </w:r>
          </w:p>
        </w:tc>
        <w:tc>
          <w:tcPr>
            <w:tcW w:w="1143" w:type="dxa"/>
            <w:vAlign w:val="center"/>
            <w:hideMark/>
          </w:tcPr>
          <w:p w14:paraId="0BE4B1F2" w14:textId="77777777" w:rsidR="00D208ED" w:rsidRPr="00941DD5" w:rsidRDefault="00D208ED" w:rsidP="00D208ED">
            <w:pPr>
              <w:rPr>
                <w:szCs w:val="24"/>
                <w:vertAlign w:val="superscript"/>
              </w:rPr>
            </w:pPr>
            <w:r w:rsidRPr="00941DD5">
              <w:rPr>
                <w:szCs w:val="24"/>
              </w:rPr>
              <w:t>0.5 (15.5)</w:t>
            </w:r>
            <w:r w:rsidRPr="00941DD5">
              <w:rPr>
                <w:color w:val="000000"/>
                <w:szCs w:val="24"/>
                <w:shd w:val="clear" w:color="auto" w:fill="FFFFFF"/>
                <w:vertAlign w:val="superscript"/>
              </w:rPr>
              <w:t>‡</w:t>
            </w:r>
          </w:p>
        </w:tc>
        <w:tc>
          <w:tcPr>
            <w:tcW w:w="0" w:type="auto"/>
            <w:vAlign w:val="center"/>
            <w:hideMark/>
          </w:tcPr>
          <w:p w14:paraId="5F8B45BD" w14:textId="77777777" w:rsidR="00D208ED" w:rsidRPr="00941DD5" w:rsidRDefault="00D208ED" w:rsidP="00D208ED">
            <w:pPr>
              <w:jc w:val="center"/>
              <w:rPr>
                <w:szCs w:val="24"/>
              </w:rPr>
            </w:pPr>
            <w:r w:rsidRPr="00941DD5">
              <w:rPr>
                <w:szCs w:val="24"/>
              </w:rPr>
              <w:t>897,204</w:t>
            </w:r>
          </w:p>
        </w:tc>
        <w:tc>
          <w:tcPr>
            <w:tcW w:w="0" w:type="auto"/>
            <w:vAlign w:val="center"/>
            <w:hideMark/>
          </w:tcPr>
          <w:p w14:paraId="7CFF3FAB" w14:textId="77777777" w:rsidR="00D208ED" w:rsidRPr="00941DD5" w:rsidRDefault="00D208ED" w:rsidP="00D208ED">
            <w:pPr>
              <w:jc w:val="center"/>
              <w:rPr>
                <w:szCs w:val="24"/>
              </w:rPr>
            </w:pPr>
            <w:r w:rsidRPr="00941DD5">
              <w:rPr>
                <w:szCs w:val="24"/>
              </w:rPr>
              <w:t>2,072.5</w:t>
            </w:r>
          </w:p>
        </w:tc>
        <w:tc>
          <w:tcPr>
            <w:tcW w:w="1271" w:type="dxa"/>
            <w:vAlign w:val="center"/>
            <w:hideMark/>
          </w:tcPr>
          <w:p w14:paraId="673A856B" w14:textId="77777777" w:rsidR="00D208ED" w:rsidRPr="00941DD5" w:rsidRDefault="00D208ED" w:rsidP="00D208ED">
            <w:pPr>
              <w:jc w:val="center"/>
              <w:rPr>
                <w:szCs w:val="24"/>
              </w:rPr>
            </w:pPr>
            <w:r w:rsidRPr="00941DD5">
              <w:rPr>
                <w:szCs w:val="24"/>
              </w:rPr>
              <w:t>1.89</w:t>
            </w:r>
          </w:p>
        </w:tc>
        <w:tc>
          <w:tcPr>
            <w:tcW w:w="1170" w:type="dxa"/>
            <w:vAlign w:val="center"/>
            <w:hideMark/>
          </w:tcPr>
          <w:p w14:paraId="4B1D5547" w14:textId="77777777" w:rsidR="00D208ED" w:rsidRPr="00941DD5" w:rsidRDefault="00D208ED" w:rsidP="00D208ED">
            <w:pPr>
              <w:jc w:val="center"/>
              <w:rPr>
                <w:szCs w:val="24"/>
              </w:rPr>
            </w:pPr>
            <w:r w:rsidRPr="00941DD5">
              <w:rPr>
                <w:szCs w:val="24"/>
              </w:rPr>
              <w:t>1.27</w:t>
            </w:r>
          </w:p>
        </w:tc>
      </w:tr>
      <w:tr w:rsidR="00D208ED" w:rsidRPr="00941DD5" w14:paraId="75E1FF4F" w14:textId="77777777" w:rsidTr="00D208ED">
        <w:tc>
          <w:tcPr>
            <w:tcW w:w="3059" w:type="dxa"/>
            <w:vAlign w:val="center"/>
            <w:hideMark/>
          </w:tcPr>
          <w:p w14:paraId="7CF2D3C9" w14:textId="77777777" w:rsidR="00D208ED" w:rsidRPr="00941DD5" w:rsidRDefault="00D208ED" w:rsidP="00D208ED">
            <w:pPr>
              <w:rPr>
                <w:szCs w:val="24"/>
              </w:rPr>
            </w:pPr>
            <w:r w:rsidRPr="00941DD5">
              <w:rPr>
                <w:szCs w:val="24"/>
              </w:rPr>
              <w:t>Beaufort Sea</w:t>
            </w:r>
          </w:p>
        </w:tc>
        <w:tc>
          <w:tcPr>
            <w:tcW w:w="1143" w:type="dxa"/>
            <w:vAlign w:val="center"/>
            <w:hideMark/>
          </w:tcPr>
          <w:p w14:paraId="0AB3C8FF" w14:textId="77777777" w:rsidR="00D208ED" w:rsidRPr="00941DD5" w:rsidRDefault="00D208ED" w:rsidP="00D208ED">
            <w:pPr>
              <w:rPr>
                <w:szCs w:val="24"/>
              </w:rPr>
            </w:pPr>
            <w:r w:rsidRPr="00941DD5">
              <w:rPr>
                <w:szCs w:val="24"/>
              </w:rPr>
              <w:t>0.1</w:t>
            </w:r>
          </w:p>
        </w:tc>
        <w:tc>
          <w:tcPr>
            <w:tcW w:w="0" w:type="auto"/>
            <w:vAlign w:val="center"/>
            <w:hideMark/>
          </w:tcPr>
          <w:p w14:paraId="2E32A598" w14:textId="77777777" w:rsidR="00D208ED" w:rsidRPr="00941DD5" w:rsidRDefault="00D208ED" w:rsidP="00D208ED">
            <w:pPr>
              <w:jc w:val="center"/>
              <w:rPr>
                <w:szCs w:val="24"/>
              </w:rPr>
            </w:pPr>
            <w:r w:rsidRPr="00941DD5">
              <w:rPr>
                <w:szCs w:val="24"/>
              </w:rPr>
              <w:t>620,780</w:t>
            </w:r>
          </w:p>
        </w:tc>
        <w:tc>
          <w:tcPr>
            <w:tcW w:w="0" w:type="auto"/>
            <w:vAlign w:val="center"/>
            <w:hideMark/>
          </w:tcPr>
          <w:p w14:paraId="68079295" w14:textId="77777777" w:rsidR="00D208ED" w:rsidRPr="00941DD5" w:rsidRDefault="00D208ED" w:rsidP="00D208ED">
            <w:pPr>
              <w:jc w:val="center"/>
              <w:rPr>
                <w:szCs w:val="24"/>
              </w:rPr>
            </w:pPr>
            <w:r w:rsidRPr="00941DD5">
              <w:rPr>
                <w:szCs w:val="24"/>
              </w:rPr>
              <w:t>0</w:t>
            </w:r>
          </w:p>
        </w:tc>
        <w:tc>
          <w:tcPr>
            <w:tcW w:w="1271" w:type="dxa"/>
            <w:vAlign w:val="center"/>
            <w:hideMark/>
          </w:tcPr>
          <w:p w14:paraId="058F3A38" w14:textId="77777777" w:rsidR="00D208ED" w:rsidRPr="00941DD5" w:rsidRDefault="00D208ED" w:rsidP="00D208ED">
            <w:pPr>
              <w:jc w:val="center"/>
              <w:rPr>
                <w:szCs w:val="24"/>
                <w:vertAlign w:val="superscript"/>
              </w:rPr>
            </w:pPr>
            <w:r w:rsidRPr="00941DD5">
              <w:rPr>
                <w:szCs w:val="24"/>
              </w:rPr>
              <w:t>-</w:t>
            </w:r>
            <w:r w:rsidRPr="00941DD5">
              <w:rPr>
                <w:color w:val="000000"/>
                <w:szCs w:val="24"/>
                <w:shd w:val="clear" w:color="auto" w:fill="FFFFFF"/>
                <w:vertAlign w:val="superscript"/>
              </w:rPr>
              <w:t>§</w:t>
            </w:r>
          </w:p>
        </w:tc>
        <w:tc>
          <w:tcPr>
            <w:tcW w:w="1170" w:type="dxa"/>
            <w:vAlign w:val="center"/>
            <w:hideMark/>
          </w:tcPr>
          <w:p w14:paraId="62B932E2" w14:textId="77777777" w:rsidR="00D208ED" w:rsidRPr="00941DD5" w:rsidRDefault="00D208ED" w:rsidP="00D208ED">
            <w:pPr>
              <w:jc w:val="center"/>
              <w:rPr>
                <w:szCs w:val="24"/>
              </w:rPr>
            </w:pPr>
            <w:r w:rsidRPr="00941DD5">
              <w:rPr>
                <w:szCs w:val="24"/>
              </w:rPr>
              <w:t>-</w:t>
            </w:r>
          </w:p>
        </w:tc>
      </w:tr>
      <w:tr w:rsidR="00D208ED" w:rsidRPr="00941DD5" w14:paraId="531F3C37" w14:textId="77777777" w:rsidTr="00D208ED">
        <w:tc>
          <w:tcPr>
            <w:tcW w:w="3059" w:type="dxa"/>
            <w:vAlign w:val="center"/>
            <w:hideMark/>
          </w:tcPr>
          <w:p w14:paraId="7A0C7986" w14:textId="77777777" w:rsidR="00D208ED" w:rsidRPr="00941DD5" w:rsidRDefault="00D208ED" w:rsidP="00D208ED">
            <w:pPr>
              <w:rPr>
                <w:szCs w:val="24"/>
              </w:rPr>
            </w:pPr>
            <w:r w:rsidRPr="00941DD5">
              <w:rPr>
                <w:szCs w:val="24"/>
              </w:rPr>
              <w:t>Benguela Current</w:t>
            </w:r>
          </w:p>
        </w:tc>
        <w:tc>
          <w:tcPr>
            <w:tcW w:w="1143" w:type="dxa"/>
            <w:vAlign w:val="center"/>
            <w:hideMark/>
          </w:tcPr>
          <w:p w14:paraId="4B9F0563" w14:textId="77777777" w:rsidR="00D208ED" w:rsidRPr="00941DD5" w:rsidRDefault="00D208ED" w:rsidP="00D208ED">
            <w:pPr>
              <w:rPr>
                <w:szCs w:val="24"/>
              </w:rPr>
            </w:pPr>
            <w:r w:rsidRPr="00941DD5">
              <w:rPr>
                <w:szCs w:val="24"/>
              </w:rPr>
              <w:t>17.1</w:t>
            </w:r>
          </w:p>
        </w:tc>
        <w:tc>
          <w:tcPr>
            <w:tcW w:w="0" w:type="auto"/>
            <w:vAlign w:val="center"/>
            <w:hideMark/>
          </w:tcPr>
          <w:p w14:paraId="2E9E7C9C" w14:textId="77777777" w:rsidR="00D208ED" w:rsidRPr="00941DD5" w:rsidRDefault="00D208ED" w:rsidP="00D208ED">
            <w:pPr>
              <w:jc w:val="center"/>
              <w:rPr>
                <w:szCs w:val="24"/>
              </w:rPr>
            </w:pPr>
            <w:r w:rsidRPr="00941DD5">
              <w:rPr>
                <w:szCs w:val="24"/>
              </w:rPr>
              <w:t>400,664</w:t>
            </w:r>
          </w:p>
        </w:tc>
        <w:tc>
          <w:tcPr>
            <w:tcW w:w="0" w:type="auto"/>
            <w:vAlign w:val="center"/>
            <w:hideMark/>
          </w:tcPr>
          <w:p w14:paraId="111F37C1" w14:textId="77777777" w:rsidR="00D208ED" w:rsidRPr="00941DD5" w:rsidRDefault="00D208ED" w:rsidP="00D208ED">
            <w:pPr>
              <w:jc w:val="center"/>
              <w:rPr>
                <w:szCs w:val="24"/>
              </w:rPr>
            </w:pPr>
            <w:r w:rsidRPr="00941DD5">
              <w:rPr>
                <w:szCs w:val="24"/>
              </w:rPr>
              <w:t>1,095.2</w:t>
            </w:r>
          </w:p>
        </w:tc>
        <w:tc>
          <w:tcPr>
            <w:tcW w:w="1271" w:type="dxa"/>
            <w:vAlign w:val="center"/>
            <w:hideMark/>
          </w:tcPr>
          <w:p w14:paraId="75AA9ABC" w14:textId="77777777" w:rsidR="00D208ED" w:rsidRPr="00941DD5" w:rsidRDefault="00D208ED" w:rsidP="00D208ED">
            <w:pPr>
              <w:jc w:val="center"/>
              <w:rPr>
                <w:szCs w:val="24"/>
              </w:rPr>
            </w:pPr>
            <w:r w:rsidRPr="00941DD5">
              <w:rPr>
                <w:szCs w:val="24"/>
              </w:rPr>
              <w:t>1.25</w:t>
            </w:r>
          </w:p>
        </w:tc>
        <w:tc>
          <w:tcPr>
            <w:tcW w:w="1170" w:type="dxa"/>
            <w:vAlign w:val="center"/>
            <w:hideMark/>
          </w:tcPr>
          <w:p w14:paraId="2CFF2445" w14:textId="77777777" w:rsidR="00D208ED" w:rsidRPr="00941DD5" w:rsidRDefault="00D208ED" w:rsidP="00D208ED">
            <w:pPr>
              <w:jc w:val="center"/>
              <w:rPr>
                <w:szCs w:val="24"/>
              </w:rPr>
            </w:pPr>
            <w:r w:rsidRPr="00941DD5">
              <w:rPr>
                <w:szCs w:val="24"/>
              </w:rPr>
              <w:t>1.27</w:t>
            </w:r>
          </w:p>
        </w:tc>
      </w:tr>
      <w:tr w:rsidR="00D208ED" w:rsidRPr="00941DD5" w14:paraId="714AE8B9" w14:textId="77777777" w:rsidTr="00D208ED">
        <w:tc>
          <w:tcPr>
            <w:tcW w:w="3059" w:type="dxa"/>
            <w:vAlign w:val="center"/>
            <w:hideMark/>
          </w:tcPr>
          <w:p w14:paraId="7055D8F4" w14:textId="77777777" w:rsidR="00D208ED" w:rsidRPr="00941DD5" w:rsidRDefault="00D208ED" w:rsidP="00D208ED">
            <w:pPr>
              <w:rPr>
                <w:szCs w:val="24"/>
              </w:rPr>
            </w:pPr>
            <w:r w:rsidRPr="00941DD5">
              <w:rPr>
                <w:szCs w:val="24"/>
              </w:rPr>
              <w:t>Black Sea</w:t>
            </w:r>
          </w:p>
        </w:tc>
        <w:tc>
          <w:tcPr>
            <w:tcW w:w="1143" w:type="dxa"/>
            <w:vAlign w:val="center"/>
            <w:hideMark/>
          </w:tcPr>
          <w:p w14:paraId="2870F3B7" w14:textId="77777777" w:rsidR="00D208ED" w:rsidRPr="00941DD5" w:rsidRDefault="00D208ED" w:rsidP="00D208ED">
            <w:pPr>
              <w:rPr>
                <w:szCs w:val="24"/>
              </w:rPr>
            </w:pPr>
            <w:r w:rsidRPr="00941DD5">
              <w:rPr>
                <w:szCs w:val="24"/>
              </w:rPr>
              <w:t>5.8</w:t>
            </w:r>
          </w:p>
        </w:tc>
        <w:tc>
          <w:tcPr>
            <w:tcW w:w="0" w:type="auto"/>
            <w:vAlign w:val="center"/>
            <w:hideMark/>
          </w:tcPr>
          <w:p w14:paraId="10427CB0" w14:textId="77777777" w:rsidR="00D208ED" w:rsidRPr="00941DD5" w:rsidRDefault="00D208ED" w:rsidP="00D208ED">
            <w:pPr>
              <w:jc w:val="center"/>
              <w:rPr>
                <w:szCs w:val="24"/>
              </w:rPr>
            </w:pPr>
            <w:r w:rsidRPr="00941DD5">
              <w:rPr>
                <w:szCs w:val="24"/>
              </w:rPr>
              <w:t>190,820</w:t>
            </w:r>
          </w:p>
        </w:tc>
        <w:tc>
          <w:tcPr>
            <w:tcW w:w="0" w:type="auto"/>
            <w:vAlign w:val="center"/>
            <w:hideMark/>
          </w:tcPr>
          <w:p w14:paraId="61B6312B" w14:textId="77777777" w:rsidR="00D208ED" w:rsidRPr="00941DD5" w:rsidRDefault="00D208ED" w:rsidP="00D208ED">
            <w:pPr>
              <w:jc w:val="center"/>
              <w:rPr>
                <w:szCs w:val="24"/>
              </w:rPr>
            </w:pPr>
            <w:r w:rsidRPr="00941DD5">
              <w:rPr>
                <w:szCs w:val="24"/>
              </w:rPr>
              <w:t>355.9</w:t>
            </w:r>
          </w:p>
        </w:tc>
        <w:tc>
          <w:tcPr>
            <w:tcW w:w="1271" w:type="dxa"/>
            <w:vAlign w:val="center"/>
            <w:hideMark/>
          </w:tcPr>
          <w:p w14:paraId="25893888" w14:textId="77777777" w:rsidR="00D208ED" w:rsidRPr="00941DD5" w:rsidRDefault="00D208ED" w:rsidP="00D208ED">
            <w:pPr>
              <w:jc w:val="center"/>
              <w:rPr>
                <w:szCs w:val="24"/>
              </w:rPr>
            </w:pPr>
            <w:r w:rsidRPr="00941DD5">
              <w:rPr>
                <w:szCs w:val="24"/>
              </w:rPr>
              <w:t>1.3</w:t>
            </w:r>
          </w:p>
        </w:tc>
        <w:tc>
          <w:tcPr>
            <w:tcW w:w="1170" w:type="dxa"/>
            <w:vAlign w:val="center"/>
            <w:hideMark/>
          </w:tcPr>
          <w:p w14:paraId="1C4A8131" w14:textId="77777777" w:rsidR="00D208ED" w:rsidRPr="00941DD5" w:rsidRDefault="00D208ED" w:rsidP="00D208ED">
            <w:pPr>
              <w:jc w:val="center"/>
              <w:rPr>
                <w:szCs w:val="24"/>
              </w:rPr>
            </w:pPr>
            <w:r w:rsidRPr="00941DD5">
              <w:rPr>
                <w:szCs w:val="24"/>
              </w:rPr>
              <w:t>1.46</w:t>
            </w:r>
          </w:p>
        </w:tc>
      </w:tr>
      <w:tr w:rsidR="00D208ED" w:rsidRPr="00941DD5" w14:paraId="75E79BA8" w14:textId="77777777" w:rsidTr="00D208ED">
        <w:tc>
          <w:tcPr>
            <w:tcW w:w="3059" w:type="dxa"/>
            <w:vAlign w:val="center"/>
            <w:hideMark/>
          </w:tcPr>
          <w:p w14:paraId="61CEFCB0" w14:textId="77777777" w:rsidR="00D208ED" w:rsidRPr="00941DD5" w:rsidRDefault="00D208ED" w:rsidP="00D208ED">
            <w:pPr>
              <w:rPr>
                <w:szCs w:val="24"/>
              </w:rPr>
            </w:pPr>
            <w:r w:rsidRPr="00941DD5">
              <w:rPr>
                <w:szCs w:val="24"/>
              </w:rPr>
              <w:t>California Current</w:t>
            </w:r>
          </w:p>
        </w:tc>
        <w:tc>
          <w:tcPr>
            <w:tcW w:w="1143" w:type="dxa"/>
            <w:vAlign w:val="center"/>
            <w:hideMark/>
          </w:tcPr>
          <w:p w14:paraId="5CC0D2F6" w14:textId="77777777" w:rsidR="00D208ED" w:rsidRPr="00941DD5" w:rsidRDefault="00D208ED" w:rsidP="00D208ED">
            <w:pPr>
              <w:rPr>
                <w:szCs w:val="24"/>
              </w:rPr>
            </w:pPr>
            <w:r w:rsidRPr="00941DD5">
              <w:rPr>
                <w:szCs w:val="24"/>
              </w:rPr>
              <w:t>10.9</w:t>
            </w:r>
          </w:p>
        </w:tc>
        <w:tc>
          <w:tcPr>
            <w:tcW w:w="0" w:type="auto"/>
            <w:vAlign w:val="center"/>
            <w:hideMark/>
          </w:tcPr>
          <w:p w14:paraId="6C6A1E33" w14:textId="77777777" w:rsidR="00D208ED" w:rsidRPr="00941DD5" w:rsidRDefault="00D208ED" w:rsidP="00D208ED">
            <w:pPr>
              <w:jc w:val="center"/>
              <w:rPr>
                <w:szCs w:val="24"/>
              </w:rPr>
            </w:pPr>
            <w:r w:rsidRPr="00941DD5">
              <w:rPr>
                <w:szCs w:val="24"/>
              </w:rPr>
              <w:t>206,296</w:t>
            </w:r>
          </w:p>
        </w:tc>
        <w:tc>
          <w:tcPr>
            <w:tcW w:w="0" w:type="auto"/>
            <w:vAlign w:val="center"/>
            <w:hideMark/>
          </w:tcPr>
          <w:p w14:paraId="3E158DE1" w14:textId="77777777" w:rsidR="00D208ED" w:rsidRPr="00941DD5" w:rsidRDefault="00D208ED" w:rsidP="00D208ED">
            <w:pPr>
              <w:jc w:val="center"/>
              <w:rPr>
                <w:szCs w:val="24"/>
              </w:rPr>
            </w:pPr>
            <w:r w:rsidRPr="00941DD5">
              <w:rPr>
                <w:szCs w:val="24"/>
              </w:rPr>
              <w:t>407.3</w:t>
            </w:r>
          </w:p>
        </w:tc>
        <w:tc>
          <w:tcPr>
            <w:tcW w:w="1271" w:type="dxa"/>
            <w:vAlign w:val="center"/>
            <w:hideMark/>
          </w:tcPr>
          <w:p w14:paraId="5BF0B43F" w14:textId="77777777" w:rsidR="00D208ED" w:rsidRPr="00941DD5" w:rsidRDefault="00D208ED" w:rsidP="00D208ED">
            <w:pPr>
              <w:jc w:val="center"/>
              <w:rPr>
                <w:szCs w:val="24"/>
              </w:rPr>
            </w:pPr>
            <w:r w:rsidRPr="00941DD5">
              <w:rPr>
                <w:szCs w:val="24"/>
              </w:rPr>
              <w:t>1.55</w:t>
            </w:r>
          </w:p>
        </w:tc>
        <w:tc>
          <w:tcPr>
            <w:tcW w:w="1170" w:type="dxa"/>
            <w:vAlign w:val="center"/>
            <w:hideMark/>
          </w:tcPr>
          <w:p w14:paraId="3C3FC7FA" w14:textId="77777777" w:rsidR="00D208ED" w:rsidRPr="00941DD5" w:rsidRDefault="00D208ED" w:rsidP="00D208ED">
            <w:pPr>
              <w:jc w:val="center"/>
              <w:rPr>
                <w:szCs w:val="24"/>
              </w:rPr>
            </w:pPr>
            <w:r w:rsidRPr="00941DD5">
              <w:rPr>
                <w:szCs w:val="24"/>
              </w:rPr>
              <w:t>1.21</w:t>
            </w:r>
          </w:p>
        </w:tc>
      </w:tr>
      <w:tr w:rsidR="00D208ED" w:rsidRPr="00941DD5" w14:paraId="75459F14" w14:textId="77777777" w:rsidTr="00D208ED">
        <w:tc>
          <w:tcPr>
            <w:tcW w:w="3059" w:type="dxa"/>
            <w:vAlign w:val="center"/>
            <w:hideMark/>
          </w:tcPr>
          <w:p w14:paraId="514B7411" w14:textId="77777777" w:rsidR="00D208ED" w:rsidRPr="00941DD5" w:rsidRDefault="00D208ED" w:rsidP="00D208ED">
            <w:pPr>
              <w:rPr>
                <w:szCs w:val="24"/>
              </w:rPr>
            </w:pPr>
            <w:r w:rsidRPr="00941DD5">
              <w:rPr>
                <w:szCs w:val="24"/>
              </w:rPr>
              <w:t>Canadian Eastern Arctic -West Greenland</w:t>
            </w:r>
          </w:p>
        </w:tc>
        <w:tc>
          <w:tcPr>
            <w:tcW w:w="1143" w:type="dxa"/>
            <w:vAlign w:val="center"/>
            <w:hideMark/>
          </w:tcPr>
          <w:p w14:paraId="56B089B7" w14:textId="77777777" w:rsidR="00D208ED" w:rsidRPr="00941DD5" w:rsidRDefault="00D208ED" w:rsidP="00D208ED">
            <w:pPr>
              <w:rPr>
                <w:szCs w:val="24"/>
              </w:rPr>
            </w:pPr>
            <w:r w:rsidRPr="00941DD5">
              <w:rPr>
                <w:szCs w:val="24"/>
              </w:rPr>
              <w:t>3.6</w:t>
            </w:r>
          </w:p>
        </w:tc>
        <w:tc>
          <w:tcPr>
            <w:tcW w:w="0" w:type="auto"/>
            <w:vAlign w:val="center"/>
            <w:hideMark/>
          </w:tcPr>
          <w:p w14:paraId="4DA00DA4" w14:textId="77777777" w:rsidR="00D208ED" w:rsidRPr="00941DD5" w:rsidRDefault="00D208ED" w:rsidP="00D208ED">
            <w:pPr>
              <w:jc w:val="center"/>
              <w:rPr>
                <w:szCs w:val="24"/>
              </w:rPr>
            </w:pPr>
            <w:r w:rsidRPr="00941DD5">
              <w:rPr>
                <w:szCs w:val="24"/>
              </w:rPr>
              <w:t>1,004,632</w:t>
            </w:r>
          </w:p>
        </w:tc>
        <w:tc>
          <w:tcPr>
            <w:tcW w:w="0" w:type="auto"/>
            <w:vAlign w:val="center"/>
            <w:hideMark/>
          </w:tcPr>
          <w:p w14:paraId="10383674" w14:textId="77777777" w:rsidR="00D208ED" w:rsidRPr="00941DD5" w:rsidRDefault="00D208ED" w:rsidP="00D208ED">
            <w:pPr>
              <w:jc w:val="center"/>
              <w:rPr>
                <w:szCs w:val="24"/>
              </w:rPr>
            </w:pPr>
            <w:r w:rsidRPr="00941DD5">
              <w:rPr>
                <w:szCs w:val="24"/>
              </w:rPr>
              <w:t>141.8</w:t>
            </w:r>
          </w:p>
        </w:tc>
        <w:tc>
          <w:tcPr>
            <w:tcW w:w="1271" w:type="dxa"/>
            <w:vAlign w:val="center"/>
            <w:hideMark/>
          </w:tcPr>
          <w:p w14:paraId="578DCCDE" w14:textId="77777777" w:rsidR="00D208ED" w:rsidRPr="00941DD5" w:rsidRDefault="00D208ED" w:rsidP="00D208ED">
            <w:pPr>
              <w:jc w:val="center"/>
              <w:rPr>
                <w:szCs w:val="24"/>
              </w:rPr>
            </w:pPr>
            <w:r w:rsidRPr="00941DD5">
              <w:rPr>
                <w:szCs w:val="24"/>
              </w:rPr>
              <w:t>1.1</w:t>
            </w:r>
          </w:p>
        </w:tc>
        <w:tc>
          <w:tcPr>
            <w:tcW w:w="1170" w:type="dxa"/>
            <w:vAlign w:val="center"/>
            <w:hideMark/>
          </w:tcPr>
          <w:p w14:paraId="75F93A7C" w14:textId="77777777" w:rsidR="00D208ED" w:rsidRPr="00941DD5" w:rsidRDefault="00D208ED" w:rsidP="00D208ED">
            <w:pPr>
              <w:jc w:val="center"/>
              <w:rPr>
                <w:szCs w:val="24"/>
              </w:rPr>
            </w:pPr>
            <w:r w:rsidRPr="00941DD5">
              <w:rPr>
                <w:szCs w:val="24"/>
              </w:rPr>
              <w:t>1.25</w:t>
            </w:r>
          </w:p>
        </w:tc>
      </w:tr>
      <w:tr w:rsidR="00D208ED" w:rsidRPr="00941DD5" w14:paraId="26BF68A9" w14:textId="77777777" w:rsidTr="00D208ED">
        <w:tc>
          <w:tcPr>
            <w:tcW w:w="3059" w:type="dxa"/>
            <w:vAlign w:val="center"/>
            <w:hideMark/>
          </w:tcPr>
          <w:p w14:paraId="0AF4C22C" w14:textId="77777777" w:rsidR="00D208ED" w:rsidRPr="00941DD5" w:rsidRDefault="00D208ED" w:rsidP="00D208ED">
            <w:pPr>
              <w:rPr>
                <w:szCs w:val="24"/>
              </w:rPr>
            </w:pPr>
            <w:r w:rsidRPr="00941DD5">
              <w:rPr>
                <w:szCs w:val="24"/>
              </w:rPr>
              <w:t>Canadian High Arctic - North Greenland</w:t>
            </w:r>
          </w:p>
        </w:tc>
        <w:tc>
          <w:tcPr>
            <w:tcW w:w="1143" w:type="dxa"/>
            <w:vAlign w:val="center"/>
            <w:hideMark/>
          </w:tcPr>
          <w:p w14:paraId="6AC9C7DB" w14:textId="77777777" w:rsidR="00D208ED" w:rsidRPr="00941DD5" w:rsidRDefault="00D208ED" w:rsidP="00D208ED">
            <w:pPr>
              <w:rPr>
                <w:szCs w:val="24"/>
              </w:rPr>
            </w:pPr>
            <w:r w:rsidRPr="00941DD5">
              <w:rPr>
                <w:szCs w:val="24"/>
              </w:rPr>
              <w:t>0</w:t>
            </w:r>
          </w:p>
        </w:tc>
        <w:tc>
          <w:tcPr>
            <w:tcW w:w="0" w:type="auto"/>
            <w:vAlign w:val="center"/>
            <w:hideMark/>
          </w:tcPr>
          <w:p w14:paraId="5A050D66" w14:textId="77777777" w:rsidR="00D208ED" w:rsidRPr="00941DD5" w:rsidRDefault="00D208ED" w:rsidP="00D208ED">
            <w:pPr>
              <w:jc w:val="center"/>
              <w:rPr>
                <w:szCs w:val="24"/>
              </w:rPr>
            </w:pPr>
            <w:r w:rsidRPr="00941DD5">
              <w:rPr>
                <w:szCs w:val="24"/>
              </w:rPr>
              <w:t>372,060</w:t>
            </w:r>
          </w:p>
        </w:tc>
        <w:tc>
          <w:tcPr>
            <w:tcW w:w="0" w:type="auto"/>
            <w:vAlign w:val="center"/>
            <w:hideMark/>
          </w:tcPr>
          <w:p w14:paraId="0EDFF12D" w14:textId="77777777" w:rsidR="00D208ED" w:rsidRPr="00941DD5" w:rsidRDefault="00D208ED" w:rsidP="00D208ED">
            <w:pPr>
              <w:jc w:val="center"/>
              <w:rPr>
                <w:szCs w:val="24"/>
              </w:rPr>
            </w:pPr>
            <w:r w:rsidRPr="00941DD5">
              <w:rPr>
                <w:szCs w:val="24"/>
              </w:rPr>
              <w:t>0</w:t>
            </w:r>
          </w:p>
        </w:tc>
        <w:tc>
          <w:tcPr>
            <w:tcW w:w="1271" w:type="dxa"/>
            <w:vAlign w:val="center"/>
            <w:hideMark/>
          </w:tcPr>
          <w:p w14:paraId="40340D23" w14:textId="77777777" w:rsidR="00D208ED" w:rsidRPr="00941DD5" w:rsidRDefault="00D208ED" w:rsidP="00D208ED">
            <w:pPr>
              <w:jc w:val="center"/>
              <w:rPr>
                <w:szCs w:val="24"/>
              </w:rPr>
            </w:pPr>
            <w:r w:rsidRPr="00941DD5">
              <w:rPr>
                <w:szCs w:val="24"/>
              </w:rPr>
              <w:t>-</w:t>
            </w:r>
          </w:p>
        </w:tc>
        <w:tc>
          <w:tcPr>
            <w:tcW w:w="1170" w:type="dxa"/>
            <w:vAlign w:val="center"/>
            <w:hideMark/>
          </w:tcPr>
          <w:p w14:paraId="27E8BDA0" w14:textId="77777777" w:rsidR="00D208ED" w:rsidRPr="00941DD5" w:rsidRDefault="00D208ED" w:rsidP="00D208ED">
            <w:pPr>
              <w:jc w:val="center"/>
              <w:rPr>
                <w:szCs w:val="24"/>
              </w:rPr>
            </w:pPr>
            <w:r w:rsidRPr="00941DD5">
              <w:rPr>
                <w:szCs w:val="24"/>
              </w:rPr>
              <w:t>-</w:t>
            </w:r>
          </w:p>
        </w:tc>
      </w:tr>
      <w:tr w:rsidR="00D208ED" w:rsidRPr="00941DD5" w14:paraId="3769E8B6" w14:textId="77777777" w:rsidTr="00D208ED">
        <w:tc>
          <w:tcPr>
            <w:tcW w:w="3059" w:type="dxa"/>
            <w:vAlign w:val="center"/>
            <w:hideMark/>
          </w:tcPr>
          <w:p w14:paraId="181EE474" w14:textId="77777777" w:rsidR="00D208ED" w:rsidRPr="00941DD5" w:rsidRDefault="00D208ED" w:rsidP="00D208ED">
            <w:pPr>
              <w:rPr>
                <w:szCs w:val="24"/>
              </w:rPr>
            </w:pPr>
            <w:r w:rsidRPr="00941DD5">
              <w:rPr>
                <w:szCs w:val="24"/>
              </w:rPr>
              <w:t>Canary Current</w:t>
            </w:r>
          </w:p>
        </w:tc>
        <w:tc>
          <w:tcPr>
            <w:tcW w:w="1143" w:type="dxa"/>
            <w:vAlign w:val="center"/>
            <w:hideMark/>
          </w:tcPr>
          <w:p w14:paraId="742EED6F" w14:textId="77777777" w:rsidR="00D208ED" w:rsidRPr="00941DD5" w:rsidRDefault="00D208ED" w:rsidP="00D208ED">
            <w:pPr>
              <w:rPr>
                <w:szCs w:val="24"/>
              </w:rPr>
            </w:pPr>
            <w:r w:rsidRPr="00941DD5">
              <w:rPr>
                <w:szCs w:val="24"/>
              </w:rPr>
              <w:t>22.9</w:t>
            </w:r>
          </w:p>
        </w:tc>
        <w:tc>
          <w:tcPr>
            <w:tcW w:w="0" w:type="auto"/>
            <w:vAlign w:val="center"/>
            <w:hideMark/>
          </w:tcPr>
          <w:p w14:paraId="4757BD79" w14:textId="77777777" w:rsidR="00D208ED" w:rsidRPr="00941DD5" w:rsidRDefault="00D208ED" w:rsidP="00D208ED">
            <w:pPr>
              <w:jc w:val="center"/>
              <w:rPr>
                <w:szCs w:val="24"/>
              </w:rPr>
            </w:pPr>
            <w:r w:rsidRPr="00941DD5">
              <w:rPr>
                <w:szCs w:val="24"/>
              </w:rPr>
              <w:t>269,340</w:t>
            </w:r>
          </w:p>
        </w:tc>
        <w:tc>
          <w:tcPr>
            <w:tcW w:w="0" w:type="auto"/>
            <w:vAlign w:val="center"/>
            <w:hideMark/>
          </w:tcPr>
          <w:p w14:paraId="0C0CB86E" w14:textId="77777777" w:rsidR="00D208ED" w:rsidRPr="00941DD5" w:rsidRDefault="00D208ED" w:rsidP="00D208ED">
            <w:pPr>
              <w:jc w:val="center"/>
              <w:rPr>
                <w:szCs w:val="24"/>
              </w:rPr>
            </w:pPr>
            <w:r w:rsidRPr="00941DD5">
              <w:rPr>
                <w:szCs w:val="24"/>
              </w:rPr>
              <w:t>3,229.3</w:t>
            </w:r>
          </w:p>
        </w:tc>
        <w:tc>
          <w:tcPr>
            <w:tcW w:w="1271" w:type="dxa"/>
            <w:vAlign w:val="center"/>
            <w:hideMark/>
          </w:tcPr>
          <w:p w14:paraId="5F0C15E5" w14:textId="77777777" w:rsidR="00D208ED" w:rsidRPr="00941DD5" w:rsidRDefault="00D208ED" w:rsidP="00D208ED">
            <w:pPr>
              <w:jc w:val="center"/>
              <w:rPr>
                <w:szCs w:val="24"/>
              </w:rPr>
            </w:pPr>
            <w:r w:rsidRPr="00941DD5">
              <w:rPr>
                <w:szCs w:val="24"/>
              </w:rPr>
              <w:t>1.71</w:t>
            </w:r>
          </w:p>
        </w:tc>
        <w:tc>
          <w:tcPr>
            <w:tcW w:w="1170" w:type="dxa"/>
            <w:vAlign w:val="center"/>
            <w:hideMark/>
          </w:tcPr>
          <w:p w14:paraId="6DB0EC66" w14:textId="77777777" w:rsidR="00D208ED" w:rsidRPr="00941DD5" w:rsidRDefault="00D208ED" w:rsidP="00D208ED">
            <w:pPr>
              <w:jc w:val="center"/>
              <w:rPr>
                <w:szCs w:val="24"/>
              </w:rPr>
            </w:pPr>
            <w:r w:rsidRPr="00941DD5">
              <w:rPr>
                <w:szCs w:val="24"/>
              </w:rPr>
              <w:t>1.24</w:t>
            </w:r>
          </w:p>
        </w:tc>
      </w:tr>
      <w:tr w:rsidR="00D208ED" w:rsidRPr="00941DD5" w14:paraId="1D58CD2B" w14:textId="77777777" w:rsidTr="00D208ED">
        <w:tc>
          <w:tcPr>
            <w:tcW w:w="3059" w:type="dxa"/>
            <w:vAlign w:val="center"/>
            <w:hideMark/>
          </w:tcPr>
          <w:p w14:paraId="75115812" w14:textId="77777777" w:rsidR="00D208ED" w:rsidRPr="00941DD5" w:rsidRDefault="00D208ED" w:rsidP="00D208ED">
            <w:pPr>
              <w:rPr>
                <w:szCs w:val="24"/>
              </w:rPr>
            </w:pPr>
            <w:r w:rsidRPr="00941DD5">
              <w:rPr>
                <w:szCs w:val="24"/>
              </w:rPr>
              <w:t>Caribbean Sea</w:t>
            </w:r>
          </w:p>
        </w:tc>
        <w:tc>
          <w:tcPr>
            <w:tcW w:w="1143" w:type="dxa"/>
            <w:vAlign w:val="center"/>
            <w:hideMark/>
          </w:tcPr>
          <w:p w14:paraId="356C8F18" w14:textId="77777777" w:rsidR="00D208ED" w:rsidRPr="00941DD5" w:rsidRDefault="00D208ED" w:rsidP="00D208ED">
            <w:pPr>
              <w:rPr>
                <w:szCs w:val="24"/>
              </w:rPr>
            </w:pPr>
            <w:r w:rsidRPr="00941DD5">
              <w:rPr>
                <w:szCs w:val="24"/>
              </w:rPr>
              <w:t>0 (2.5)</w:t>
            </w:r>
            <w:r w:rsidRPr="00941DD5">
              <w:rPr>
                <w:szCs w:val="24"/>
                <w:vertAlign w:val="superscript"/>
              </w:rPr>
              <w:t xml:space="preserve"> </w:t>
            </w:r>
            <w:r w:rsidRPr="00941DD5">
              <w:rPr>
                <w:color w:val="000000"/>
                <w:szCs w:val="24"/>
                <w:shd w:val="clear" w:color="auto" w:fill="FFFFFF"/>
                <w:vertAlign w:val="superscript"/>
              </w:rPr>
              <w:t>‡</w:t>
            </w:r>
          </w:p>
        </w:tc>
        <w:tc>
          <w:tcPr>
            <w:tcW w:w="0" w:type="auto"/>
            <w:vAlign w:val="center"/>
            <w:hideMark/>
          </w:tcPr>
          <w:p w14:paraId="20BA5C92" w14:textId="77777777" w:rsidR="00D208ED" w:rsidRPr="00941DD5" w:rsidRDefault="00D208ED" w:rsidP="00D208ED">
            <w:pPr>
              <w:jc w:val="center"/>
              <w:rPr>
                <w:szCs w:val="24"/>
              </w:rPr>
            </w:pPr>
            <w:r w:rsidRPr="00941DD5">
              <w:rPr>
                <w:szCs w:val="24"/>
              </w:rPr>
              <w:t>850,176</w:t>
            </w:r>
          </w:p>
        </w:tc>
        <w:tc>
          <w:tcPr>
            <w:tcW w:w="0" w:type="auto"/>
            <w:vAlign w:val="center"/>
            <w:hideMark/>
          </w:tcPr>
          <w:p w14:paraId="287E0024" w14:textId="77777777" w:rsidR="00D208ED" w:rsidRPr="00941DD5" w:rsidRDefault="00D208ED" w:rsidP="00D208ED">
            <w:pPr>
              <w:jc w:val="center"/>
              <w:rPr>
                <w:szCs w:val="24"/>
              </w:rPr>
            </w:pPr>
            <w:r w:rsidRPr="00941DD5">
              <w:rPr>
                <w:szCs w:val="24"/>
              </w:rPr>
              <w:t>33.8</w:t>
            </w:r>
          </w:p>
        </w:tc>
        <w:tc>
          <w:tcPr>
            <w:tcW w:w="1271" w:type="dxa"/>
            <w:vAlign w:val="center"/>
            <w:hideMark/>
          </w:tcPr>
          <w:p w14:paraId="04D83A47" w14:textId="77777777" w:rsidR="00D208ED" w:rsidRPr="00941DD5" w:rsidRDefault="00D208ED" w:rsidP="00D208ED">
            <w:pPr>
              <w:jc w:val="center"/>
              <w:rPr>
                <w:szCs w:val="24"/>
              </w:rPr>
            </w:pPr>
            <w:r w:rsidRPr="00941DD5">
              <w:rPr>
                <w:szCs w:val="24"/>
              </w:rPr>
              <w:t>1.41</w:t>
            </w:r>
          </w:p>
        </w:tc>
        <w:tc>
          <w:tcPr>
            <w:tcW w:w="1170" w:type="dxa"/>
            <w:vAlign w:val="center"/>
            <w:hideMark/>
          </w:tcPr>
          <w:p w14:paraId="7640570F" w14:textId="77777777" w:rsidR="00D208ED" w:rsidRPr="00941DD5" w:rsidRDefault="00D208ED" w:rsidP="00D208ED">
            <w:pPr>
              <w:jc w:val="center"/>
              <w:rPr>
                <w:szCs w:val="24"/>
              </w:rPr>
            </w:pPr>
            <w:r w:rsidRPr="00941DD5">
              <w:rPr>
                <w:szCs w:val="24"/>
              </w:rPr>
              <w:t>1.55</w:t>
            </w:r>
          </w:p>
        </w:tc>
      </w:tr>
      <w:tr w:rsidR="00D208ED" w:rsidRPr="00941DD5" w14:paraId="5E115E15" w14:textId="77777777" w:rsidTr="00D208ED">
        <w:tc>
          <w:tcPr>
            <w:tcW w:w="3059" w:type="dxa"/>
            <w:vAlign w:val="center"/>
            <w:hideMark/>
          </w:tcPr>
          <w:p w14:paraId="72C3A1B1" w14:textId="77777777" w:rsidR="00D208ED" w:rsidRPr="00941DD5" w:rsidRDefault="00D208ED" w:rsidP="00D208ED">
            <w:pPr>
              <w:rPr>
                <w:szCs w:val="24"/>
              </w:rPr>
            </w:pPr>
            <w:r w:rsidRPr="00941DD5">
              <w:rPr>
                <w:szCs w:val="24"/>
              </w:rPr>
              <w:t>Celtic-Biscay Shelf</w:t>
            </w:r>
          </w:p>
        </w:tc>
        <w:tc>
          <w:tcPr>
            <w:tcW w:w="1143" w:type="dxa"/>
            <w:vAlign w:val="center"/>
            <w:hideMark/>
          </w:tcPr>
          <w:p w14:paraId="561EF08C" w14:textId="77777777" w:rsidR="00D208ED" w:rsidRPr="00941DD5" w:rsidRDefault="00D208ED" w:rsidP="00D208ED">
            <w:pPr>
              <w:rPr>
                <w:szCs w:val="24"/>
              </w:rPr>
            </w:pPr>
            <w:r w:rsidRPr="00941DD5">
              <w:rPr>
                <w:szCs w:val="24"/>
              </w:rPr>
              <w:t>45.9</w:t>
            </w:r>
          </w:p>
        </w:tc>
        <w:tc>
          <w:tcPr>
            <w:tcW w:w="0" w:type="auto"/>
            <w:vAlign w:val="center"/>
            <w:hideMark/>
          </w:tcPr>
          <w:p w14:paraId="7BFEFE67" w14:textId="77777777" w:rsidR="00D208ED" w:rsidRPr="00941DD5" w:rsidRDefault="00D208ED" w:rsidP="00D208ED">
            <w:pPr>
              <w:jc w:val="center"/>
              <w:rPr>
                <w:szCs w:val="24"/>
              </w:rPr>
            </w:pPr>
            <w:r w:rsidRPr="00941DD5">
              <w:rPr>
                <w:szCs w:val="24"/>
              </w:rPr>
              <w:t>591,924</w:t>
            </w:r>
          </w:p>
        </w:tc>
        <w:tc>
          <w:tcPr>
            <w:tcW w:w="0" w:type="auto"/>
            <w:vAlign w:val="center"/>
            <w:hideMark/>
          </w:tcPr>
          <w:p w14:paraId="0072A391" w14:textId="77777777" w:rsidR="00D208ED" w:rsidRPr="00941DD5" w:rsidRDefault="00D208ED" w:rsidP="00D208ED">
            <w:pPr>
              <w:jc w:val="center"/>
              <w:rPr>
                <w:szCs w:val="24"/>
              </w:rPr>
            </w:pPr>
            <w:r w:rsidRPr="00941DD5">
              <w:rPr>
                <w:szCs w:val="24"/>
              </w:rPr>
              <w:t>1,109.8</w:t>
            </w:r>
          </w:p>
        </w:tc>
        <w:tc>
          <w:tcPr>
            <w:tcW w:w="1271" w:type="dxa"/>
            <w:vAlign w:val="center"/>
            <w:hideMark/>
          </w:tcPr>
          <w:p w14:paraId="48F9A5C0" w14:textId="77777777" w:rsidR="00D208ED" w:rsidRPr="00941DD5" w:rsidRDefault="00D208ED" w:rsidP="00D208ED">
            <w:pPr>
              <w:jc w:val="center"/>
              <w:rPr>
                <w:szCs w:val="24"/>
              </w:rPr>
            </w:pPr>
            <w:r w:rsidRPr="00941DD5">
              <w:rPr>
                <w:szCs w:val="24"/>
              </w:rPr>
              <w:t>1.41</w:t>
            </w:r>
          </w:p>
        </w:tc>
        <w:tc>
          <w:tcPr>
            <w:tcW w:w="1170" w:type="dxa"/>
            <w:vAlign w:val="center"/>
            <w:hideMark/>
          </w:tcPr>
          <w:p w14:paraId="2C5899CF" w14:textId="77777777" w:rsidR="00D208ED" w:rsidRPr="00941DD5" w:rsidRDefault="00D208ED" w:rsidP="00D208ED">
            <w:pPr>
              <w:jc w:val="center"/>
              <w:rPr>
                <w:szCs w:val="24"/>
              </w:rPr>
            </w:pPr>
            <w:r w:rsidRPr="00941DD5">
              <w:rPr>
                <w:szCs w:val="24"/>
              </w:rPr>
              <w:t>1.25</w:t>
            </w:r>
          </w:p>
        </w:tc>
      </w:tr>
      <w:tr w:rsidR="00D208ED" w:rsidRPr="00941DD5" w14:paraId="2A3CDDC2" w14:textId="77777777" w:rsidTr="00D208ED">
        <w:tc>
          <w:tcPr>
            <w:tcW w:w="3059" w:type="dxa"/>
            <w:vAlign w:val="center"/>
            <w:hideMark/>
          </w:tcPr>
          <w:p w14:paraId="5B533B32" w14:textId="77777777" w:rsidR="00D208ED" w:rsidRPr="00941DD5" w:rsidRDefault="00D208ED" w:rsidP="00D208ED">
            <w:pPr>
              <w:rPr>
                <w:szCs w:val="24"/>
              </w:rPr>
            </w:pPr>
            <w:r w:rsidRPr="00941DD5">
              <w:rPr>
                <w:szCs w:val="24"/>
              </w:rPr>
              <w:t>East-Central Australian Shelf</w:t>
            </w:r>
          </w:p>
        </w:tc>
        <w:tc>
          <w:tcPr>
            <w:tcW w:w="1143" w:type="dxa"/>
            <w:vAlign w:val="center"/>
            <w:hideMark/>
          </w:tcPr>
          <w:p w14:paraId="2312D8C3" w14:textId="77777777" w:rsidR="00D208ED" w:rsidRPr="00941DD5" w:rsidRDefault="00D208ED" w:rsidP="00D208ED">
            <w:pPr>
              <w:rPr>
                <w:szCs w:val="24"/>
              </w:rPr>
            </w:pPr>
            <w:r w:rsidRPr="00941DD5">
              <w:rPr>
                <w:szCs w:val="24"/>
              </w:rPr>
              <w:t>5.7</w:t>
            </w:r>
          </w:p>
        </w:tc>
        <w:tc>
          <w:tcPr>
            <w:tcW w:w="0" w:type="auto"/>
            <w:vAlign w:val="center"/>
            <w:hideMark/>
          </w:tcPr>
          <w:p w14:paraId="25128463" w14:textId="77777777" w:rsidR="00D208ED" w:rsidRPr="00941DD5" w:rsidRDefault="00D208ED" w:rsidP="00D208ED">
            <w:pPr>
              <w:jc w:val="center"/>
              <w:rPr>
                <w:szCs w:val="24"/>
              </w:rPr>
            </w:pPr>
            <w:r w:rsidRPr="00941DD5">
              <w:rPr>
                <w:szCs w:val="24"/>
              </w:rPr>
              <w:t>87,520</w:t>
            </w:r>
          </w:p>
        </w:tc>
        <w:tc>
          <w:tcPr>
            <w:tcW w:w="0" w:type="auto"/>
            <w:vAlign w:val="center"/>
            <w:hideMark/>
          </w:tcPr>
          <w:p w14:paraId="526D91BF" w14:textId="77777777" w:rsidR="00D208ED" w:rsidRPr="00941DD5" w:rsidRDefault="00D208ED" w:rsidP="00D208ED">
            <w:pPr>
              <w:jc w:val="center"/>
              <w:rPr>
                <w:szCs w:val="24"/>
              </w:rPr>
            </w:pPr>
            <w:r w:rsidRPr="00941DD5">
              <w:rPr>
                <w:szCs w:val="24"/>
              </w:rPr>
              <w:t>5.1</w:t>
            </w:r>
          </w:p>
        </w:tc>
        <w:tc>
          <w:tcPr>
            <w:tcW w:w="1271" w:type="dxa"/>
            <w:vAlign w:val="center"/>
            <w:hideMark/>
          </w:tcPr>
          <w:p w14:paraId="507D26AD" w14:textId="77777777" w:rsidR="00D208ED" w:rsidRPr="00941DD5" w:rsidRDefault="00D208ED" w:rsidP="00D208ED">
            <w:pPr>
              <w:jc w:val="center"/>
              <w:rPr>
                <w:szCs w:val="24"/>
              </w:rPr>
            </w:pPr>
            <w:r w:rsidRPr="00941DD5">
              <w:rPr>
                <w:szCs w:val="24"/>
              </w:rPr>
              <w:t>3.46</w:t>
            </w:r>
          </w:p>
        </w:tc>
        <w:tc>
          <w:tcPr>
            <w:tcW w:w="1170" w:type="dxa"/>
            <w:vAlign w:val="center"/>
            <w:hideMark/>
          </w:tcPr>
          <w:p w14:paraId="6C418FF7" w14:textId="77777777" w:rsidR="00D208ED" w:rsidRPr="00941DD5" w:rsidRDefault="00D208ED" w:rsidP="00D208ED">
            <w:pPr>
              <w:jc w:val="center"/>
              <w:rPr>
                <w:szCs w:val="24"/>
              </w:rPr>
            </w:pPr>
            <w:r w:rsidRPr="00941DD5">
              <w:rPr>
                <w:szCs w:val="24"/>
              </w:rPr>
              <w:t>4.47</w:t>
            </w:r>
          </w:p>
        </w:tc>
      </w:tr>
      <w:tr w:rsidR="00D208ED" w:rsidRPr="00941DD5" w14:paraId="6367A8BD" w14:textId="77777777" w:rsidTr="00D208ED">
        <w:tc>
          <w:tcPr>
            <w:tcW w:w="3059" w:type="dxa"/>
            <w:vAlign w:val="center"/>
            <w:hideMark/>
          </w:tcPr>
          <w:p w14:paraId="7C142C05" w14:textId="77777777" w:rsidR="00D208ED" w:rsidRPr="00941DD5" w:rsidRDefault="00D208ED" w:rsidP="00D208ED">
            <w:pPr>
              <w:rPr>
                <w:szCs w:val="24"/>
              </w:rPr>
            </w:pPr>
            <w:r w:rsidRPr="00941DD5">
              <w:rPr>
                <w:szCs w:val="24"/>
              </w:rPr>
              <w:t>East Bering Sea</w:t>
            </w:r>
          </w:p>
        </w:tc>
        <w:tc>
          <w:tcPr>
            <w:tcW w:w="1143" w:type="dxa"/>
            <w:vAlign w:val="center"/>
            <w:hideMark/>
          </w:tcPr>
          <w:p w14:paraId="2CE9C623" w14:textId="77777777" w:rsidR="00D208ED" w:rsidRPr="00941DD5" w:rsidRDefault="00D208ED" w:rsidP="00D208ED">
            <w:pPr>
              <w:rPr>
                <w:szCs w:val="24"/>
              </w:rPr>
            </w:pPr>
            <w:r w:rsidRPr="00941DD5">
              <w:rPr>
                <w:szCs w:val="24"/>
              </w:rPr>
              <w:t>14.3</w:t>
            </w:r>
          </w:p>
        </w:tc>
        <w:tc>
          <w:tcPr>
            <w:tcW w:w="0" w:type="auto"/>
            <w:vAlign w:val="center"/>
            <w:hideMark/>
          </w:tcPr>
          <w:p w14:paraId="1F62EC2E" w14:textId="77777777" w:rsidR="00D208ED" w:rsidRPr="00941DD5" w:rsidRDefault="00D208ED" w:rsidP="00D208ED">
            <w:pPr>
              <w:jc w:val="center"/>
              <w:rPr>
                <w:szCs w:val="24"/>
              </w:rPr>
            </w:pPr>
            <w:r w:rsidRPr="00941DD5">
              <w:rPr>
                <w:szCs w:val="24"/>
              </w:rPr>
              <w:t>633,352</w:t>
            </w:r>
          </w:p>
        </w:tc>
        <w:tc>
          <w:tcPr>
            <w:tcW w:w="0" w:type="auto"/>
            <w:vAlign w:val="center"/>
            <w:hideMark/>
          </w:tcPr>
          <w:p w14:paraId="310B74C8" w14:textId="77777777" w:rsidR="00D208ED" w:rsidRPr="00941DD5" w:rsidRDefault="00D208ED" w:rsidP="00D208ED">
            <w:pPr>
              <w:jc w:val="center"/>
              <w:rPr>
                <w:szCs w:val="24"/>
              </w:rPr>
            </w:pPr>
            <w:r w:rsidRPr="00941DD5">
              <w:rPr>
                <w:szCs w:val="24"/>
              </w:rPr>
              <w:t>735.9</w:t>
            </w:r>
          </w:p>
        </w:tc>
        <w:tc>
          <w:tcPr>
            <w:tcW w:w="1271" w:type="dxa"/>
            <w:vAlign w:val="center"/>
            <w:hideMark/>
          </w:tcPr>
          <w:p w14:paraId="1F8BEEDB" w14:textId="77777777" w:rsidR="00D208ED" w:rsidRPr="00941DD5" w:rsidRDefault="00D208ED" w:rsidP="00D208ED">
            <w:pPr>
              <w:jc w:val="center"/>
              <w:rPr>
                <w:szCs w:val="24"/>
              </w:rPr>
            </w:pPr>
            <w:r w:rsidRPr="00941DD5">
              <w:rPr>
                <w:szCs w:val="24"/>
              </w:rPr>
              <w:t>1.59</w:t>
            </w:r>
          </w:p>
        </w:tc>
        <w:tc>
          <w:tcPr>
            <w:tcW w:w="1170" w:type="dxa"/>
            <w:vAlign w:val="center"/>
            <w:hideMark/>
          </w:tcPr>
          <w:p w14:paraId="56570500" w14:textId="77777777" w:rsidR="00D208ED" w:rsidRPr="00941DD5" w:rsidRDefault="00D208ED" w:rsidP="00D208ED">
            <w:pPr>
              <w:jc w:val="center"/>
              <w:rPr>
                <w:szCs w:val="24"/>
              </w:rPr>
            </w:pPr>
            <w:r w:rsidRPr="00941DD5">
              <w:rPr>
                <w:szCs w:val="24"/>
              </w:rPr>
              <w:t>1.12</w:t>
            </w:r>
          </w:p>
        </w:tc>
      </w:tr>
      <w:tr w:rsidR="00D208ED" w:rsidRPr="00941DD5" w14:paraId="23F2A033" w14:textId="77777777" w:rsidTr="00D208ED">
        <w:tc>
          <w:tcPr>
            <w:tcW w:w="3059" w:type="dxa"/>
            <w:vAlign w:val="center"/>
            <w:hideMark/>
          </w:tcPr>
          <w:p w14:paraId="1AC14F67" w14:textId="77777777" w:rsidR="00D208ED" w:rsidRPr="00941DD5" w:rsidRDefault="00D208ED" w:rsidP="00D208ED">
            <w:pPr>
              <w:rPr>
                <w:szCs w:val="24"/>
              </w:rPr>
            </w:pPr>
            <w:r w:rsidRPr="00941DD5">
              <w:rPr>
                <w:szCs w:val="24"/>
              </w:rPr>
              <w:t>East Brazil Shelf</w:t>
            </w:r>
          </w:p>
        </w:tc>
        <w:tc>
          <w:tcPr>
            <w:tcW w:w="1143" w:type="dxa"/>
            <w:vAlign w:val="center"/>
            <w:hideMark/>
          </w:tcPr>
          <w:p w14:paraId="050FD5BF" w14:textId="77777777" w:rsidR="00D208ED" w:rsidRPr="00941DD5" w:rsidRDefault="00D208ED" w:rsidP="00D208ED">
            <w:pPr>
              <w:rPr>
                <w:szCs w:val="24"/>
              </w:rPr>
            </w:pPr>
            <w:r w:rsidRPr="00941DD5">
              <w:rPr>
                <w:szCs w:val="24"/>
              </w:rPr>
              <w:t>0.2 (4.2)</w:t>
            </w:r>
            <w:r w:rsidRPr="00941DD5">
              <w:rPr>
                <w:szCs w:val="24"/>
                <w:vertAlign w:val="superscript"/>
              </w:rPr>
              <w:t xml:space="preserve"> </w:t>
            </w:r>
            <w:r w:rsidRPr="00941DD5">
              <w:rPr>
                <w:color w:val="000000"/>
                <w:szCs w:val="24"/>
                <w:shd w:val="clear" w:color="auto" w:fill="FFFFFF"/>
                <w:vertAlign w:val="superscript"/>
              </w:rPr>
              <w:t>‡</w:t>
            </w:r>
          </w:p>
        </w:tc>
        <w:tc>
          <w:tcPr>
            <w:tcW w:w="0" w:type="auto"/>
            <w:vAlign w:val="center"/>
            <w:hideMark/>
          </w:tcPr>
          <w:p w14:paraId="4B87C41F" w14:textId="77777777" w:rsidR="00D208ED" w:rsidRPr="00941DD5" w:rsidRDefault="00D208ED" w:rsidP="00D208ED">
            <w:pPr>
              <w:jc w:val="center"/>
              <w:rPr>
                <w:szCs w:val="24"/>
              </w:rPr>
            </w:pPr>
            <w:r w:rsidRPr="00941DD5">
              <w:rPr>
                <w:szCs w:val="24"/>
              </w:rPr>
              <w:t>200,136</w:t>
            </w:r>
          </w:p>
        </w:tc>
        <w:tc>
          <w:tcPr>
            <w:tcW w:w="0" w:type="auto"/>
            <w:vAlign w:val="center"/>
            <w:hideMark/>
          </w:tcPr>
          <w:p w14:paraId="327BBAE5" w14:textId="77777777" w:rsidR="00D208ED" w:rsidRPr="00941DD5" w:rsidRDefault="00D208ED" w:rsidP="00D208ED">
            <w:pPr>
              <w:jc w:val="center"/>
              <w:rPr>
                <w:szCs w:val="24"/>
              </w:rPr>
            </w:pPr>
            <w:r w:rsidRPr="00941DD5">
              <w:rPr>
                <w:szCs w:val="24"/>
              </w:rPr>
              <w:t>38.7</w:t>
            </w:r>
          </w:p>
        </w:tc>
        <w:tc>
          <w:tcPr>
            <w:tcW w:w="1271" w:type="dxa"/>
            <w:vAlign w:val="center"/>
            <w:hideMark/>
          </w:tcPr>
          <w:p w14:paraId="4FBDB0AB" w14:textId="77777777" w:rsidR="00D208ED" w:rsidRPr="00941DD5" w:rsidRDefault="00D208ED" w:rsidP="00D208ED">
            <w:pPr>
              <w:jc w:val="center"/>
              <w:rPr>
                <w:szCs w:val="24"/>
              </w:rPr>
            </w:pPr>
            <w:r w:rsidRPr="00941DD5">
              <w:rPr>
                <w:szCs w:val="24"/>
              </w:rPr>
              <w:t>1.59</w:t>
            </w:r>
          </w:p>
        </w:tc>
        <w:tc>
          <w:tcPr>
            <w:tcW w:w="1170" w:type="dxa"/>
            <w:vAlign w:val="center"/>
            <w:hideMark/>
          </w:tcPr>
          <w:p w14:paraId="3B2F62EB" w14:textId="77777777" w:rsidR="00D208ED" w:rsidRPr="00941DD5" w:rsidRDefault="00D208ED" w:rsidP="00D208ED">
            <w:pPr>
              <w:jc w:val="center"/>
              <w:rPr>
                <w:szCs w:val="24"/>
              </w:rPr>
            </w:pPr>
            <w:r w:rsidRPr="00941DD5">
              <w:rPr>
                <w:szCs w:val="24"/>
              </w:rPr>
              <w:t>1.27</w:t>
            </w:r>
          </w:p>
        </w:tc>
      </w:tr>
      <w:tr w:rsidR="00D208ED" w:rsidRPr="00941DD5" w14:paraId="56AD9723" w14:textId="77777777" w:rsidTr="00D208ED">
        <w:tc>
          <w:tcPr>
            <w:tcW w:w="3059" w:type="dxa"/>
            <w:vAlign w:val="center"/>
            <w:hideMark/>
          </w:tcPr>
          <w:p w14:paraId="2DF87B4D" w14:textId="77777777" w:rsidR="00D208ED" w:rsidRPr="00941DD5" w:rsidRDefault="00D208ED" w:rsidP="00D208ED">
            <w:pPr>
              <w:rPr>
                <w:szCs w:val="24"/>
              </w:rPr>
            </w:pPr>
            <w:r w:rsidRPr="00941DD5">
              <w:rPr>
                <w:szCs w:val="24"/>
              </w:rPr>
              <w:t>East China Sea</w:t>
            </w:r>
          </w:p>
        </w:tc>
        <w:tc>
          <w:tcPr>
            <w:tcW w:w="1143" w:type="dxa"/>
            <w:vAlign w:val="center"/>
            <w:hideMark/>
          </w:tcPr>
          <w:p w14:paraId="309F0A59" w14:textId="77777777" w:rsidR="00D208ED" w:rsidRPr="00941DD5" w:rsidRDefault="00D208ED" w:rsidP="00D208ED">
            <w:pPr>
              <w:rPr>
                <w:szCs w:val="24"/>
              </w:rPr>
            </w:pPr>
            <w:r w:rsidRPr="00941DD5">
              <w:rPr>
                <w:szCs w:val="24"/>
              </w:rPr>
              <w:t>20.2</w:t>
            </w:r>
          </w:p>
        </w:tc>
        <w:tc>
          <w:tcPr>
            <w:tcW w:w="0" w:type="auto"/>
            <w:vAlign w:val="center"/>
            <w:hideMark/>
          </w:tcPr>
          <w:p w14:paraId="605CB5D9" w14:textId="77777777" w:rsidR="00D208ED" w:rsidRPr="00941DD5" w:rsidRDefault="00D208ED" w:rsidP="00D208ED">
            <w:pPr>
              <w:jc w:val="center"/>
              <w:rPr>
                <w:szCs w:val="24"/>
              </w:rPr>
            </w:pPr>
            <w:r w:rsidRPr="00941DD5">
              <w:rPr>
                <w:szCs w:val="24"/>
              </w:rPr>
              <w:t>682,420</w:t>
            </w:r>
          </w:p>
        </w:tc>
        <w:tc>
          <w:tcPr>
            <w:tcW w:w="0" w:type="auto"/>
            <w:vAlign w:val="center"/>
            <w:hideMark/>
          </w:tcPr>
          <w:p w14:paraId="5FB9248A" w14:textId="77777777" w:rsidR="00D208ED" w:rsidRPr="00941DD5" w:rsidRDefault="00D208ED" w:rsidP="00D208ED">
            <w:pPr>
              <w:jc w:val="center"/>
              <w:rPr>
                <w:szCs w:val="24"/>
              </w:rPr>
            </w:pPr>
            <w:r w:rsidRPr="00941DD5">
              <w:rPr>
                <w:szCs w:val="24"/>
              </w:rPr>
              <w:t>3,489.5</w:t>
            </w:r>
          </w:p>
        </w:tc>
        <w:tc>
          <w:tcPr>
            <w:tcW w:w="1271" w:type="dxa"/>
            <w:vAlign w:val="center"/>
            <w:hideMark/>
          </w:tcPr>
          <w:p w14:paraId="5CBBB2C0" w14:textId="77777777" w:rsidR="00D208ED" w:rsidRPr="00941DD5" w:rsidRDefault="00D208ED" w:rsidP="00D208ED">
            <w:pPr>
              <w:jc w:val="center"/>
              <w:rPr>
                <w:szCs w:val="24"/>
              </w:rPr>
            </w:pPr>
            <w:r w:rsidRPr="00941DD5">
              <w:rPr>
                <w:szCs w:val="24"/>
              </w:rPr>
              <w:t>1.43</w:t>
            </w:r>
          </w:p>
        </w:tc>
        <w:tc>
          <w:tcPr>
            <w:tcW w:w="1170" w:type="dxa"/>
            <w:vAlign w:val="center"/>
            <w:hideMark/>
          </w:tcPr>
          <w:p w14:paraId="27C549D1" w14:textId="77777777" w:rsidR="00D208ED" w:rsidRPr="00941DD5" w:rsidRDefault="00D208ED" w:rsidP="00D208ED">
            <w:pPr>
              <w:jc w:val="center"/>
              <w:rPr>
                <w:szCs w:val="24"/>
              </w:rPr>
            </w:pPr>
            <w:r w:rsidRPr="00941DD5">
              <w:rPr>
                <w:szCs w:val="24"/>
              </w:rPr>
              <w:t>1.29</w:t>
            </w:r>
          </w:p>
        </w:tc>
      </w:tr>
      <w:tr w:rsidR="00D208ED" w:rsidRPr="00941DD5" w14:paraId="0ECB25C9" w14:textId="77777777" w:rsidTr="00D208ED">
        <w:tc>
          <w:tcPr>
            <w:tcW w:w="3059" w:type="dxa"/>
            <w:vAlign w:val="center"/>
            <w:hideMark/>
          </w:tcPr>
          <w:p w14:paraId="5C8C0D1A" w14:textId="77777777" w:rsidR="00D208ED" w:rsidRPr="00941DD5" w:rsidRDefault="00D208ED" w:rsidP="00D208ED">
            <w:pPr>
              <w:rPr>
                <w:szCs w:val="24"/>
              </w:rPr>
            </w:pPr>
            <w:r w:rsidRPr="00941DD5">
              <w:rPr>
                <w:szCs w:val="24"/>
              </w:rPr>
              <w:t>East Siberian Sea</w:t>
            </w:r>
          </w:p>
        </w:tc>
        <w:tc>
          <w:tcPr>
            <w:tcW w:w="1143" w:type="dxa"/>
            <w:vAlign w:val="center"/>
            <w:hideMark/>
          </w:tcPr>
          <w:p w14:paraId="03DF9429" w14:textId="77777777" w:rsidR="00D208ED" w:rsidRPr="00941DD5" w:rsidRDefault="00D208ED" w:rsidP="00D208ED">
            <w:pPr>
              <w:rPr>
                <w:szCs w:val="24"/>
              </w:rPr>
            </w:pPr>
            <w:r w:rsidRPr="00941DD5">
              <w:rPr>
                <w:szCs w:val="24"/>
              </w:rPr>
              <w:t>0</w:t>
            </w:r>
          </w:p>
        </w:tc>
        <w:tc>
          <w:tcPr>
            <w:tcW w:w="0" w:type="auto"/>
            <w:vAlign w:val="center"/>
            <w:hideMark/>
          </w:tcPr>
          <w:p w14:paraId="3343AA15" w14:textId="77777777" w:rsidR="00D208ED" w:rsidRPr="00941DD5" w:rsidRDefault="00D208ED" w:rsidP="00D208ED">
            <w:pPr>
              <w:jc w:val="center"/>
              <w:rPr>
                <w:szCs w:val="24"/>
              </w:rPr>
            </w:pPr>
            <w:r w:rsidRPr="00941DD5">
              <w:rPr>
                <w:szCs w:val="24"/>
              </w:rPr>
              <w:t>612,960</w:t>
            </w:r>
          </w:p>
        </w:tc>
        <w:tc>
          <w:tcPr>
            <w:tcW w:w="0" w:type="auto"/>
            <w:vAlign w:val="center"/>
            <w:hideMark/>
          </w:tcPr>
          <w:p w14:paraId="45E0C284" w14:textId="77777777" w:rsidR="00D208ED" w:rsidRPr="00941DD5" w:rsidRDefault="00D208ED" w:rsidP="00D208ED">
            <w:pPr>
              <w:jc w:val="center"/>
              <w:rPr>
                <w:szCs w:val="24"/>
              </w:rPr>
            </w:pPr>
            <w:r w:rsidRPr="00941DD5">
              <w:rPr>
                <w:szCs w:val="24"/>
              </w:rPr>
              <w:t>0</w:t>
            </w:r>
          </w:p>
        </w:tc>
        <w:tc>
          <w:tcPr>
            <w:tcW w:w="1271" w:type="dxa"/>
            <w:vAlign w:val="center"/>
            <w:hideMark/>
          </w:tcPr>
          <w:p w14:paraId="5A932874" w14:textId="77777777" w:rsidR="00D208ED" w:rsidRPr="00941DD5" w:rsidRDefault="00D208ED" w:rsidP="00D208ED">
            <w:pPr>
              <w:jc w:val="center"/>
              <w:rPr>
                <w:szCs w:val="24"/>
              </w:rPr>
            </w:pPr>
            <w:r w:rsidRPr="00941DD5">
              <w:rPr>
                <w:szCs w:val="24"/>
              </w:rPr>
              <w:t>-</w:t>
            </w:r>
          </w:p>
        </w:tc>
        <w:tc>
          <w:tcPr>
            <w:tcW w:w="1170" w:type="dxa"/>
            <w:vAlign w:val="center"/>
            <w:hideMark/>
          </w:tcPr>
          <w:p w14:paraId="5A83D690" w14:textId="77777777" w:rsidR="00D208ED" w:rsidRPr="00941DD5" w:rsidRDefault="00D208ED" w:rsidP="00D208ED">
            <w:pPr>
              <w:jc w:val="center"/>
              <w:rPr>
                <w:szCs w:val="24"/>
              </w:rPr>
            </w:pPr>
            <w:r w:rsidRPr="00941DD5">
              <w:rPr>
                <w:szCs w:val="24"/>
              </w:rPr>
              <w:t>-</w:t>
            </w:r>
          </w:p>
        </w:tc>
      </w:tr>
      <w:tr w:rsidR="00D208ED" w:rsidRPr="00941DD5" w14:paraId="06161ECC" w14:textId="77777777" w:rsidTr="00D208ED">
        <w:tc>
          <w:tcPr>
            <w:tcW w:w="3059" w:type="dxa"/>
            <w:vAlign w:val="center"/>
            <w:hideMark/>
          </w:tcPr>
          <w:p w14:paraId="227550D6" w14:textId="77777777" w:rsidR="00D208ED" w:rsidRPr="00941DD5" w:rsidRDefault="00D208ED" w:rsidP="00D208ED">
            <w:pPr>
              <w:rPr>
                <w:szCs w:val="24"/>
              </w:rPr>
            </w:pPr>
            <w:r w:rsidRPr="00941DD5">
              <w:rPr>
                <w:szCs w:val="24"/>
              </w:rPr>
              <w:lastRenderedPageBreak/>
              <w:t>Faroe Plateau</w:t>
            </w:r>
          </w:p>
        </w:tc>
        <w:tc>
          <w:tcPr>
            <w:tcW w:w="1143" w:type="dxa"/>
            <w:vAlign w:val="center"/>
            <w:hideMark/>
          </w:tcPr>
          <w:p w14:paraId="09AAD9CB" w14:textId="77777777" w:rsidR="00D208ED" w:rsidRPr="00941DD5" w:rsidRDefault="00D208ED" w:rsidP="00D208ED">
            <w:pPr>
              <w:rPr>
                <w:szCs w:val="24"/>
              </w:rPr>
            </w:pPr>
            <w:r w:rsidRPr="00941DD5">
              <w:rPr>
                <w:szCs w:val="24"/>
              </w:rPr>
              <w:t>34.1</w:t>
            </w:r>
          </w:p>
        </w:tc>
        <w:tc>
          <w:tcPr>
            <w:tcW w:w="0" w:type="auto"/>
            <w:vAlign w:val="center"/>
            <w:hideMark/>
          </w:tcPr>
          <w:p w14:paraId="7A71EF20" w14:textId="77777777" w:rsidR="00D208ED" w:rsidRPr="00941DD5" w:rsidRDefault="00D208ED" w:rsidP="00D208ED">
            <w:pPr>
              <w:jc w:val="center"/>
              <w:rPr>
                <w:szCs w:val="24"/>
              </w:rPr>
            </w:pPr>
            <w:r w:rsidRPr="00941DD5">
              <w:rPr>
                <w:szCs w:val="24"/>
              </w:rPr>
              <w:t>87,984</w:t>
            </w:r>
          </w:p>
        </w:tc>
        <w:tc>
          <w:tcPr>
            <w:tcW w:w="0" w:type="auto"/>
            <w:vAlign w:val="center"/>
            <w:hideMark/>
          </w:tcPr>
          <w:p w14:paraId="7FEF892B" w14:textId="77777777" w:rsidR="00D208ED" w:rsidRPr="00941DD5" w:rsidRDefault="00D208ED" w:rsidP="00D208ED">
            <w:pPr>
              <w:jc w:val="center"/>
              <w:rPr>
                <w:szCs w:val="24"/>
              </w:rPr>
            </w:pPr>
            <w:r w:rsidRPr="00941DD5">
              <w:rPr>
                <w:szCs w:val="24"/>
              </w:rPr>
              <w:t>287.3</w:t>
            </w:r>
          </w:p>
        </w:tc>
        <w:tc>
          <w:tcPr>
            <w:tcW w:w="1271" w:type="dxa"/>
            <w:vAlign w:val="center"/>
            <w:hideMark/>
          </w:tcPr>
          <w:p w14:paraId="236E4237" w14:textId="77777777" w:rsidR="00D208ED" w:rsidRPr="00941DD5" w:rsidRDefault="00D208ED" w:rsidP="00D208ED">
            <w:pPr>
              <w:jc w:val="center"/>
              <w:rPr>
                <w:szCs w:val="24"/>
              </w:rPr>
            </w:pPr>
            <w:r w:rsidRPr="00941DD5">
              <w:rPr>
                <w:szCs w:val="24"/>
              </w:rPr>
              <w:t>1.24</w:t>
            </w:r>
          </w:p>
        </w:tc>
        <w:tc>
          <w:tcPr>
            <w:tcW w:w="1170" w:type="dxa"/>
            <w:vAlign w:val="center"/>
            <w:hideMark/>
          </w:tcPr>
          <w:p w14:paraId="57EEFABE" w14:textId="77777777" w:rsidR="00D208ED" w:rsidRPr="00941DD5" w:rsidRDefault="00D208ED" w:rsidP="00D208ED">
            <w:pPr>
              <w:jc w:val="center"/>
              <w:rPr>
                <w:szCs w:val="24"/>
              </w:rPr>
            </w:pPr>
            <w:r w:rsidRPr="00941DD5">
              <w:rPr>
                <w:szCs w:val="24"/>
              </w:rPr>
              <w:t>0.92</w:t>
            </w:r>
          </w:p>
        </w:tc>
      </w:tr>
      <w:tr w:rsidR="00D208ED" w:rsidRPr="00941DD5" w14:paraId="1F38838C" w14:textId="77777777" w:rsidTr="00D208ED">
        <w:tc>
          <w:tcPr>
            <w:tcW w:w="3059" w:type="dxa"/>
            <w:vAlign w:val="center"/>
            <w:hideMark/>
          </w:tcPr>
          <w:p w14:paraId="19A82E6F" w14:textId="77777777" w:rsidR="00D208ED" w:rsidRPr="00941DD5" w:rsidRDefault="00D208ED" w:rsidP="00D208ED">
            <w:pPr>
              <w:rPr>
                <w:szCs w:val="24"/>
              </w:rPr>
            </w:pPr>
            <w:r w:rsidRPr="00941DD5">
              <w:rPr>
                <w:szCs w:val="24"/>
              </w:rPr>
              <w:t>Greenland Sea</w:t>
            </w:r>
          </w:p>
        </w:tc>
        <w:tc>
          <w:tcPr>
            <w:tcW w:w="1143" w:type="dxa"/>
            <w:vAlign w:val="center"/>
            <w:hideMark/>
          </w:tcPr>
          <w:p w14:paraId="640A263F" w14:textId="77777777" w:rsidR="00D208ED" w:rsidRPr="00941DD5" w:rsidRDefault="00D208ED" w:rsidP="00D208ED">
            <w:pPr>
              <w:rPr>
                <w:szCs w:val="24"/>
              </w:rPr>
            </w:pPr>
            <w:r w:rsidRPr="00941DD5">
              <w:rPr>
                <w:szCs w:val="24"/>
              </w:rPr>
              <w:t>3.1</w:t>
            </w:r>
          </w:p>
        </w:tc>
        <w:tc>
          <w:tcPr>
            <w:tcW w:w="0" w:type="auto"/>
            <w:vAlign w:val="center"/>
            <w:hideMark/>
          </w:tcPr>
          <w:p w14:paraId="746A3B7D" w14:textId="77777777" w:rsidR="00D208ED" w:rsidRPr="00941DD5" w:rsidRDefault="00D208ED" w:rsidP="00D208ED">
            <w:pPr>
              <w:jc w:val="center"/>
              <w:rPr>
                <w:szCs w:val="24"/>
              </w:rPr>
            </w:pPr>
            <w:r w:rsidRPr="00941DD5">
              <w:rPr>
                <w:szCs w:val="24"/>
              </w:rPr>
              <w:t>561,164</w:t>
            </w:r>
          </w:p>
        </w:tc>
        <w:tc>
          <w:tcPr>
            <w:tcW w:w="0" w:type="auto"/>
            <w:vAlign w:val="center"/>
            <w:hideMark/>
          </w:tcPr>
          <w:p w14:paraId="2A792D3D" w14:textId="77777777" w:rsidR="00D208ED" w:rsidRPr="00941DD5" w:rsidRDefault="00D208ED" w:rsidP="00D208ED">
            <w:pPr>
              <w:jc w:val="center"/>
              <w:rPr>
                <w:szCs w:val="24"/>
              </w:rPr>
            </w:pPr>
            <w:r w:rsidRPr="00941DD5">
              <w:rPr>
                <w:szCs w:val="24"/>
              </w:rPr>
              <w:t>77.1</w:t>
            </w:r>
          </w:p>
        </w:tc>
        <w:tc>
          <w:tcPr>
            <w:tcW w:w="1271" w:type="dxa"/>
            <w:vAlign w:val="center"/>
            <w:hideMark/>
          </w:tcPr>
          <w:p w14:paraId="05C93656" w14:textId="77777777" w:rsidR="00D208ED" w:rsidRPr="00941DD5" w:rsidRDefault="00D208ED" w:rsidP="00D208ED">
            <w:pPr>
              <w:jc w:val="center"/>
              <w:rPr>
                <w:szCs w:val="24"/>
              </w:rPr>
            </w:pPr>
            <w:r w:rsidRPr="00941DD5">
              <w:rPr>
                <w:szCs w:val="24"/>
              </w:rPr>
              <w:t>1.74</w:t>
            </w:r>
          </w:p>
        </w:tc>
        <w:tc>
          <w:tcPr>
            <w:tcW w:w="1170" w:type="dxa"/>
            <w:vAlign w:val="center"/>
            <w:hideMark/>
          </w:tcPr>
          <w:p w14:paraId="13362510" w14:textId="77777777" w:rsidR="00D208ED" w:rsidRPr="00941DD5" w:rsidRDefault="00D208ED" w:rsidP="00D208ED">
            <w:pPr>
              <w:jc w:val="center"/>
              <w:rPr>
                <w:szCs w:val="24"/>
              </w:rPr>
            </w:pPr>
            <w:r w:rsidRPr="00941DD5">
              <w:rPr>
                <w:szCs w:val="24"/>
              </w:rPr>
              <w:t>1.92</w:t>
            </w:r>
          </w:p>
        </w:tc>
      </w:tr>
      <w:tr w:rsidR="00D208ED" w:rsidRPr="00941DD5" w14:paraId="7E5630CD" w14:textId="77777777" w:rsidTr="00D208ED">
        <w:tc>
          <w:tcPr>
            <w:tcW w:w="3059" w:type="dxa"/>
            <w:vAlign w:val="center"/>
            <w:hideMark/>
          </w:tcPr>
          <w:p w14:paraId="561B5631" w14:textId="77777777" w:rsidR="00D208ED" w:rsidRPr="00941DD5" w:rsidRDefault="00D208ED" w:rsidP="00D208ED">
            <w:pPr>
              <w:rPr>
                <w:szCs w:val="24"/>
              </w:rPr>
            </w:pPr>
            <w:r w:rsidRPr="00941DD5">
              <w:rPr>
                <w:szCs w:val="24"/>
              </w:rPr>
              <w:t>Guinea Current</w:t>
            </w:r>
          </w:p>
        </w:tc>
        <w:tc>
          <w:tcPr>
            <w:tcW w:w="1143" w:type="dxa"/>
            <w:vAlign w:val="center"/>
            <w:hideMark/>
          </w:tcPr>
          <w:p w14:paraId="71C688D0" w14:textId="77777777" w:rsidR="00D208ED" w:rsidRPr="00941DD5" w:rsidRDefault="00D208ED" w:rsidP="00D208ED">
            <w:pPr>
              <w:rPr>
                <w:szCs w:val="24"/>
              </w:rPr>
            </w:pPr>
            <w:r w:rsidRPr="00941DD5">
              <w:rPr>
                <w:szCs w:val="24"/>
              </w:rPr>
              <w:t>17.8</w:t>
            </w:r>
          </w:p>
        </w:tc>
        <w:tc>
          <w:tcPr>
            <w:tcW w:w="0" w:type="auto"/>
            <w:vAlign w:val="center"/>
            <w:hideMark/>
          </w:tcPr>
          <w:p w14:paraId="687B8CCB" w14:textId="77777777" w:rsidR="00D208ED" w:rsidRPr="00941DD5" w:rsidRDefault="00D208ED" w:rsidP="00D208ED">
            <w:pPr>
              <w:jc w:val="center"/>
              <w:rPr>
                <w:szCs w:val="24"/>
              </w:rPr>
            </w:pPr>
            <w:r w:rsidRPr="00941DD5">
              <w:rPr>
                <w:szCs w:val="24"/>
              </w:rPr>
              <w:t>377,376</w:t>
            </w:r>
          </w:p>
        </w:tc>
        <w:tc>
          <w:tcPr>
            <w:tcW w:w="0" w:type="auto"/>
            <w:vAlign w:val="center"/>
            <w:hideMark/>
          </w:tcPr>
          <w:p w14:paraId="66D5440D" w14:textId="77777777" w:rsidR="00D208ED" w:rsidRPr="00941DD5" w:rsidRDefault="00D208ED" w:rsidP="00D208ED">
            <w:pPr>
              <w:jc w:val="center"/>
              <w:rPr>
                <w:szCs w:val="24"/>
              </w:rPr>
            </w:pPr>
            <w:r w:rsidRPr="00941DD5">
              <w:rPr>
                <w:szCs w:val="24"/>
              </w:rPr>
              <w:t>1,624.7</w:t>
            </w:r>
          </w:p>
        </w:tc>
        <w:tc>
          <w:tcPr>
            <w:tcW w:w="1271" w:type="dxa"/>
            <w:vAlign w:val="center"/>
            <w:hideMark/>
          </w:tcPr>
          <w:p w14:paraId="1EA08DAD" w14:textId="77777777" w:rsidR="00D208ED" w:rsidRPr="00941DD5" w:rsidRDefault="00D208ED" w:rsidP="00D208ED">
            <w:pPr>
              <w:jc w:val="center"/>
              <w:rPr>
                <w:szCs w:val="24"/>
              </w:rPr>
            </w:pPr>
            <w:r w:rsidRPr="00941DD5">
              <w:rPr>
                <w:szCs w:val="24"/>
              </w:rPr>
              <w:t>1.95</w:t>
            </w:r>
          </w:p>
        </w:tc>
        <w:tc>
          <w:tcPr>
            <w:tcW w:w="1170" w:type="dxa"/>
            <w:vAlign w:val="center"/>
            <w:hideMark/>
          </w:tcPr>
          <w:p w14:paraId="1067EF5B" w14:textId="77777777" w:rsidR="00D208ED" w:rsidRPr="00941DD5" w:rsidRDefault="00D208ED" w:rsidP="00D208ED">
            <w:pPr>
              <w:jc w:val="center"/>
              <w:rPr>
                <w:szCs w:val="24"/>
              </w:rPr>
            </w:pPr>
            <w:r w:rsidRPr="00941DD5">
              <w:rPr>
                <w:szCs w:val="24"/>
              </w:rPr>
              <w:t>1.44</w:t>
            </w:r>
          </w:p>
        </w:tc>
      </w:tr>
      <w:tr w:rsidR="00D208ED" w:rsidRPr="00941DD5" w14:paraId="3CA9A518" w14:textId="77777777" w:rsidTr="00D208ED">
        <w:tc>
          <w:tcPr>
            <w:tcW w:w="3059" w:type="dxa"/>
            <w:vAlign w:val="center"/>
            <w:hideMark/>
          </w:tcPr>
          <w:p w14:paraId="4B9B11E5" w14:textId="77777777" w:rsidR="00D208ED" w:rsidRPr="00941DD5" w:rsidRDefault="00D208ED" w:rsidP="00D208ED">
            <w:pPr>
              <w:rPr>
                <w:szCs w:val="24"/>
              </w:rPr>
            </w:pPr>
            <w:r w:rsidRPr="00941DD5">
              <w:rPr>
                <w:szCs w:val="24"/>
              </w:rPr>
              <w:t>Gulf of Alaska</w:t>
            </w:r>
          </w:p>
        </w:tc>
        <w:tc>
          <w:tcPr>
            <w:tcW w:w="1143" w:type="dxa"/>
            <w:vAlign w:val="center"/>
            <w:hideMark/>
          </w:tcPr>
          <w:p w14:paraId="170A6DEA" w14:textId="77777777" w:rsidR="00D208ED" w:rsidRPr="00941DD5" w:rsidRDefault="00D208ED" w:rsidP="00D208ED">
            <w:pPr>
              <w:rPr>
                <w:szCs w:val="24"/>
              </w:rPr>
            </w:pPr>
            <w:r w:rsidRPr="00941DD5">
              <w:rPr>
                <w:szCs w:val="24"/>
              </w:rPr>
              <w:t>8.9</w:t>
            </w:r>
          </w:p>
        </w:tc>
        <w:tc>
          <w:tcPr>
            <w:tcW w:w="0" w:type="auto"/>
            <w:vAlign w:val="center"/>
            <w:hideMark/>
          </w:tcPr>
          <w:p w14:paraId="062756D2" w14:textId="77777777" w:rsidR="00D208ED" w:rsidRPr="00941DD5" w:rsidRDefault="00D208ED" w:rsidP="00D208ED">
            <w:pPr>
              <w:jc w:val="center"/>
              <w:rPr>
                <w:szCs w:val="24"/>
              </w:rPr>
            </w:pPr>
            <w:r w:rsidRPr="00941DD5">
              <w:rPr>
                <w:szCs w:val="24"/>
              </w:rPr>
              <w:t>441,872</w:t>
            </w:r>
          </w:p>
        </w:tc>
        <w:tc>
          <w:tcPr>
            <w:tcW w:w="0" w:type="auto"/>
            <w:vAlign w:val="center"/>
            <w:hideMark/>
          </w:tcPr>
          <w:p w14:paraId="2E3A5B3B" w14:textId="77777777" w:rsidR="00D208ED" w:rsidRPr="00941DD5" w:rsidRDefault="00D208ED" w:rsidP="00D208ED">
            <w:pPr>
              <w:jc w:val="center"/>
              <w:rPr>
                <w:szCs w:val="24"/>
              </w:rPr>
            </w:pPr>
            <w:r w:rsidRPr="00941DD5">
              <w:rPr>
                <w:szCs w:val="24"/>
              </w:rPr>
              <w:t>565.0</w:t>
            </w:r>
          </w:p>
        </w:tc>
        <w:tc>
          <w:tcPr>
            <w:tcW w:w="1271" w:type="dxa"/>
            <w:vAlign w:val="center"/>
            <w:hideMark/>
          </w:tcPr>
          <w:p w14:paraId="0FCAAEF8" w14:textId="77777777" w:rsidR="00D208ED" w:rsidRPr="00941DD5" w:rsidRDefault="00D208ED" w:rsidP="00D208ED">
            <w:pPr>
              <w:jc w:val="center"/>
              <w:rPr>
                <w:szCs w:val="24"/>
              </w:rPr>
            </w:pPr>
            <w:r w:rsidRPr="00941DD5">
              <w:rPr>
                <w:szCs w:val="24"/>
              </w:rPr>
              <w:t>1.29</w:t>
            </w:r>
          </w:p>
        </w:tc>
        <w:tc>
          <w:tcPr>
            <w:tcW w:w="1170" w:type="dxa"/>
            <w:vAlign w:val="center"/>
            <w:hideMark/>
          </w:tcPr>
          <w:p w14:paraId="6DA70CF9" w14:textId="77777777" w:rsidR="00D208ED" w:rsidRPr="00941DD5" w:rsidRDefault="00D208ED" w:rsidP="00D208ED">
            <w:pPr>
              <w:jc w:val="center"/>
              <w:rPr>
                <w:szCs w:val="24"/>
              </w:rPr>
            </w:pPr>
            <w:r w:rsidRPr="00941DD5">
              <w:rPr>
                <w:szCs w:val="24"/>
              </w:rPr>
              <w:t>1.19</w:t>
            </w:r>
          </w:p>
        </w:tc>
      </w:tr>
      <w:tr w:rsidR="00D208ED" w:rsidRPr="00941DD5" w14:paraId="6E9DC558" w14:textId="77777777" w:rsidTr="00D208ED">
        <w:tc>
          <w:tcPr>
            <w:tcW w:w="3059" w:type="dxa"/>
            <w:vAlign w:val="center"/>
            <w:hideMark/>
          </w:tcPr>
          <w:p w14:paraId="532F4E47" w14:textId="77777777" w:rsidR="00D208ED" w:rsidRPr="00941DD5" w:rsidRDefault="00D208ED" w:rsidP="00D208ED">
            <w:pPr>
              <w:rPr>
                <w:szCs w:val="24"/>
              </w:rPr>
            </w:pPr>
            <w:r w:rsidRPr="00941DD5">
              <w:rPr>
                <w:szCs w:val="24"/>
              </w:rPr>
              <w:t>Gulf of California</w:t>
            </w:r>
          </w:p>
        </w:tc>
        <w:tc>
          <w:tcPr>
            <w:tcW w:w="1143" w:type="dxa"/>
            <w:vAlign w:val="center"/>
            <w:hideMark/>
          </w:tcPr>
          <w:p w14:paraId="58DADB59" w14:textId="77777777" w:rsidR="00D208ED" w:rsidRPr="00941DD5" w:rsidRDefault="00D208ED" w:rsidP="00D208ED">
            <w:pPr>
              <w:rPr>
                <w:szCs w:val="24"/>
              </w:rPr>
            </w:pPr>
            <w:r w:rsidRPr="00941DD5">
              <w:rPr>
                <w:szCs w:val="24"/>
              </w:rPr>
              <w:t>0.3 (7.1)</w:t>
            </w:r>
            <w:r w:rsidRPr="00941DD5">
              <w:rPr>
                <w:szCs w:val="24"/>
                <w:vertAlign w:val="superscript"/>
              </w:rPr>
              <w:t xml:space="preserve"> </w:t>
            </w:r>
            <w:r w:rsidRPr="00941DD5">
              <w:rPr>
                <w:color w:val="000000"/>
                <w:szCs w:val="24"/>
                <w:shd w:val="clear" w:color="auto" w:fill="FFFFFF"/>
                <w:vertAlign w:val="superscript"/>
              </w:rPr>
              <w:t>‡</w:t>
            </w:r>
          </w:p>
        </w:tc>
        <w:tc>
          <w:tcPr>
            <w:tcW w:w="0" w:type="auto"/>
            <w:vAlign w:val="center"/>
            <w:hideMark/>
          </w:tcPr>
          <w:p w14:paraId="5F1DD234" w14:textId="77777777" w:rsidR="00D208ED" w:rsidRPr="00941DD5" w:rsidRDefault="00D208ED" w:rsidP="00D208ED">
            <w:pPr>
              <w:jc w:val="center"/>
              <w:rPr>
                <w:szCs w:val="24"/>
              </w:rPr>
            </w:pPr>
            <w:r w:rsidRPr="00941DD5">
              <w:rPr>
                <w:szCs w:val="24"/>
              </w:rPr>
              <w:t>125,020</w:t>
            </w:r>
          </w:p>
        </w:tc>
        <w:tc>
          <w:tcPr>
            <w:tcW w:w="0" w:type="auto"/>
            <w:vAlign w:val="center"/>
            <w:hideMark/>
          </w:tcPr>
          <w:p w14:paraId="1615EBCF" w14:textId="77777777" w:rsidR="00D208ED" w:rsidRPr="00941DD5" w:rsidRDefault="00D208ED" w:rsidP="00D208ED">
            <w:pPr>
              <w:jc w:val="center"/>
              <w:rPr>
                <w:szCs w:val="24"/>
              </w:rPr>
            </w:pPr>
            <w:r w:rsidRPr="00941DD5">
              <w:rPr>
                <w:szCs w:val="24"/>
              </w:rPr>
              <w:t>160.5</w:t>
            </w:r>
          </w:p>
        </w:tc>
        <w:tc>
          <w:tcPr>
            <w:tcW w:w="1271" w:type="dxa"/>
            <w:vAlign w:val="center"/>
            <w:hideMark/>
          </w:tcPr>
          <w:p w14:paraId="620432A6" w14:textId="77777777" w:rsidR="00D208ED" w:rsidRPr="00941DD5" w:rsidRDefault="00D208ED" w:rsidP="00D208ED">
            <w:pPr>
              <w:jc w:val="center"/>
              <w:rPr>
                <w:szCs w:val="24"/>
              </w:rPr>
            </w:pPr>
            <w:r w:rsidRPr="00941DD5">
              <w:rPr>
                <w:szCs w:val="24"/>
              </w:rPr>
              <w:t>1.74</w:t>
            </w:r>
          </w:p>
        </w:tc>
        <w:tc>
          <w:tcPr>
            <w:tcW w:w="1170" w:type="dxa"/>
            <w:vAlign w:val="center"/>
            <w:hideMark/>
          </w:tcPr>
          <w:p w14:paraId="5617EAF6" w14:textId="77777777" w:rsidR="00D208ED" w:rsidRPr="00941DD5" w:rsidRDefault="00D208ED" w:rsidP="00D208ED">
            <w:pPr>
              <w:jc w:val="center"/>
              <w:rPr>
                <w:szCs w:val="24"/>
              </w:rPr>
            </w:pPr>
            <w:r w:rsidRPr="00941DD5">
              <w:rPr>
                <w:szCs w:val="24"/>
              </w:rPr>
              <w:t>1.16</w:t>
            </w:r>
          </w:p>
        </w:tc>
      </w:tr>
      <w:tr w:rsidR="00D208ED" w:rsidRPr="00941DD5" w14:paraId="1EB99130" w14:textId="77777777" w:rsidTr="00D208ED">
        <w:tc>
          <w:tcPr>
            <w:tcW w:w="3059" w:type="dxa"/>
            <w:vAlign w:val="center"/>
            <w:hideMark/>
          </w:tcPr>
          <w:p w14:paraId="35A8A2FA" w14:textId="77777777" w:rsidR="00D208ED" w:rsidRPr="00941DD5" w:rsidRDefault="00D208ED" w:rsidP="00D208ED">
            <w:pPr>
              <w:rPr>
                <w:szCs w:val="24"/>
              </w:rPr>
            </w:pPr>
            <w:r w:rsidRPr="00941DD5">
              <w:rPr>
                <w:szCs w:val="24"/>
              </w:rPr>
              <w:t>Gulf of Mexico</w:t>
            </w:r>
          </w:p>
        </w:tc>
        <w:tc>
          <w:tcPr>
            <w:tcW w:w="1143" w:type="dxa"/>
            <w:vAlign w:val="center"/>
            <w:hideMark/>
          </w:tcPr>
          <w:p w14:paraId="21811AC7" w14:textId="77777777" w:rsidR="00D208ED" w:rsidRPr="00941DD5" w:rsidRDefault="00D208ED" w:rsidP="00D208ED">
            <w:pPr>
              <w:rPr>
                <w:szCs w:val="24"/>
              </w:rPr>
            </w:pPr>
            <w:r w:rsidRPr="00941DD5">
              <w:rPr>
                <w:szCs w:val="24"/>
              </w:rPr>
              <w:t>5.5</w:t>
            </w:r>
          </w:p>
        </w:tc>
        <w:tc>
          <w:tcPr>
            <w:tcW w:w="0" w:type="auto"/>
            <w:vAlign w:val="center"/>
            <w:hideMark/>
          </w:tcPr>
          <w:p w14:paraId="70ED027B" w14:textId="77777777" w:rsidR="00D208ED" w:rsidRPr="00941DD5" w:rsidRDefault="00D208ED" w:rsidP="00D208ED">
            <w:pPr>
              <w:jc w:val="center"/>
              <w:rPr>
                <w:szCs w:val="24"/>
              </w:rPr>
            </w:pPr>
            <w:r w:rsidRPr="00941DD5">
              <w:rPr>
                <w:szCs w:val="24"/>
              </w:rPr>
              <w:t>726,084</w:t>
            </w:r>
          </w:p>
        </w:tc>
        <w:tc>
          <w:tcPr>
            <w:tcW w:w="0" w:type="auto"/>
            <w:vAlign w:val="center"/>
            <w:hideMark/>
          </w:tcPr>
          <w:p w14:paraId="4F851FBE" w14:textId="77777777" w:rsidR="00D208ED" w:rsidRPr="00941DD5" w:rsidRDefault="00D208ED" w:rsidP="00D208ED">
            <w:pPr>
              <w:jc w:val="center"/>
              <w:rPr>
                <w:szCs w:val="24"/>
              </w:rPr>
            </w:pPr>
            <w:r w:rsidRPr="00941DD5">
              <w:rPr>
                <w:szCs w:val="24"/>
              </w:rPr>
              <w:t>566.3</w:t>
            </w:r>
          </w:p>
        </w:tc>
        <w:tc>
          <w:tcPr>
            <w:tcW w:w="1271" w:type="dxa"/>
            <w:vAlign w:val="center"/>
            <w:hideMark/>
          </w:tcPr>
          <w:p w14:paraId="411FADFD" w14:textId="77777777" w:rsidR="00D208ED" w:rsidRPr="00941DD5" w:rsidRDefault="00D208ED" w:rsidP="00D208ED">
            <w:pPr>
              <w:jc w:val="center"/>
              <w:rPr>
                <w:szCs w:val="24"/>
              </w:rPr>
            </w:pPr>
            <w:r w:rsidRPr="00941DD5">
              <w:rPr>
                <w:szCs w:val="24"/>
              </w:rPr>
              <w:t>1.18</w:t>
            </w:r>
          </w:p>
        </w:tc>
        <w:tc>
          <w:tcPr>
            <w:tcW w:w="1170" w:type="dxa"/>
            <w:vAlign w:val="center"/>
            <w:hideMark/>
          </w:tcPr>
          <w:p w14:paraId="7762A750" w14:textId="77777777" w:rsidR="00D208ED" w:rsidRPr="00941DD5" w:rsidRDefault="00D208ED" w:rsidP="00D208ED">
            <w:pPr>
              <w:jc w:val="center"/>
              <w:rPr>
                <w:szCs w:val="24"/>
              </w:rPr>
            </w:pPr>
            <w:r w:rsidRPr="00941DD5">
              <w:rPr>
                <w:szCs w:val="24"/>
              </w:rPr>
              <w:t>1.08</w:t>
            </w:r>
          </w:p>
        </w:tc>
      </w:tr>
      <w:tr w:rsidR="00D208ED" w:rsidRPr="00941DD5" w14:paraId="5C538AB1" w14:textId="77777777" w:rsidTr="00D208ED">
        <w:tc>
          <w:tcPr>
            <w:tcW w:w="3059" w:type="dxa"/>
            <w:vAlign w:val="center"/>
            <w:hideMark/>
          </w:tcPr>
          <w:p w14:paraId="5003B248" w14:textId="77777777" w:rsidR="00D208ED" w:rsidRPr="00941DD5" w:rsidRDefault="00D208ED" w:rsidP="00D208ED">
            <w:pPr>
              <w:rPr>
                <w:szCs w:val="24"/>
              </w:rPr>
            </w:pPr>
            <w:r w:rsidRPr="00941DD5">
              <w:rPr>
                <w:szCs w:val="24"/>
              </w:rPr>
              <w:t>Gulf of Thailand</w:t>
            </w:r>
          </w:p>
        </w:tc>
        <w:tc>
          <w:tcPr>
            <w:tcW w:w="1143" w:type="dxa"/>
            <w:vAlign w:val="center"/>
            <w:hideMark/>
          </w:tcPr>
          <w:p w14:paraId="38DB57D0" w14:textId="77777777" w:rsidR="00D208ED" w:rsidRPr="00941DD5" w:rsidRDefault="00D208ED" w:rsidP="00D208ED">
            <w:pPr>
              <w:rPr>
                <w:szCs w:val="24"/>
              </w:rPr>
            </w:pPr>
            <w:r w:rsidRPr="00941DD5">
              <w:rPr>
                <w:szCs w:val="24"/>
              </w:rPr>
              <w:t>0.8 (14)</w:t>
            </w:r>
            <w:r w:rsidRPr="00941DD5">
              <w:rPr>
                <w:szCs w:val="24"/>
                <w:vertAlign w:val="superscript"/>
              </w:rPr>
              <w:t xml:space="preserve"> </w:t>
            </w:r>
            <w:r w:rsidRPr="00941DD5">
              <w:rPr>
                <w:color w:val="000000"/>
                <w:szCs w:val="24"/>
                <w:shd w:val="clear" w:color="auto" w:fill="FFFFFF"/>
                <w:vertAlign w:val="superscript"/>
              </w:rPr>
              <w:t>‡</w:t>
            </w:r>
          </w:p>
        </w:tc>
        <w:tc>
          <w:tcPr>
            <w:tcW w:w="0" w:type="auto"/>
            <w:vAlign w:val="center"/>
            <w:hideMark/>
          </w:tcPr>
          <w:p w14:paraId="51C4905E" w14:textId="77777777" w:rsidR="00D208ED" w:rsidRPr="00941DD5" w:rsidRDefault="00D208ED" w:rsidP="00D208ED">
            <w:pPr>
              <w:jc w:val="center"/>
              <w:rPr>
                <w:szCs w:val="24"/>
              </w:rPr>
            </w:pPr>
            <w:r w:rsidRPr="00941DD5">
              <w:rPr>
                <w:szCs w:val="24"/>
              </w:rPr>
              <w:t>381,072</w:t>
            </w:r>
          </w:p>
        </w:tc>
        <w:tc>
          <w:tcPr>
            <w:tcW w:w="0" w:type="auto"/>
            <w:vAlign w:val="center"/>
            <w:hideMark/>
          </w:tcPr>
          <w:p w14:paraId="7CE33CC3" w14:textId="77777777" w:rsidR="00D208ED" w:rsidRPr="00941DD5" w:rsidRDefault="00D208ED" w:rsidP="00D208ED">
            <w:pPr>
              <w:jc w:val="center"/>
              <w:rPr>
                <w:szCs w:val="24"/>
              </w:rPr>
            </w:pPr>
            <w:r w:rsidRPr="00941DD5">
              <w:rPr>
                <w:szCs w:val="24"/>
              </w:rPr>
              <w:t>1,163.6</w:t>
            </w:r>
          </w:p>
        </w:tc>
        <w:tc>
          <w:tcPr>
            <w:tcW w:w="1271" w:type="dxa"/>
            <w:vAlign w:val="center"/>
            <w:hideMark/>
          </w:tcPr>
          <w:p w14:paraId="349F0425" w14:textId="77777777" w:rsidR="00D208ED" w:rsidRPr="00941DD5" w:rsidRDefault="00D208ED" w:rsidP="00D208ED">
            <w:pPr>
              <w:jc w:val="center"/>
              <w:rPr>
                <w:szCs w:val="24"/>
              </w:rPr>
            </w:pPr>
            <w:r w:rsidRPr="00941DD5">
              <w:rPr>
                <w:szCs w:val="24"/>
              </w:rPr>
              <w:t>1.4</w:t>
            </w:r>
          </w:p>
        </w:tc>
        <w:tc>
          <w:tcPr>
            <w:tcW w:w="1170" w:type="dxa"/>
            <w:vAlign w:val="center"/>
            <w:hideMark/>
          </w:tcPr>
          <w:p w14:paraId="536ECA4B" w14:textId="77777777" w:rsidR="00D208ED" w:rsidRPr="00941DD5" w:rsidRDefault="00D208ED" w:rsidP="00D208ED">
            <w:pPr>
              <w:jc w:val="center"/>
              <w:rPr>
                <w:szCs w:val="24"/>
              </w:rPr>
            </w:pPr>
            <w:r w:rsidRPr="00941DD5">
              <w:rPr>
                <w:szCs w:val="24"/>
              </w:rPr>
              <w:t>1.31</w:t>
            </w:r>
          </w:p>
        </w:tc>
      </w:tr>
      <w:tr w:rsidR="00D208ED" w:rsidRPr="00941DD5" w14:paraId="2AD6F36B" w14:textId="77777777" w:rsidTr="00D208ED">
        <w:tc>
          <w:tcPr>
            <w:tcW w:w="3059" w:type="dxa"/>
            <w:vAlign w:val="center"/>
            <w:hideMark/>
          </w:tcPr>
          <w:p w14:paraId="0BFC9447" w14:textId="77777777" w:rsidR="00D208ED" w:rsidRPr="00941DD5" w:rsidRDefault="00D208ED" w:rsidP="00D208ED">
            <w:pPr>
              <w:rPr>
                <w:szCs w:val="24"/>
              </w:rPr>
            </w:pPr>
            <w:r w:rsidRPr="00941DD5">
              <w:rPr>
                <w:szCs w:val="24"/>
              </w:rPr>
              <w:t>Hudson Bay Complex</w:t>
            </w:r>
          </w:p>
        </w:tc>
        <w:tc>
          <w:tcPr>
            <w:tcW w:w="1143" w:type="dxa"/>
            <w:vAlign w:val="center"/>
            <w:hideMark/>
          </w:tcPr>
          <w:p w14:paraId="73D11173" w14:textId="77777777" w:rsidR="00D208ED" w:rsidRPr="00941DD5" w:rsidRDefault="00D208ED" w:rsidP="00D208ED">
            <w:pPr>
              <w:rPr>
                <w:szCs w:val="24"/>
              </w:rPr>
            </w:pPr>
            <w:r w:rsidRPr="00941DD5">
              <w:rPr>
                <w:szCs w:val="24"/>
              </w:rPr>
              <w:t>0.2</w:t>
            </w:r>
          </w:p>
        </w:tc>
        <w:tc>
          <w:tcPr>
            <w:tcW w:w="0" w:type="auto"/>
            <w:vAlign w:val="center"/>
            <w:hideMark/>
          </w:tcPr>
          <w:p w14:paraId="369768AE" w14:textId="77777777" w:rsidR="00D208ED" w:rsidRPr="00941DD5" w:rsidRDefault="00D208ED" w:rsidP="00D208ED">
            <w:pPr>
              <w:jc w:val="center"/>
              <w:rPr>
                <w:szCs w:val="24"/>
              </w:rPr>
            </w:pPr>
            <w:r w:rsidRPr="00941DD5">
              <w:rPr>
                <w:szCs w:val="24"/>
              </w:rPr>
              <w:t>1,234,880</w:t>
            </w:r>
          </w:p>
        </w:tc>
        <w:tc>
          <w:tcPr>
            <w:tcW w:w="0" w:type="auto"/>
            <w:vAlign w:val="center"/>
            <w:hideMark/>
          </w:tcPr>
          <w:p w14:paraId="6997B772" w14:textId="77777777" w:rsidR="00D208ED" w:rsidRPr="00941DD5" w:rsidRDefault="00D208ED" w:rsidP="00D208ED">
            <w:pPr>
              <w:jc w:val="center"/>
              <w:rPr>
                <w:szCs w:val="24"/>
              </w:rPr>
            </w:pPr>
            <w:r w:rsidRPr="00941DD5">
              <w:rPr>
                <w:szCs w:val="24"/>
              </w:rPr>
              <w:t>0.5</w:t>
            </w:r>
          </w:p>
        </w:tc>
        <w:tc>
          <w:tcPr>
            <w:tcW w:w="1271" w:type="dxa"/>
            <w:vAlign w:val="center"/>
            <w:hideMark/>
          </w:tcPr>
          <w:p w14:paraId="7C658141" w14:textId="77777777" w:rsidR="00D208ED" w:rsidRPr="00941DD5" w:rsidRDefault="00D208ED" w:rsidP="00D208ED">
            <w:pPr>
              <w:jc w:val="center"/>
              <w:rPr>
                <w:szCs w:val="24"/>
              </w:rPr>
            </w:pPr>
            <w:r w:rsidRPr="00941DD5">
              <w:rPr>
                <w:szCs w:val="24"/>
              </w:rPr>
              <w:t>-</w:t>
            </w:r>
          </w:p>
        </w:tc>
        <w:tc>
          <w:tcPr>
            <w:tcW w:w="1170" w:type="dxa"/>
            <w:vAlign w:val="center"/>
            <w:hideMark/>
          </w:tcPr>
          <w:p w14:paraId="5D1C8995" w14:textId="77777777" w:rsidR="00D208ED" w:rsidRPr="00941DD5" w:rsidRDefault="00D208ED" w:rsidP="00D208ED">
            <w:pPr>
              <w:jc w:val="center"/>
              <w:rPr>
                <w:szCs w:val="24"/>
              </w:rPr>
            </w:pPr>
            <w:r w:rsidRPr="00941DD5">
              <w:rPr>
                <w:szCs w:val="24"/>
              </w:rPr>
              <w:t>-</w:t>
            </w:r>
          </w:p>
        </w:tc>
      </w:tr>
      <w:tr w:rsidR="00D208ED" w:rsidRPr="00941DD5" w14:paraId="28EAB14A" w14:textId="77777777" w:rsidTr="00D208ED">
        <w:tc>
          <w:tcPr>
            <w:tcW w:w="3059" w:type="dxa"/>
            <w:vAlign w:val="center"/>
            <w:hideMark/>
          </w:tcPr>
          <w:p w14:paraId="134524FE" w14:textId="77777777" w:rsidR="00D208ED" w:rsidRPr="00941DD5" w:rsidRDefault="00D208ED" w:rsidP="00D208ED">
            <w:pPr>
              <w:rPr>
                <w:szCs w:val="24"/>
              </w:rPr>
            </w:pPr>
            <w:r w:rsidRPr="00941DD5">
              <w:rPr>
                <w:szCs w:val="24"/>
              </w:rPr>
              <w:t>Humboldt Current</w:t>
            </w:r>
          </w:p>
        </w:tc>
        <w:tc>
          <w:tcPr>
            <w:tcW w:w="1143" w:type="dxa"/>
            <w:vAlign w:val="center"/>
            <w:hideMark/>
          </w:tcPr>
          <w:p w14:paraId="5EA8E4EF" w14:textId="77777777" w:rsidR="00D208ED" w:rsidRPr="00941DD5" w:rsidRDefault="00D208ED" w:rsidP="00D208ED">
            <w:pPr>
              <w:rPr>
                <w:szCs w:val="24"/>
              </w:rPr>
            </w:pPr>
            <w:r w:rsidRPr="00941DD5">
              <w:rPr>
                <w:szCs w:val="24"/>
              </w:rPr>
              <w:t>2.8</w:t>
            </w:r>
          </w:p>
        </w:tc>
        <w:tc>
          <w:tcPr>
            <w:tcW w:w="0" w:type="auto"/>
            <w:vAlign w:val="center"/>
            <w:hideMark/>
          </w:tcPr>
          <w:p w14:paraId="10639BAA" w14:textId="77777777" w:rsidR="00D208ED" w:rsidRPr="00941DD5" w:rsidRDefault="00D208ED" w:rsidP="00D208ED">
            <w:pPr>
              <w:jc w:val="center"/>
              <w:rPr>
                <w:szCs w:val="24"/>
              </w:rPr>
            </w:pPr>
            <w:r w:rsidRPr="00941DD5">
              <w:rPr>
                <w:szCs w:val="24"/>
              </w:rPr>
              <w:t>403,220</w:t>
            </w:r>
          </w:p>
        </w:tc>
        <w:tc>
          <w:tcPr>
            <w:tcW w:w="0" w:type="auto"/>
            <w:vAlign w:val="center"/>
            <w:hideMark/>
          </w:tcPr>
          <w:p w14:paraId="58577F61" w14:textId="77777777" w:rsidR="00D208ED" w:rsidRPr="00941DD5" w:rsidRDefault="00D208ED" w:rsidP="00D208ED">
            <w:pPr>
              <w:jc w:val="center"/>
              <w:rPr>
                <w:szCs w:val="24"/>
              </w:rPr>
            </w:pPr>
            <w:r w:rsidRPr="00941DD5">
              <w:rPr>
                <w:szCs w:val="24"/>
              </w:rPr>
              <w:t>139.0</w:t>
            </w:r>
          </w:p>
        </w:tc>
        <w:tc>
          <w:tcPr>
            <w:tcW w:w="1271" w:type="dxa"/>
            <w:vAlign w:val="center"/>
            <w:hideMark/>
          </w:tcPr>
          <w:p w14:paraId="2FBE960A" w14:textId="77777777" w:rsidR="00D208ED" w:rsidRPr="00941DD5" w:rsidRDefault="00D208ED" w:rsidP="00D208ED">
            <w:pPr>
              <w:jc w:val="center"/>
              <w:rPr>
                <w:szCs w:val="24"/>
              </w:rPr>
            </w:pPr>
            <w:r w:rsidRPr="00941DD5">
              <w:rPr>
                <w:szCs w:val="24"/>
              </w:rPr>
              <w:t>1.73</w:t>
            </w:r>
          </w:p>
        </w:tc>
        <w:tc>
          <w:tcPr>
            <w:tcW w:w="1170" w:type="dxa"/>
            <w:vAlign w:val="center"/>
            <w:hideMark/>
          </w:tcPr>
          <w:p w14:paraId="3D8EC364" w14:textId="77777777" w:rsidR="00D208ED" w:rsidRPr="00941DD5" w:rsidRDefault="00D208ED" w:rsidP="00D208ED">
            <w:pPr>
              <w:jc w:val="center"/>
              <w:rPr>
                <w:szCs w:val="24"/>
              </w:rPr>
            </w:pPr>
            <w:r w:rsidRPr="00941DD5">
              <w:rPr>
                <w:szCs w:val="24"/>
              </w:rPr>
              <w:t>1.83</w:t>
            </w:r>
          </w:p>
        </w:tc>
      </w:tr>
      <w:tr w:rsidR="00D208ED" w:rsidRPr="00941DD5" w14:paraId="2B1187CD" w14:textId="77777777" w:rsidTr="00D208ED">
        <w:tc>
          <w:tcPr>
            <w:tcW w:w="3059" w:type="dxa"/>
            <w:vAlign w:val="center"/>
            <w:hideMark/>
          </w:tcPr>
          <w:p w14:paraId="4EA0352E" w14:textId="77777777" w:rsidR="00D208ED" w:rsidRPr="00941DD5" w:rsidRDefault="00D208ED" w:rsidP="00D208ED">
            <w:pPr>
              <w:rPr>
                <w:szCs w:val="24"/>
              </w:rPr>
            </w:pPr>
            <w:r w:rsidRPr="00941DD5">
              <w:rPr>
                <w:szCs w:val="24"/>
              </w:rPr>
              <w:t>Iberian Coastal</w:t>
            </w:r>
          </w:p>
        </w:tc>
        <w:tc>
          <w:tcPr>
            <w:tcW w:w="1143" w:type="dxa"/>
            <w:vAlign w:val="center"/>
            <w:hideMark/>
          </w:tcPr>
          <w:p w14:paraId="7325029F" w14:textId="77777777" w:rsidR="00D208ED" w:rsidRPr="00941DD5" w:rsidRDefault="00D208ED" w:rsidP="00D208ED">
            <w:pPr>
              <w:rPr>
                <w:szCs w:val="24"/>
              </w:rPr>
            </w:pPr>
            <w:r w:rsidRPr="00941DD5">
              <w:rPr>
                <w:szCs w:val="24"/>
              </w:rPr>
              <w:t>44.5</w:t>
            </w:r>
          </w:p>
        </w:tc>
        <w:tc>
          <w:tcPr>
            <w:tcW w:w="0" w:type="auto"/>
            <w:vAlign w:val="center"/>
            <w:hideMark/>
          </w:tcPr>
          <w:p w14:paraId="6DE27097" w14:textId="77777777" w:rsidR="00D208ED" w:rsidRPr="00941DD5" w:rsidRDefault="00D208ED" w:rsidP="00D208ED">
            <w:pPr>
              <w:jc w:val="center"/>
              <w:rPr>
                <w:szCs w:val="24"/>
              </w:rPr>
            </w:pPr>
            <w:r w:rsidRPr="00941DD5">
              <w:rPr>
                <w:szCs w:val="24"/>
              </w:rPr>
              <w:t>88,436</w:t>
            </w:r>
          </w:p>
        </w:tc>
        <w:tc>
          <w:tcPr>
            <w:tcW w:w="0" w:type="auto"/>
            <w:vAlign w:val="center"/>
            <w:hideMark/>
          </w:tcPr>
          <w:p w14:paraId="2306412D" w14:textId="77777777" w:rsidR="00D208ED" w:rsidRPr="00941DD5" w:rsidRDefault="00D208ED" w:rsidP="00D208ED">
            <w:pPr>
              <w:jc w:val="center"/>
              <w:rPr>
                <w:szCs w:val="24"/>
              </w:rPr>
            </w:pPr>
            <w:r w:rsidRPr="00941DD5">
              <w:rPr>
                <w:szCs w:val="24"/>
              </w:rPr>
              <w:t>86.3</w:t>
            </w:r>
          </w:p>
        </w:tc>
        <w:tc>
          <w:tcPr>
            <w:tcW w:w="1271" w:type="dxa"/>
            <w:vAlign w:val="center"/>
            <w:hideMark/>
          </w:tcPr>
          <w:p w14:paraId="41FF199D" w14:textId="77777777" w:rsidR="00D208ED" w:rsidRPr="00941DD5" w:rsidRDefault="00D208ED" w:rsidP="00D208ED">
            <w:pPr>
              <w:jc w:val="center"/>
              <w:rPr>
                <w:szCs w:val="24"/>
              </w:rPr>
            </w:pPr>
            <w:r w:rsidRPr="00941DD5">
              <w:rPr>
                <w:szCs w:val="24"/>
              </w:rPr>
              <w:t>1.3</w:t>
            </w:r>
          </w:p>
        </w:tc>
        <w:tc>
          <w:tcPr>
            <w:tcW w:w="1170" w:type="dxa"/>
            <w:vAlign w:val="center"/>
            <w:hideMark/>
          </w:tcPr>
          <w:p w14:paraId="728673B3" w14:textId="77777777" w:rsidR="00D208ED" w:rsidRPr="00941DD5" w:rsidRDefault="00D208ED" w:rsidP="00D208ED">
            <w:pPr>
              <w:jc w:val="center"/>
              <w:rPr>
                <w:szCs w:val="24"/>
              </w:rPr>
            </w:pPr>
            <w:r w:rsidRPr="00941DD5">
              <w:rPr>
                <w:szCs w:val="24"/>
              </w:rPr>
              <w:t>1.51</w:t>
            </w:r>
          </w:p>
        </w:tc>
      </w:tr>
      <w:tr w:rsidR="00D208ED" w:rsidRPr="00941DD5" w14:paraId="3B817E43" w14:textId="77777777" w:rsidTr="00D208ED">
        <w:tc>
          <w:tcPr>
            <w:tcW w:w="3059" w:type="dxa"/>
            <w:vAlign w:val="center"/>
            <w:hideMark/>
          </w:tcPr>
          <w:p w14:paraId="5A937AFE" w14:textId="77777777" w:rsidR="00D208ED" w:rsidRPr="00941DD5" w:rsidRDefault="00D208ED" w:rsidP="00D208ED">
            <w:pPr>
              <w:rPr>
                <w:szCs w:val="24"/>
              </w:rPr>
            </w:pPr>
            <w:r w:rsidRPr="00941DD5">
              <w:rPr>
                <w:szCs w:val="24"/>
              </w:rPr>
              <w:t>Iceland Shelf and Sea</w:t>
            </w:r>
          </w:p>
        </w:tc>
        <w:tc>
          <w:tcPr>
            <w:tcW w:w="1143" w:type="dxa"/>
            <w:vAlign w:val="center"/>
            <w:hideMark/>
          </w:tcPr>
          <w:p w14:paraId="66E252F7" w14:textId="77777777" w:rsidR="00D208ED" w:rsidRPr="00941DD5" w:rsidRDefault="00D208ED" w:rsidP="00D208ED">
            <w:pPr>
              <w:rPr>
                <w:szCs w:val="24"/>
              </w:rPr>
            </w:pPr>
            <w:r w:rsidRPr="00941DD5">
              <w:rPr>
                <w:szCs w:val="24"/>
              </w:rPr>
              <w:t>24.9</w:t>
            </w:r>
          </w:p>
        </w:tc>
        <w:tc>
          <w:tcPr>
            <w:tcW w:w="0" w:type="auto"/>
            <w:vAlign w:val="center"/>
            <w:hideMark/>
          </w:tcPr>
          <w:p w14:paraId="1395AEC4" w14:textId="77777777" w:rsidR="00D208ED" w:rsidRPr="00941DD5" w:rsidRDefault="00D208ED" w:rsidP="00D208ED">
            <w:pPr>
              <w:jc w:val="center"/>
              <w:rPr>
                <w:szCs w:val="24"/>
              </w:rPr>
            </w:pPr>
            <w:r w:rsidRPr="00941DD5">
              <w:rPr>
                <w:szCs w:val="24"/>
              </w:rPr>
              <w:t>286,752</w:t>
            </w:r>
          </w:p>
        </w:tc>
        <w:tc>
          <w:tcPr>
            <w:tcW w:w="0" w:type="auto"/>
            <w:vAlign w:val="center"/>
            <w:hideMark/>
          </w:tcPr>
          <w:p w14:paraId="705E514B" w14:textId="77777777" w:rsidR="00D208ED" w:rsidRPr="00941DD5" w:rsidRDefault="00D208ED" w:rsidP="00D208ED">
            <w:pPr>
              <w:jc w:val="center"/>
              <w:rPr>
                <w:szCs w:val="24"/>
              </w:rPr>
            </w:pPr>
            <w:r w:rsidRPr="00941DD5">
              <w:rPr>
                <w:szCs w:val="24"/>
              </w:rPr>
              <w:t>575.6</w:t>
            </w:r>
          </w:p>
        </w:tc>
        <w:tc>
          <w:tcPr>
            <w:tcW w:w="1271" w:type="dxa"/>
            <w:vAlign w:val="center"/>
            <w:hideMark/>
          </w:tcPr>
          <w:p w14:paraId="6D619E02" w14:textId="77777777" w:rsidR="00D208ED" w:rsidRPr="00941DD5" w:rsidRDefault="00D208ED" w:rsidP="00D208ED">
            <w:pPr>
              <w:jc w:val="center"/>
              <w:rPr>
                <w:szCs w:val="24"/>
              </w:rPr>
            </w:pPr>
            <w:r w:rsidRPr="00941DD5">
              <w:rPr>
                <w:szCs w:val="24"/>
              </w:rPr>
              <w:t>1.95</w:t>
            </w:r>
          </w:p>
        </w:tc>
        <w:tc>
          <w:tcPr>
            <w:tcW w:w="1170" w:type="dxa"/>
            <w:vAlign w:val="center"/>
            <w:hideMark/>
          </w:tcPr>
          <w:p w14:paraId="54F7A4FE" w14:textId="77777777" w:rsidR="00D208ED" w:rsidRPr="00941DD5" w:rsidRDefault="00D208ED" w:rsidP="00D208ED">
            <w:pPr>
              <w:jc w:val="center"/>
              <w:rPr>
                <w:szCs w:val="24"/>
              </w:rPr>
            </w:pPr>
            <w:r w:rsidRPr="00941DD5">
              <w:rPr>
                <w:szCs w:val="24"/>
              </w:rPr>
              <w:t>1.9</w:t>
            </w:r>
          </w:p>
        </w:tc>
      </w:tr>
      <w:tr w:rsidR="00D208ED" w:rsidRPr="00941DD5" w14:paraId="5E477DC8" w14:textId="77777777" w:rsidTr="00D208ED">
        <w:tc>
          <w:tcPr>
            <w:tcW w:w="3059" w:type="dxa"/>
            <w:vAlign w:val="center"/>
            <w:hideMark/>
          </w:tcPr>
          <w:p w14:paraId="71D5AFF2" w14:textId="77777777" w:rsidR="00D208ED" w:rsidRPr="00941DD5" w:rsidRDefault="00D208ED" w:rsidP="00D208ED">
            <w:pPr>
              <w:rPr>
                <w:szCs w:val="24"/>
              </w:rPr>
            </w:pPr>
            <w:r w:rsidRPr="00941DD5">
              <w:rPr>
                <w:szCs w:val="24"/>
              </w:rPr>
              <w:t>Indonesian Sea</w:t>
            </w:r>
          </w:p>
        </w:tc>
        <w:tc>
          <w:tcPr>
            <w:tcW w:w="1143" w:type="dxa"/>
            <w:vAlign w:val="center"/>
            <w:hideMark/>
          </w:tcPr>
          <w:p w14:paraId="2DCBCE6D" w14:textId="77777777" w:rsidR="00D208ED" w:rsidRPr="00941DD5" w:rsidRDefault="00D208ED" w:rsidP="00D208ED">
            <w:pPr>
              <w:rPr>
                <w:szCs w:val="24"/>
              </w:rPr>
            </w:pPr>
            <w:r w:rsidRPr="00941DD5">
              <w:rPr>
                <w:szCs w:val="24"/>
              </w:rPr>
              <w:t>0.1 (13.2)</w:t>
            </w:r>
            <w:r w:rsidRPr="00941DD5">
              <w:rPr>
                <w:szCs w:val="24"/>
                <w:vertAlign w:val="superscript"/>
              </w:rPr>
              <w:t xml:space="preserve"> </w:t>
            </w:r>
            <w:r w:rsidRPr="00941DD5">
              <w:rPr>
                <w:color w:val="000000"/>
                <w:szCs w:val="24"/>
                <w:shd w:val="clear" w:color="auto" w:fill="FFFFFF"/>
                <w:vertAlign w:val="superscript"/>
              </w:rPr>
              <w:t>‡</w:t>
            </w:r>
          </w:p>
        </w:tc>
        <w:tc>
          <w:tcPr>
            <w:tcW w:w="0" w:type="auto"/>
            <w:vAlign w:val="center"/>
            <w:hideMark/>
          </w:tcPr>
          <w:p w14:paraId="7EBAFAA5" w14:textId="77777777" w:rsidR="00D208ED" w:rsidRPr="00941DD5" w:rsidRDefault="00D208ED" w:rsidP="00D208ED">
            <w:pPr>
              <w:jc w:val="center"/>
              <w:rPr>
                <w:szCs w:val="24"/>
              </w:rPr>
            </w:pPr>
            <w:r w:rsidRPr="00941DD5">
              <w:rPr>
                <w:szCs w:val="24"/>
              </w:rPr>
              <w:t>1,136,496</w:t>
            </w:r>
          </w:p>
        </w:tc>
        <w:tc>
          <w:tcPr>
            <w:tcW w:w="0" w:type="auto"/>
            <w:vAlign w:val="center"/>
            <w:hideMark/>
          </w:tcPr>
          <w:p w14:paraId="662E7DFB" w14:textId="77777777" w:rsidR="00D208ED" w:rsidRPr="00941DD5" w:rsidRDefault="00D208ED" w:rsidP="00D208ED">
            <w:pPr>
              <w:jc w:val="center"/>
              <w:rPr>
                <w:szCs w:val="24"/>
              </w:rPr>
            </w:pPr>
            <w:r w:rsidRPr="00941DD5">
              <w:rPr>
                <w:szCs w:val="24"/>
              </w:rPr>
              <w:t>968.5</w:t>
            </w:r>
          </w:p>
        </w:tc>
        <w:tc>
          <w:tcPr>
            <w:tcW w:w="1271" w:type="dxa"/>
            <w:vAlign w:val="center"/>
            <w:hideMark/>
          </w:tcPr>
          <w:p w14:paraId="20A3F1B5" w14:textId="77777777" w:rsidR="00D208ED" w:rsidRPr="00941DD5" w:rsidRDefault="00D208ED" w:rsidP="00D208ED">
            <w:pPr>
              <w:jc w:val="center"/>
              <w:rPr>
                <w:szCs w:val="24"/>
              </w:rPr>
            </w:pPr>
            <w:r w:rsidRPr="00941DD5">
              <w:rPr>
                <w:szCs w:val="24"/>
              </w:rPr>
              <w:t>1.69</w:t>
            </w:r>
          </w:p>
        </w:tc>
        <w:tc>
          <w:tcPr>
            <w:tcW w:w="1170" w:type="dxa"/>
            <w:vAlign w:val="center"/>
            <w:hideMark/>
          </w:tcPr>
          <w:p w14:paraId="4C7C7955" w14:textId="77777777" w:rsidR="00D208ED" w:rsidRPr="00941DD5" w:rsidRDefault="00D208ED" w:rsidP="00D208ED">
            <w:pPr>
              <w:jc w:val="center"/>
              <w:rPr>
                <w:szCs w:val="24"/>
              </w:rPr>
            </w:pPr>
            <w:r w:rsidRPr="00941DD5">
              <w:rPr>
                <w:szCs w:val="24"/>
              </w:rPr>
              <w:t>1.18</w:t>
            </w:r>
          </w:p>
        </w:tc>
      </w:tr>
      <w:tr w:rsidR="00D208ED" w:rsidRPr="00941DD5" w14:paraId="57B672F4" w14:textId="77777777" w:rsidTr="00D208ED">
        <w:tc>
          <w:tcPr>
            <w:tcW w:w="3059" w:type="dxa"/>
            <w:vAlign w:val="center"/>
            <w:hideMark/>
          </w:tcPr>
          <w:p w14:paraId="77B13B91" w14:textId="77777777" w:rsidR="00D208ED" w:rsidRPr="00941DD5" w:rsidRDefault="00D208ED" w:rsidP="00D208ED">
            <w:pPr>
              <w:rPr>
                <w:szCs w:val="24"/>
              </w:rPr>
            </w:pPr>
            <w:r w:rsidRPr="00941DD5">
              <w:rPr>
                <w:szCs w:val="24"/>
              </w:rPr>
              <w:t>Insular Pacific-Hawaiian</w:t>
            </w:r>
          </w:p>
        </w:tc>
        <w:tc>
          <w:tcPr>
            <w:tcW w:w="1143" w:type="dxa"/>
            <w:vAlign w:val="center"/>
            <w:hideMark/>
          </w:tcPr>
          <w:p w14:paraId="654728AD" w14:textId="77777777" w:rsidR="00D208ED" w:rsidRPr="00941DD5" w:rsidRDefault="00D208ED" w:rsidP="00D208ED">
            <w:pPr>
              <w:rPr>
                <w:szCs w:val="24"/>
              </w:rPr>
            </w:pPr>
            <w:r w:rsidRPr="00941DD5">
              <w:rPr>
                <w:szCs w:val="24"/>
              </w:rPr>
              <w:t>0.1</w:t>
            </w:r>
          </w:p>
        </w:tc>
        <w:tc>
          <w:tcPr>
            <w:tcW w:w="0" w:type="auto"/>
            <w:vAlign w:val="center"/>
            <w:hideMark/>
          </w:tcPr>
          <w:p w14:paraId="75F0708D" w14:textId="77777777" w:rsidR="00D208ED" w:rsidRPr="00941DD5" w:rsidRDefault="00D208ED" w:rsidP="00D208ED">
            <w:pPr>
              <w:jc w:val="center"/>
              <w:rPr>
                <w:szCs w:val="24"/>
              </w:rPr>
            </w:pPr>
            <w:r w:rsidRPr="00941DD5">
              <w:rPr>
                <w:szCs w:val="24"/>
              </w:rPr>
              <w:t>52,192</w:t>
            </w:r>
          </w:p>
        </w:tc>
        <w:tc>
          <w:tcPr>
            <w:tcW w:w="0" w:type="auto"/>
            <w:vAlign w:val="center"/>
            <w:hideMark/>
          </w:tcPr>
          <w:p w14:paraId="241ACD28" w14:textId="77777777" w:rsidR="00D208ED" w:rsidRPr="00941DD5" w:rsidRDefault="00D208ED" w:rsidP="00D208ED">
            <w:pPr>
              <w:jc w:val="center"/>
              <w:rPr>
                <w:szCs w:val="24"/>
              </w:rPr>
            </w:pPr>
            <w:r w:rsidRPr="00941DD5">
              <w:rPr>
                <w:szCs w:val="24"/>
              </w:rPr>
              <w:t>0</w:t>
            </w:r>
          </w:p>
        </w:tc>
        <w:tc>
          <w:tcPr>
            <w:tcW w:w="1271" w:type="dxa"/>
            <w:vAlign w:val="center"/>
            <w:hideMark/>
          </w:tcPr>
          <w:p w14:paraId="333D3BCB" w14:textId="77777777" w:rsidR="00D208ED" w:rsidRPr="00941DD5" w:rsidRDefault="00D208ED" w:rsidP="00D208ED">
            <w:pPr>
              <w:jc w:val="center"/>
              <w:rPr>
                <w:szCs w:val="24"/>
              </w:rPr>
            </w:pPr>
            <w:r w:rsidRPr="00941DD5">
              <w:rPr>
                <w:szCs w:val="24"/>
              </w:rPr>
              <w:t>-</w:t>
            </w:r>
          </w:p>
        </w:tc>
        <w:tc>
          <w:tcPr>
            <w:tcW w:w="1170" w:type="dxa"/>
            <w:vAlign w:val="center"/>
            <w:hideMark/>
          </w:tcPr>
          <w:p w14:paraId="4F2BA06E" w14:textId="77777777" w:rsidR="00D208ED" w:rsidRPr="00941DD5" w:rsidRDefault="00D208ED" w:rsidP="00D208ED">
            <w:pPr>
              <w:jc w:val="center"/>
              <w:rPr>
                <w:szCs w:val="24"/>
              </w:rPr>
            </w:pPr>
            <w:r w:rsidRPr="00941DD5">
              <w:rPr>
                <w:szCs w:val="24"/>
              </w:rPr>
              <w:t>-</w:t>
            </w:r>
          </w:p>
        </w:tc>
      </w:tr>
      <w:tr w:rsidR="00D208ED" w:rsidRPr="00941DD5" w14:paraId="7807268D" w14:textId="77777777" w:rsidTr="00D208ED">
        <w:tc>
          <w:tcPr>
            <w:tcW w:w="3059" w:type="dxa"/>
            <w:vAlign w:val="center"/>
            <w:hideMark/>
          </w:tcPr>
          <w:p w14:paraId="0D64D010" w14:textId="77777777" w:rsidR="00D208ED" w:rsidRPr="00941DD5" w:rsidRDefault="00D208ED" w:rsidP="00D208ED">
            <w:pPr>
              <w:rPr>
                <w:szCs w:val="24"/>
              </w:rPr>
            </w:pPr>
            <w:r w:rsidRPr="00941DD5">
              <w:rPr>
                <w:szCs w:val="24"/>
              </w:rPr>
              <w:t>Kara Sea</w:t>
            </w:r>
          </w:p>
        </w:tc>
        <w:tc>
          <w:tcPr>
            <w:tcW w:w="1143" w:type="dxa"/>
            <w:vAlign w:val="center"/>
            <w:hideMark/>
          </w:tcPr>
          <w:p w14:paraId="6F8EABFC" w14:textId="77777777" w:rsidR="00D208ED" w:rsidRPr="00941DD5" w:rsidRDefault="00D208ED" w:rsidP="00D208ED">
            <w:pPr>
              <w:rPr>
                <w:szCs w:val="24"/>
              </w:rPr>
            </w:pPr>
            <w:r w:rsidRPr="00941DD5">
              <w:rPr>
                <w:szCs w:val="24"/>
              </w:rPr>
              <w:t>0.4</w:t>
            </w:r>
          </w:p>
        </w:tc>
        <w:tc>
          <w:tcPr>
            <w:tcW w:w="0" w:type="auto"/>
            <w:vAlign w:val="center"/>
            <w:hideMark/>
          </w:tcPr>
          <w:p w14:paraId="4F68C8E6" w14:textId="77777777" w:rsidR="00D208ED" w:rsidRPr="00941DD5" w:rsidRDefault="00D208ED" w:rsidP="00D208ED">
            <w:pPr>
              <w:jc w:val="center"/>
              <w:rPr>
                <w:szCs w:val="24"/>
              </w:rPr>
            </w:pPr>
            <w:r w:rsidRPr="00941DD5">
              <w:rPr>
                <w:szCs w:val="24"/>
              </w:rPr>
              <w:t>923,308</w:t>
            </w:r>
          </w:p>
        </w:tc>
        <w:tc>
          <w:tcPr>
            <w:tcW w:w="0" w:type="auto"/>
            <w:vAlign w:val="center"/>
            <w:hideMark/>
          </w:tcPr>
          <w:p w14:paraId="01EFFE31" w14:textId="77777777" w:rsidR="00D208ED" w:rsidRPr="00941DD5" w:rsidRDefault="00D208ED" w:rsidP="00D208ED">
            <w:pPr>
              <w:jc w:val="center"/>
              <w:rPr>
                <w:szCs w:val="24"/>
              </w:rPr>
            </w:pPr>
            <w:r w:rsidRPr="00941DD5">
              <w:rPr>
                <w:szCs w:val="24"/>
              </w:rPr>
              <w:t>0</w:t>
            </w:r>
          </w:p>
        </w:tc>
        <w:tc>
          <w:tcPr>
            <w:tcW w:w="1271" w:type="dxa"/>
            <w:vAlign w:val="center"/>
            <w:hideMark/>
          </w:tcPr>
          <w:p w14:paraId="6EF76115" w14:textId="77777777" w:rsidR="00D208ED" w:rsidRPr="00941DD5" w:rsidRDefault="00D208ED" w:rsidP="00D208ED">
            <w:pPr>
              <w:jc w:val="center"/>
              <w:rPr>
                <w:szCs w:val="24"/>
              </w:rPr>
            </w:pPr>
            <w:r w:rsidRPr="00941DD5">
              <w:rPr>
                <w:szCs w:val="24"/>
              </w:rPr>
              <w:t>-</w:t>
            </w:r>
          </w:p>
        </w:tc>
        <w:tc>
          <w:tcPr>
            <w:tcW w:w="1170" w:type="dxa"/>
            <w:vAlign w:val="center"/>
            <w:hideMark/>
          </w:tcPr>
          <w:p w14:paraId="2354672E" w14:textId="77777777" w:rsidR="00D208ED" w:rsidRPr="00941DD5" w:rsidRDefault="00D208ED" w:rsidP="00D208ED">
            <w:pPr>
              <w:jc w:val="center"/>
              <w:rPr>
                <w:szCs w:val="24"/>
              </w:rPr>
            </w:pPr>
            <w:r w:rsidRPr="00941DD5">
              <w:rPr>
                <w:szCs w:val="24"/>
              </w:rPr>
              <w:t>-</w:t>
            </w:r>
          </w:p>
        </w:tc>
      </w:tr>
      <w:tr w:rsidR="00D208ED" w:rsidRPr="00941DD5" w14:paraId="1A3299F0" w14:textId="77777777" w:rsidTr="00D208ED">
        <w:tc>
          <w:tcPr>
            <w:tcW w:w="3059" w:type="dxa"/>
            <w:vAlign w:val="center"/>
            <w:hideMark/>
          </w:tcPr>
          <w:p w14:paraId="455EDD11" w14:textId="77777777" w:rsidR="00D208ED" w:rsidRPr="00941DD5" w:rsidRDefault="00D208ED" w:rsidP="00D208ED">
            <w:pPr>
              <w:rPr>
                <w:szCs w:val="24"/>
              </w:rPr>
            </w:pPr>
            <w:r w:rsidRPr="00941DD5">
              <w:rPr>
                <w:szCs w:val="24"/>
              </w:rPr>
              <w:t>Kuroshio Current</w:t>
            </w:r>
          </w:p>
        </w:tc>
        <w:tc>
          <w:tcPr>
            <w:tcW w:w="1143" w:type="dxa"/>
            <w:vAlign w:val="center"/>
            <w:hideMark/>
          </w:tcPr>
          <w:p w14:paraId="6353BA1A" w14:textId="77777777" w:rsidR="00D208ED" w:rsidRPr="00941DD5" w:rsidRDefault="00D208ED" w:rsidP="00D208ED">
            <w:pPr>
              <w:rPr>
                <w:szCs w:val="24"/>
              </w:rPr>
            </w:pPr>
            <w:r w:rsidRPr="00941DD5">
              <w:rPr>
                <w:szCs w:val="24"/>
              </w:rPr>
              <w:t>6.9 (12.3)</w:t>
            </w:r>
            <w:r w:rsidRPr="00941DD5">
              <w:rPr>
                <w:szCs w:val="24"/>
                <w:vertAlign w:val="superscript"/>
              </w:rPr>
              <w:t xml:space="preserve"> </w:t>
            </w:r>
            <w:r w:rsidRPr="00941DD5">
              <w:rPr>
                <w:color w:val="000000"/>
                <w:szCs w:val="24"/>
                <w:shd w:val="clear" w:color="auto" w:fill="FFFFFF"/>
                <w:vertAlign w:val="superscript"/>
              </w:rPr>
              <w:t>‡</w:t>
            </w:r>
          </w:p>
        </w:tc>
        <w:tc>
          <w:tcPr>
            <w:tcW w:w="0" w:type="auto"/>
            <w:vAlign w:val="center"/>
            <w:hideMark/>
          </w:tcPr>
          <w:p w14:paraId="1E176AFD" w14:textId="77777777" w:rsidR="00D208ED" w:rsidRPr="00941DD5" w:rsidRDefault="00D208ED" w:rsidP="00D208ED">
            <w:pPr>
              <w:jc w:val="center"/>
              <w:rPr>
                <w:szCs w:val="24"/>
              </w:rPr>
            </w:pPr>
            <w:r w:rsidRPr="00941DD5">
              <w:rPr>
                <w:szCs w:val="24"/>
              </w:rPr>
              <w:t>227,912</w:t>
            </w:r>
          </w:p>
        </w:tc>
        <w:tc>
          <w:tcPr>
            <w:tcW w:w="0" w:type="auto"/>
            <w:vAlign w:val="center"/>
            <w:hideMark/>
          </w:tcPr>
          <w:p w14:paraId="037022D6" w14:textId="77777777" w:rsidR="00D208ED" w:rsidRPr="00941DD5" w:rsidRDefault="00D208ED" w:rsidP="00D208ED">
            <w:pPr>
              <w:jc w:val="center"/>
              <w:rPr>
                <w:szCs w:val="24"/>
              </w:rPr>
            </w:pPr>
            <w:r w:rsidRPr="00941DD5">
              <w:rPr>
                <w:szCs w:val="24"/>
              </w:rPr>
              <w:t>782.3</w:t>
            </w:r>
          </w:p>
        </w:tc>
        <w:tc>
          <w:tcPr>
            <w:tcW w:w="1271" w:type="dxa"/>
            <w:vAlign w:val="center"/>
            <w:hideMark/>
          </w:tcPr>
          <w:p w14:paraId="7FF524AF" w14:textId="77777777" w:rsidR="00D208ED" w:rsidRPr="00941DD5" w:rsidRDefault="00D208ED" w:rsidP="00D208ED">
            <w:pPr>
              <w:jc w:val="center"/>
              <w:rPr>
                <w:szCs w:val="24"/>
              </w:rPr>
            </w:pPr>
            <w:r w:rsidRPr="00941DD5">
              <w:rPr>
                <w:szCs w:val="24"/>
              </w:rPr>
              <w:t>1.08</w:t>
            </w:r>
          </w:p>
        </w:tc>
        <w:tc>
          <w:tcPr>
            <w:tcW w:w="1170" w:type="dxa"/>
            <w:vAlign w:val="center"/>
            <w:hideMark/>
          </w:tcPr>
          <w:p w14:paraId="7A8D4F92" w14:textId="77777777" w:rsidR="00D208ED" w:rsidRPr="00941DD5" w:rsidRDefault="00D208ED" w:rsidP="00D208ED">
            <w:pPr>
              <w:jc w:val="center"/>
              <w:rPr>
                <w:szCs w:val="24"/>
              </w:rPr>
            </w:pPr>
            <w:r w:rsidRPr="00941DD5">
              <w:rPr>
                <w:szCs w:val="24"/>
              </w:rPr>
              <w:t>1.33</w:t>
            </w:r>
          </w:p>
        </w:tc>
      </w:tr>
      <w:tr w:rsidR="00D208ED" w:rsidRPr="00941DD5" w14:paraId="6C918ECD" w14:textId="77777777" w:rsidTr="00D208ED">
        <w:tc>
          <w:tcPr>
            <w:tcW w:w="3059" w:type="dxa"/>
            <w:vAlign w:val="center"/>
            <w:hideMark/>
          </w:tcPr>
          <w:p w14:paraId="22485672" w14:textId="77777777" w:rsidR="00D208ED" w:rsidRPr="00941DD5" w:rsidRDefault="00D208ED" w:rsidP="00D208ED">
            <w:pPr>
              <w:rPr>
                <w:szCs w:val="24"/>
              </w:rPr>
            </w:pPr>
            <w:r w:rsidRPr="00941DD5">
              <w:rPr>
                <w:szCs w:val="24"/>
              </w:rPr>
              <w:t>Laptev Sea</w:t>
            </w:r>
          </w:p>
        </w:tc>
        <w:tc>
          <w:tcPr>
            <w:tcW w:w="1143" w:type="dxa"/>
            <w:vAlign w:val="center"/>
            <w:hideMark/>
          </w:tcPr>
          <w:p w14:paraId="4C29071D" w14:textId="77777777" w:rsidR="00D208ED" w:rsidRPr="00941DD5" w:rsidRDefault="00D208ED" w:rsidP="00D208ED">
            <w:pPr>
              <w:rPr>
                <w:szCs w:val="24"/>
              </w:rPr>
            </w:pPr>
            <w:r w:rsidRPr="00941DD5">
              <w:rPr>
                <w:szCs w:val="24"/>
              </w:rPr>
              <w:t>0.1</w:t>
            </w:r>
          </w:p>
        </w:tc>
        <w:tc>
          <w:tcPr>
            <w:tcW w:w="0" w:type="auto"/>
            <w:vAlign w:val="center"/>
            <w:hideMark/>
          </w:tcPr>
          <w:p w14:paraId="5D02CA1C" w14:textId="77777777" w:rsidR="00D208ED" w:rsidRPr="00941DD5" w:rsidRDefault="00D208ED" w:rsidP="00D208ED">
            <w:pPr>
              <w:jc w:val="center"/>
              <w:rPr>
                <w:szCs w:val="24"/>
              </w:rPr>
            </w:pPr>
            <w:r w:rsidRPr="00941DD5">
              <w:rPr>
                <w:szCs w:val="24"/>
              </w:rPr>
              <w:t>818,764</w:t>
            </w:r>
          </w:p>
        </w:tc>
        <w:tc>
          <w:tcPr>
            <w:tcW w:w="0" w:type="auto"/>
            <w:vAlign w:val="center"/>
            <w:hideMark/>
          </w:tcPr>
          <w:p w14:paraId="4F108790" w14:textId="77777777" w:rsidR="00D208ED" w:rsidRPr="00941DD5" w:rsidRDefault="00D208ED" w:rsidP="00D208ED">
            <w:pPr>
              <w:jc w:val="center"/>
              <w:rPr>
                <w:szCs w:val="24"/>
              </w:rPr>
            </w:pPr>
            <w:r w:rsidRPr="00941DD5">
              <w:rPr>
                <w:szCs w:val="24"/>
              </w:rPr>
              <w:t>0</w:t>
            </w:r>
          </w:p>
        </w:tc>
        <w:tc>
          <w:tcPr>
            <w:tcW w:w="1271" w:type="dxa"/>
            <w:vAlign w:val="center"/>
            <w:hideMark/>
          </w:tcPr>
          <w:p w14:paraId="482D6EA9" w14:textId="77777777" w:rsidR="00D208ED" w:rsidRPr="00941DD5" w:rsidRDefault="00D208ED" w:rsidP="00D208ED">
            <w:pPr>
              <w:jc w:val="center"/>
              <w:rPr>
                <w:szCs w:val="24"/>
              </w:rPr>
            </w:pPr>
            <w:r w:rsidRPr="00941DD5">
              <w:rPr>
                <w:szCs w:val="24"/>
              </w:rPr>
              <w:t>-</w:t>
            </w:r>
          </w:p>
        </w:tc>
        <w:tc>
          <w:tcPr>
            <w:tcW w:w="1170" w:type="dxa"/>
            <w:vAlign w:val="center"/>
            <w:hideMark/>
          </w:tcPr>
          <w:p w14:paraId="11FB30F3" w14:textId="77777777" w:rsidR="00D208ED" w:rsidRPr="00941DD5" w:rsidRDefault="00D208ED" w:rsidP="00D208ED">
            <w:pPr>
              <w:jc w:val="center"/>
              <w:rPr>
                <w:szCs w:val="24"/>
              </w:rPr>
            </w:pPr>
            <w:r w:rsidRPr="00941DD5">
              <w:rPr>
                <w:szCs w:val="24"/>
              </w:rPr>
              <w:t>-</w:t>
            </w:r>
          </w:p>
        </w:tc>
      </w:tr>
      <w:tr w:rsidR="00D208ED" w:rsidRPr="00941DD5" w14:paraId="10FAD22A" w14:textId="77777777" w:rsidTr="00D208ED">
        <w:tc>
          <w:tcPr>
            <w:tcW w:w="3059" w:type="dxa"/>
            <w:vAlign w:val="center"/>
            <w:hideMark/>
          </w:tcPr>
          <w:p w14:paraId="272034FA" w14:textId="77777777" w:rsidR="00D208ED" w:rsidRPr="00941DD5" w:rsidRDefault="00D208ED" w:rsidP="00D208ED">
            <w:pPr>
              <w:rPr>
                <w:szCs w:val="24"/>
              </w:rPr>
            </w:pPr>
            <w:r w:rsidRPr="00941DD5">
              <w:rPr>
                <w:szCs w:val="24"/>
              </w:rPr>
              <w:t>Mediterranean Sea</w:t>
            </w:r>
          </w:p>
        </w:tc>
        <w:tc>
          <w:tcPr>
            <w:tcW w:w="1143" w:type="dxa"/>
            <w:vAlign w:val="center"/>
            <w:hideMark/>
          </w:tcPr>
          <w:p w14:paraId="199D20E2" w14:textId="77777777" w:rsidR="00D208ED" w:rsidRPr="00941DD5" w:rsidRDefault="00D208ED" w:rsidP="00D208ED">
            <w:pPr>
              <w:rPr>
                <w:szCs w:val="24"/>
              </w:rPr>
            </w:pPr>
            <w:r w:rsidRPr="00941DD5">
              <w:rPr>
                <w:szCs w:val="24"/>
              </w:rPr>
              <w:t>25.7</w:t>
            </w:r>
          </w:p>
        </w:tc>
        <w:tc>
          <w:tcPr>
            <w:tcW w:w="0" w:type="auto"/>
            <w:vAlign w:val="center"/>
            <w:hideMark/>
          </w:tcPr>
          <w:p w14:paraId="3C032B35" w14:textId="77777777" w:rsidR="00D208ED" w:rsidRPr="00941DD5" w:rsidRDefault="00D208ED" w:rsidP="00D208ED">
            <w:pPr>
              <w:jc w:val="center"/>
              <w:rPr>
                <w:szCs w:val="24"/>
              </w:rPr>
            </w:pPr>
            <w:r w:rsidRPr="00941DD5">
              <w:rPr>
                <w:szCs w:val="24"/>
              </w:rPr>
              <w:t>1,035,708</w:t>
            </w:r>
          </w:p>
        </w:tc>
        <w:tc>
          <w:tcPr>
            <w:tcW w:w="0" w:type="auto"/>
            <w:vAlign w:val="center"/>
            <w:hideMark/>
          </w:tcPr>
          <w:p w14:paraId="609D776E" w14:textId="77777777" w:rsidR="00D208ED" w:rsidRPr="00941DD5" w:rsidRDefault="00D208ED" w:rsidP="00D208ED">
            <w:pPr>
              <w:jc w:val="center"/>
              <w:rPr>
                <w:szCs w:val="24"/>
              </w:rPr>
            </w:pPr>
            <w:r w:rsidRPr="00941DD5">
              <w:rPr>
                <w:szCs w:val="24"/>
              </w:rPr>
              <w:t>461.9</w:t>
            </w:r>
          </w:p>
        </w:tc>
        <w:tc>
          <w:tcPr>
            <w:tcW w:w="1271" w:type="dxa"/>
            <w:vAlign w:val="center"/>
            <w:hideMark/>
          </w:tcPr>
          <w:p w14:paraId="13FB9560" w14:textId="77777777" w:rsidR="00D208ED" w:rsidRPr="00941DD5" w:rsidRDefault="00D208ED" w:rsidP="00D208ED">
            <w:pPr>
              <w:jc w:val="center"/>
              <w:rPr>
                <w:szCs w:val="24"/>
              </w:rPr>
            </w:pPr>
            <w:r w:rsidRPr="00941DD5">
              <w:rPr>
                <w:szCs w:val="24"/>
              </w:rPr>
              <w:t>1.46</w:t>
            </w:r>
          </w:p>
        </w:tc>
        <w:tc>
          <w:tcPr>
            <w:tcW w:w="1170" w:type="dxa"/>
            <w:vAlign w:val="center"/>
            <w:hideMark/>
          </w:tcPr>
          <w:p w14:paraId="359E3242" w14:textId="77777777" w:rsidR="00D208ED" w:rsidRPr="00941DD5" w:rsidRDefault="00D208ED" w:rsidP="00D208ED">
            <w:pPr>
              <w:jc w:val="center"/>
              <w:rPr>
                <w:szCs w:val="24"/>
              </w:rPr>
            </w:pPr>
            <w:r w:rsidRPr="00941DD5">
              <w:rPr>
                <w:szCs w:val="24"/>
              </w:rPr>
              <w:t>1.3</w:t>
            </w:r>
          </w:p>
        </w:tc>
      </w:tr>
      <w:tr w:rsidR="00D208ED" w:rsidRPr="00941DD5" w14:paraId="50110934" w14:textId="77777777" w:rsidTr="00D208ED">
        <w:tc>
          <w:tcPr>
            <w:tcW w:w="3059" w:type="dxa"/>
            <w:vAlign w:val="center"/>
            <w:hideMark/>
          </w:tcPr>
          <w:p w14:paraId="015D53FA" w14:textId="77777777" w:rsidR="00D208ED" w:rsidRPr="00941DD5" w:rsidRDefault="00D208ED" w:rsidP="00D208ED">
            <w:pPr>
              <w:rPr>
                <w:szCs w:val="24"/>
              </w:rPr>
            </w:pPr>
            <w:r w:rsidRPr="00941DD5">
              <w:rPr>
                <w:szCs w:val="24"/>
              </w:rPr>
              <w:t>New Zealand Shelf</w:t>
            </w:r>
          </w:p>
        </w:tc>
        <w:tc>
          <w:tcPr>
            <w:tcW w:w="1143" w:type="dxa"/>
            <w:vAlign w:val="center"/>
            <w:hideMark/>
          </w:tcPr>
          <w:p w14:paraId="746B5291" w14:textId="77777777" w:rsidR="00D208ED" w:rsidRPr="00941DD5" w:rsidRDefault="00D208ED" w:rsidP="00D208ED">
            <w:pPr>
              <w:rPr>
                <w:szCs w:val="24"/>
              </w:rPr>
            </w:pPr>
            <w:r w:rsidRPr="00941DD5">
              <w:rPr>
                <w:szCs w:val="24"/>
              </w:rPr>
              <w:t>7.5</w:t>
            </w:r>
          </w:p>
        </w:tc>
        <w:tc>
          <w:tcPr>
            <w:tcW w:w="0" w:type="auto"/>
            <w:vAlign w:val="center"/>
            <w:hideMark/>
          </w:tcPr>
          <w:p w14:paraId="544B8015" w14:textId="77777777" w:rsidR="00D208ED" w:rsidRPr="00941DD5" w:rsidRDefault="00D208ED" w:rsidP="00D208ED">
            <w:pPr>
              <w:jc w:val="center"/>
              <w:rPr>
                <w:szCs w:val="24"/>
              </w:rPr>
            </w:pPr>
            <w:r w:rsidRPr="00941DD5">
              <w:rPr>
                <w:szCs w:val="24"/>
              </w:rPr>
              <w:t>546,724</w:t>
            </w:r>
          </w:p>
        </w:tc>
        <w:tc>
          <w:tcPr>
            <w:tcW w:w="0" w:type="auto"/>
            <w:vAlign w:val="center"/>
            <w:hideMark/>
          </w:tcPr>
          <w:p w14:paraId="6F7D914C" w14:textId="77777777" w:rsidR="00D208ED" w:rsidRPr="00941DD5" w:rsidRDefault="00D208ED" w:rsidP="00D208ED">
            <w:pPr>
              <w:jc w:val="center"/>
              <w:rPr>
                <w:szCs w:val="24"/>
              </w:rPr>
            </w:pPr>
            <w:r w:rsidRPr="00941DD5">
              <w:rPr>
                <w:szCs w:val="24"/>
              </w:rPr>
              <w:t>278.4</w:t>
            </w:r>
          </w:p>
        </w:tc>
        <w:tc>
          <w:tcPr>
            <w:tcW w:w="1271" w:type="dxa"/>
            <w:vAlign w:val="center"/>
            <w:hideMark/>
          </w:tcPr>
          <w:p w14:paraId="3F3C117D" w14:textId="77777777" w:rsidR="00D208ED" w:rsidRPr="00941DD5" w:rsidRDefault="00D208ED" w:rsidP="00D208ED">
            <w:pPr>
              <w:jc w:val="center"/>
              <w:rPr>
                <w:szCs w:val="24"/>
              </w:rPr>
            </w:pPr>
            <w:r w:rsidRPr="00941DD5">
              <w:rPr>
                <w:szCs w:val="24"/>
              </w:rPr>
              <w:t>1.43</w:t>
            </w:r>
          </w:p>
        </w:tc>
        <w:tc>
          <w:tcPr>
            <w:tcW w:w="1170" w:type="dxa"/>
            <w:vAlign w:val="center"/>
            <w:hideMark/>
          </w:tcPr>
          <w:p w14:paraId="7E77AC11" w14:textId="77777777" w:rsidR="00D208ED" w:rsidRPr="00941DD5" w:rsidRDefault="00D208ED" w:rsidP="00D208ED">
            <w:pPr>
              <w:jc w:val="center"/>
              <w:rPr>
                <w:szCs w:val="24"/>
              </w:rPr>
            </w:pPr>
            <w:r w:rsidRPr="00941DD5">
              <w:rPr>
                <w:szCs w:val="24"/>
              </w:rPr>
              <w:t>1.15</w:t>
            </w:r>
          </w:p>
        </w:tc>
      </w:tr>
      <w:tr w:rsidR="00D208ED" w:rsidRPr="00941DD5" w14:paraId="16449AC6" w14:textId="77777777" w:rsidTr="00D208ED">
        <w:tc>
          <w:tcPr>
            <w:tcW w:w="3059" w:type="dxa"/>
            <w:vAlign w:val="center"/>
            <w:hideMark/>
          </w:tcPr>
          <w:p w14:paraId="389AE1A3" w14:textId="77777777" w:rsidR="00D208ED" w:rsidRPr="00941DD5" w:rsidRDefault="00D208ED" w:rsidP="00D208ED">
            <w:pPr>
              <w:rPr>
                <w:szCs w:val="24"/>
              </w:rPr>
            </w:pPr>
            <w:r w:rsidRPr="00941DD5">
              <w:rPr>
                <w:szCs w:val="24"/>
              </w:rPr>
              <w:t>Newfoundland-Labrador Shelf</w:t>
            </w:r>
          </w:p>
        </w:tc>
        <w:tc>
          <w:tcPr>
            <w:tcW w:w="1143" w:type="dxa"/>
            <w:vAlign w:val="center"/>
            <w:hideMark/>
          </w:tcPr>
          <w:p w14:paraId="28CF0A93" w14:textId="77777777" w:rsidR="00D208ED" w:rsidRPr="00941DD5" w:rsidRDefault="00D208ED" w:rsidP="00D208ED">
            <w:pPr>
              <w:rPr>
                <w:szCs w:val="24"/>
              </w:rPr>
            </w:pPr>
            <w:r w:rsidRPr="00941DD5">
              <w:rPr>
                <w:szCs w:val="24"/>
              </w:rPr>
              <w:t>4.4</w:t>
            </w:r>
          </w:p>
        </w:tc>
        <w:tc>
          <w:tcPr>
            <w:tcW w:w="0" w:type="auto"/>
            <w:vAlign w:val="center"/>
            <w:hideMark/>
          </w:tcPr>
          <w:p w14:paraId="29D57382" w14:textId="77777777" w:rsidR="00D208ED" w:rsidRPr="00941DD5" w:rsidRDefault="00D208ED" w:rsidP="00D208ED">
            <w:pPr>
              <w:jc w:val="center"/>
              <w:rPr>
                <w:szCs w:val="24"/>
              </w:rPr>
            </w:pPr>
            <w:r w:rsidRPr="00941DD5">
              <w:rPr>
                <w:szCs w:val="24"/>
              </w:rPr>
              <w:t>868,248</w:t>
            </w:r>
          </w:p>
        </w:tc>
        <w:tc>
          <w:tcPr>
            <w:tcW w:w="0" w:type="auto"/>
            <w:vAlign w:val="center"/>
            <w:hideMark/>
          </w:tcPr>
          <w:p w14:paraId="7CBD0E5A" w14:textId="77777777" w:rsidR="00D208ED" w:rsidRPr="00941DD5" w:rsidRDefault="00D208ED" w:rsidP="00D208ED">
            <w:pPr>
              <w:jc w:val="center"/>
              <w:rPr>
                <w:szCs w:val="24"/>
              </w:rPr>
            </w:pPr>
            <w:r w:rsidRPr="00941DD5">
              <w:rPr>
                <w:szCs w:val="24"/>
              </w:rPr>
              <w:t>253.2</w:t>
            </w:r>
          </w:p>
        </w:tc>
        <w:tc>
          <w:tcPr>
            <w:tcW w:w="1271" w:type="dxa"/>
            <w:vAlign w:val="center"/>
            <w:hideMark/>
          </w:tcPr>
          <w:p w14:paraId="7BDC8183" w14:textId="77777777" w:rsidR="00D208ED" w:rsidRPr="00941DD5" w:rsidRDefault="00D208ED" w:rsidP="00D208ED">
            <w:pPr>
              <w:jc w:val="center"/>
              <w:rPr>
                <w:szCs w:val="24"/>
              </w:rPr>
            </w:pPr>
            <w:r w:rsidRPr="00941DD5">
              <w:rPr>
                <w:szCs w:val="24"/>
              </w:rPr>
              <w:t>1.29</w:t>
            </w:r>
          </w:p>
        </w:tc>
        <w:tc>
          <w:tcPr>
            <w:tcW w:w="1170" w:type="dxa"/>
            <w:vAlign w:val="center"/>
            <w:hideMark/>
          </w:tcPr>
          <w:p w14:paraId="5561714E" w14:textId="77777777" w:rsidR="00D208ED" w:rsidRPr="00941DD5" w:rsidRDefault="00D208ED" w:rsidP="00D208ED">
            <w:pPr>
              <w:jc w:val="center"/>
              <w:rPr>
                <w:szCs w:val="24"/>
              </w:rPr>
            </w:pPr>
            <w:r w:rsidRPr="00941DD5">
              <w:rPr>
                <w:szCs w:val="24"/>
              </w:rPr>
              <w:t>1.86</w:t>
            </w:r>
          </w:p>
        </w:tc>
      </w:tr>
      <w:tr w:rsidR="00D208ED" w:rsidRPr="00941DD5" w14:paraId="36A7E368" w14:textId="77777777" w:rsidTr="00D208ED">
        <w:tc>
          <w:tcPr>
            <w:tcW w:w="3059" w:type="dxa"/>
            <w:vAlign w:val="center"/>
            <w:hideMark/>
          </w:tcPr>
          <w:p w14:paraId="60F264CF" w14:textId="77777777" w:rsidR="00D208ED" w:rsidRPr="00941DD5" w:rsidRDefault="00D208ED" w:rsidP="00D208ED">
            <w:pPr>
              <w:rPr>
                <w:szCs w:val="24"/>
              </w:rPr>
            </w:pPr>
            <w:r w:rsidRPr="00941DD5">
              <w:rPr>
                <w:szCs w:val="24"/>
              </w:rPr>
              <w:t>North Australian Shelf</w:t>
            </w:r>
          </w:p>
        </w:tc>
        <w:tc>
          <w:tcPr>
            <w:tcW w:w="1143" w:type="dxa"/>
            <w:vAlign w:val="center"/>
            <w:hideMark/>
          </w:tcPr>
          <w:p w14:paraId="4E1252F5" w14:textId="77777777" w:rsidR="00D208ED" w:rsidRPr="00941DD5" w:rsidRDefault="00D208ED" w:rsidP="00D208ED">
            <w:pPr>
              <w:rPr>
                <w:szCs w:val="24"/>
              </w:rPr>
            </w:pPr>
            <w:r w:rsidRPr="00941DD5">
              <w:rPr>
                <w:szCs w:val="24"/>
              </w:rPr>
              <w:t>1.5</w:t>
            </w:r>
          </w:p>
        </w:tc>
        <w:tc>
          <w:tcPr>
            <w:tcW w:w="0" w:type="auto"/>
            <w:vAlign w:val="center"/>
            <w:hideMark/>
          </w:tcPr>
          <w:p w14:paraId="30056137" w14:textId="77777777" w:rsidR="00D208ED" w:rsidRPr="00941DD5" w:rsidRDefault="00D208ED" w:rsidP="00D208ED">
            <w:pPr>
              <w:jc w:val="center"/>
              <w:rPr>
                <w:szCs w:val="24"/>
              </w:rPr>
            </w:pPr>
            <w:r w:rsidRPr="00941DD5">
              <w:rPr>
                <w:szCs w:val="24"/>
              </w:rPr>
              <w:t>771,604</w:t>
            </w:r>
          </w:p>
        </w:tc>
        <w:tc>
          <w:tcPr>
            <w:tcW w:w="0" w:type="auto"/>
            <w:vAlign w:val="center"/>
            <w:hideMark/>
          </w:tcPr>
          <w:p w14:paraId="596F3726" w14:textId="77777777" w:rsidR="00D208ED" w:rsidRPr="00941DD5" w:rsidRDefault="00D208ED" w:rsidP="00D208ED">
            <w:pPr>
              <w:jc w:val="center"/>
              <w:rPr>
                <w:szCs w:val="24"/>
              </w:rPr>
            </w:pPr>
            <w:r w:rsidRPr="00941DD5">
              <w:rPr>
                <w:szCs w:val="24"/>
              </w:rPr>
              <w:t>22.9</w:t>
            </w:r>
          </w:p>
        </w:tc>
        <w:tc>
          <w:tcPr>
            <w:tcW w:w="1271" w:type="dxa"/>
            <w:vAlign w:val="center"/>
            <w:hideMark/>
          </w:tcPr>
          <w:p w14:paraId="1AA3812D" w14:textId="77777777" w:rsidR="00D208ED" w:rsidRPr="00941DD5" w:rsidRDefault="00D208ED" w:rsidP="00D208ED">
            <w:pPr>
              <w:jc w:val="center"/>
              <w:rPr>
                <w:szCs w:val="24"/>
              </w:rPr>
            </w:pPr>
            <w:r w:rsidRPr="00941DD5">
              <w:rPr>
                <w:szCs w:val="24"/>
              </w:rPr>
              <w:t>1.13</w:t>
            </w:r>
          </w:p>
        </w:tc>
        <w:tc>
          <w:tcPr>
            <w:tcW w:w="1170" w:type="dxa"/>
            <w:vAlign w:val="center"/>
            <w:hideMark/>
          </w:tcPr>
          <w:p w14:paraId="0D9F630F" w14:textId="77777777" w:rsidR="00D208ED" w:rsidRPr="00941DD5" w:rsidRDefault="00D208ED" w:rsidP="00D208ED">
            <w:pPr>
              <w:jc w:val="center"/>
              <w:rPr>
                <w:szCs w:val="24"/>
              </w:rPr>
            </w:pPr>
            <w:r w:rsidRPr="00941DD5">
              <w:rPr>
                <w:szCs w:val="24"/>
              </w:rPr>
              <w:t>1.26</w:t>
            </w:r>
          </w:p>
        </w:tc>
      </w:tr>
      <w:tr w:rsidR="00D208ED" w:rsidRPr="00941DD5" w14:paraId="10159C69" w14:textId="77777777" w:rsidTr="00D208ED">
        <w:tc>
          <w:tcPr>
            <w:tcW w:w="3059" w:type="dxa"/>
            <w:vAlign w:val="center"/>
            <w:hideMark/>
          </w:tcPr>
          <w:p w14:paraId="61CBE605" w14:textId="77777777" w:rsidR="00D208ED" w:rsidRPr="00941DD5" w:rsidRDefault="00D208ED" w:rsidP="00D208ED">
            <w:pPr>
              <w:rPr>
                <w:szCs w:val="24"/>
              </w:rPr>
            </w:pPr>
            <w:r w:rsidRPr="00941DD5">
              <w:rPr>
                <w:szCs w:val="24"/>
              </w:rPr>
              <w:t>North Brazil Shelf</w:t>
            </w:r>
          </w:p>
        </w:tc>
        <w:tc>
          <w:tcPr>
            <w:tcW w:w="1143" w:type="dxa"/>
            <w:vAlign w:val="center"/>
            <w:hideMark/>
          </w:tcPr>
          <w:p w14:paraId="66443477" w14:textId="77777777" w:rsidR="00D208ED" w:rsidRPr="00941DD5" w:rsidRDefault="00D208ED" w:rsidP="00D208ED">
            <w:pPr>
              <w:rPr>
                <w:szCs w:val="24"/>
              </w:rPr>
            </w:pPr>
            <w:r w:rsidRPr="00941DD5">
              <w:rPr>
                <w:szCs w:val="24"/>
              </w:rPr>
              <w:t>1.4</w:t>
            </w:r>
          </w:p>
        </w:tc>
        <w:tc>
          <w:tcPr>
            <w:tcW w:w="0" w:type="auto"/>
            <w:vAlign w:val="center"/>
            <w:hideMark/>
          </w:tcPr>
          <w:p w14:paraId="619DB396" w14:textId="77777777" w:rsidR="00D208ED" w:rsidRPr="00941DD5" w:rsidRDefault="00D208ED" w:rsidP="00D208ED">
            <w:pPr>
              <w:jc w:val="center"/>
              <w:rPr>
                <w:szCs w:val="24"/>
              </w:rPr>
            </w:pPr>
            <w:r w:rsidRPr="00941DD5">
              <w:rPr>
                <w:szCs w:val="24"/>
              </w:rPr>
              <w:t>519,492</w:t>
            </w:r>
          </w:p>
        </w:tc>
        <w:tc>
          <w:tcPr>
            <w:tcW w:w="0" w:type="auto"/>
            <w:vAlign w:val="center"/>
            <w:hideMark/>
          </w:tcPr>
          <w:p w14:paraId="79FF7315" w14:textId="77777777" w:rsidR="00D208ED" w:rsidRPr="00941DD5" w:rsidRDefault="00D208ED" w:rsidP="00D208ED">
            <w:pPr>
              <w:jc w:val="center"/>
              <w:rPr>
                <w:szCs w:val="24"/>
              </w:rPr>
            </w:pPr>
            <w:r w:rsidRPr="00941DD5">
              <w:rPr>
                <w:szCs w:val="24"/>
              </w:rPr>
              <w:t>94.0</w:t>
            </w:r>
          </w:p>
        </w:tc>
        <w:tc>
          <w:tcPr>
            <w:tcW w:w="1271" w:type="dxa"/>
            <w:vAlign w:val="center"/>
            <w:hideMark/>
          </w:tcPr>
          <w:p w14:paraId="57EED48E" w14:textId="77777777" w:rsidR="00D208ED" w:rsidRPr="00941DD5" w:rsidRDefault="00D208ED" w:rsidP="00D208ED">
            <w:pPr>
              <w:jc w:val="center"/>
              <w:rPr>
                <w:szCs w:val="24"/>
              </w:rPr>
            </w:pPr>
            <w:r w:rsidRPr="00941DD5">
              <w:rPr>
                <w:szCs w:val="24"/>
              </w:rPr>
              <w:t>1.69</w:t>
            </w:r>
          </w:p>
        </w:tc>
        <w:tc>
          <w:tcPr>
            <w:tcW w:w="1170" w:type="dxa"/>
            <w:vAlign w:val="center"/>
            <w:hideMark/>
          </w:tcPr>
          <w:p w14:paraId="005D2308" w14:textId="77777777" w:rsidR="00D208ED" w:rsidRPr="00941DD5" w:rsidRDefault="00D208ED" w:rsidP="00D208ED">
            <w:pPr>
              <w:jc w:val="center"/>
              <w:rPr>
                <w:szCs w:val="24"/>
              </w:rPr>
            </w:pPr>
            <w:r w:rsidRPr="00941DD5">
              <w:rPr>
                <w:szCs w:val="24"/>
              </w:rPr>
              <w:t>1.43</w:t>
            </w:r>
          </w:p>
        </w:tc>
      </w:tr>
      <w:tr w:rsidR="00D208ED" w:rsidRPr="00941DD5" w14:paraId="26BC5F99" w14:textId="77777777" w:rsidTr="00D208ED">
        <w:tc>
          <w:tcPr>
            <w:tcW w:w="3059" w:type="dxa"/>
            <w:vAlign w:val="center"/>
            <w:hideMark/>
          </w:tcPr>
          <w:p w14:paraId="281E2BF5" w14:textId="77777777" w:rsidR="00D208ED" w:rsidRPr="00941DD5" w:rsidRDefault="00D208ED" w:rsidP="00D208ED">
            <w:pPr>
              <w:rPr>
                <w:szCs w:val="24"/>
              </w:rPr>
            </w:pPr>
            <w:r w:rsidRPr="00941DD5">
              <w:rPr>
                <w:szCs w:val="24"/>
              </w:rPr>
              <w:t>North Sea</w:t>
            </w:r>
          </w:p>
        </w:tc>
        <w:tc>
          <w:tcPr>
            <w:tcW w:w="1143" w:type="dxa"/>
            <w:vAlign w:val="center"/>
            <w:hideMark/>
          </w:tcPr>
          <w:p w14:paraId="2889269C" w14:textId="77777777" w:rsidR="00D208ED" w:rsidRPr="00941DD5" w:rsidRDefault="00D208ED" w:rsidP="00D208ED">
            <w:pPr>
              <w:rPr>
                <w:szCs w:val="24"/>
              </w:rPr>
            </w:pPr>
            <w:r w:rsidRPr="00941DD5">
              <w:rPr>
                <w:szCs w:val="24"/>
              </w:rPr>
              <w:t>37.8</w:t>
            </w:r>
          </w:p>
        </w:tc>
        <w:tc>
          <w:tcPr>
            <w:tcW w:w="0" w:type="auto"/>
            <w:vAlign w:val="center"/>
            <w:hideMark/>
          </w:tcPr>
          <w:p w14:paraId="309AFB1A" w14:textId="77777777" w:rsidR="00D208ED" w:rsidRPr="00941DD5" w:rsidRDefault="00D208ED" w:rsidP="00D208ED">
            <w:pPr>
              <w:jc w:val="center"/>
              <w:rPr>
                <w:szCs w:val="24"/>
              </w:rPr>
            </w:pPr>
            <w:r w:rsidRPr="00941DD5">
              <w:rPr>
                <w:szCs w:val="24"/>
              </w:rPr>
              <w:t>667,836</w:t>
            </w:r>
          </w:p>
        </w:tc>
        <w:tc>
          <w:tcPr>
            <w:tcW w:w="0" w:type="auto"/>
            <w:vAlign w:val="center"/>
            <w:hideMark/>
          </w:tcPr>
          <w:p w14:paraId="449FD269" w14:textId="77777777" w:rsidR="00D208ED" w:rsidRPr="00941DD5" w:rsidRDefault="00D208ED" w:rsidP="00D208ED">
            <w:pPr>
              <w:jc w:val="center"/>
              <w:rPr>
                <w:szCs w:val="24"/>
              </w:rPr>
            </w:pPr>
            <w:r w:rsidRPr="00941DD5">
              <w:rPr>
                <w:szCs w:val="24"/>
              </w:rPr>
              <w:t>1,572.5</w:t>
            </w:r>
          </w:p>
        </w:tc>
        <w:tc>
          <w:tcPr>
            <w:tcW w:w="1271" w:type="dxa"/>
            <w:vAlign w:val="center"/>
            <w:hideMark/>
          </w:tcPr>
          <w:p w14:paraId="4257E84D" w14:textId="77777777" w:rsidR="00D208ED" w:rsidRPr="00941DD5" w:rsidRDefault="00D208ED" w:rsidP="00D208ED">
            <w:pPr>
              <w:jc w:val="center"/>
              <w:rPr>
                <w:szCs w:val="24"/>
              </w:rPr>
            </w:pPr>
            <w:r w:rsidRPr="00941DD5">
              <w:rPr>
                <w:szCs w:val="24"/>
              </w:rPr>
              <w:t>0.94</w:t>
            </w:r>
          </w:p>
        </w:tc>
        <w:tc>
          <w:tcPr>
            <w:tcW w:w="1170" w:type="dxa"/>
            <w:vAlign w:val="center"/>
            <w:hideMark/>
          </w:tcPr>
          <w:p w14:paraId="4177A9DD" w14:textId="77777777" w:rsidR="00D208ED" w:rsidRPr="00941DD5" w:rsidRDefault="00D208ED" w:rsidP="00D208ED">
            <w:pPr>
              <w:jc w:val="center"/>
              <w:rPr>
                <w:szCs w:val="24"/>
              </w:rPr>
            </w:pPr>
            <w:r w:rsidRPr="00941DD5">
              <w:rPr>
                <w:szCs w:val="24"/>
              </w:rPr>
              <w:t>1.1</w:t>
            </w:r>
          </w:p>
        </w:tc>
      </w:tr>
      <w:tr w:rsidR="00D208ED" w:rsidRPr="00941DD5" w14:paraId="0525FB7F" w14:textId="77777777" w:rsidTr="00D208ED">
        <w:tc>
          <w:tcPr>
            <w:tcW w:w="3059" w:type="dxa"/>
            <w:vAlign w:val="center"/>
            <w:hideMark/>
          </w:tcPr>
          <w:p w14:paraId="23AC4208" w14:textId="77777777" w:rsidR="00D208ED" w:rsidRPr="00941DD5" w:rsidRDefault="00D208ED" w:rsidP="00D208ED">
            <w:pPr>
              <w:rPr>
                <w:szCs w:val="24"/>
              </w:rPr>
            </w:pPr>
            <w:r w:rsidRPr="00941DD5">
              <w:rPr>
                <w:szCs w:val="24"/>
              </w:rPr>
              <w:t>Northeast Australian Shelf-Great Barrier Reef</w:t>
            </w:r>
          </w:p>
        </w:tc>
        <w:tc>
          <w:tcPr>
            <w:tcW w:w="1143" w:type="dxa"/>
            <w:vAlign w:val="center"/>
            <w:hideMark/>
          </w:tcPr>
          <w:p w14:paraId="226DF165" w14:textId="77777777" w:rsidR="00D208ED" w:rsidRPr="00941DD5" w:rsidRDefault="00D208ED" w:rsidP="00D208ED">
            <w:pPr>
              <w:rPr>
                <w:szCs w:val="24"/>
              </w:rPr>
            </w:pPr>
            <w:r w:rsidRPr="00941DD5">
              <w:rPr>
                <w:szCs w:val="24"/>
              </w:rPr>
              <w:t>1.6</w:t>
            </w:r>
          </w:p>
        </w:tc>
        <w:tc>
          <w:tcPr>
            <w:tcW w:w="0" w:type="auto"/>
            <w:vAlign w:val="center"/>
            <w:hideMark/>
          </w:tcPr>
          <w:p w14:paraId="6ED263EA" w14:textId="77777777" w:rsidR="00D208ED" w:rsidRPr="00941DD5" w:rsidRDefault="00D208ED" w:rsidP="00D208ED">
            <w:pPr>
              <w:jc w:val="center"/>
              <w:rPr>
                <w:szCs w:val="24"/>
              </w:rPr>
            </w:pPr>
            <w:r w:rsidRPr="00941DD5">
              <w:rPr>
                <w:szCs w:val="24"/>
              </w:rPr>
              <w:t>496,736</w:t>
            </w:r>
          </w:p>
        </w:tc>
        <w:tc>
          <w:tcPr>
            <w:tcW w:w="0" w:type="auto"/>
            <w:vAlign w:val="center"/>
            <w:hideMark/>
          </w:tcPr>
          <w:p w14:paraId="184FF901" w14:textId="77777777" w:rsidR="00D208ED" w:rsidRPr="00941DD5" w:rsidRDefault="00D208ED" w:rsidP="00D208ED">
            <w:pPr>
              <w:jc w:val="center"/>
              <w:rPr>
                <w:szCs w:val="24"/>
              </w:rPr>
            </w:pPr>
            <w:r w:rsidRPr="00941DD5">
              <w:rPr>
                <w:szCs w:val="24"/>
              </w:rPr>
              <w:t>6.3</w:t>
            </w:r>
          </w:p>
        </w:tc>
        <w:tc>
          <w:tcPr>
            <w:tcW w:w="1271" w:type="dxa"/>
            <w:vAlign w:val="center"/>
            <w:hideMark/>
          </w:tcPr>
          <w:p w14:paraId="4F104B8B" w14:textId="77777777" w:rsidR="00D208ED" w:rsidRPr="00941DD5" w:rsidRDefault="00D208ED" w:rsidP="00D208ED">
            <w:pPr>
              <w:jc w:val="center"/>
              <w:rPr>
                <w:szCs w:val="24"/>
              </w:rPr>
            </w:pPr>
            <w:r w:rsidRPr="00941DD5">
              <w:rPr>
                <w:szCs w:val="24"/>
              </w:rPr>
              <w:t>0.98</w:t>
            </w:r>
          </w:p>
        </w:tc>
        <w:tc>
          <w:tcPr>
            <w:tcW w:w="1170" w:type="dxa"/>
            <w:vAlign w:val="center"/>
            <w:hideMark/>
          </w:tcPr>
          <w:p w14:paraId="3F2EE578" w14:textId="77777777" w:rsidR="00D208ED" w:rsidRPr="00941DD5" w:rsidRDefault="00D208ED" w:rsidP="00D208ED">
            <w:pPr>
              <w:jc w:val="center"/>
              <w:rPr>
                <w:szCs w:val="24"/>
              </w:rPr>
            </w:pPr>
            <w:r w:rsidRPr="00941DD5">
              <w:rPr>
                <w:szCs w:val="24"/>
              </w:rPr>
              <w:t>1.23</w:t>
            </w:r>
          </w:p>
        </w:tc>
      </w:tr>
      <w:tr w:rsidR="00D208ED" w:rsidRPr="00941DD5" w14:paraId="319A56BD" w14:textId="77777777" w:rsidTr="00D208ED">
        <w:tc>
          <w:tcPr>
            <w:tcW w:w="3059" w:type="dxa"/>
            <w:vAlign w:val="center"/>
            <w:hideMark/>
          </w:tcPr>
          <w:p w14:paraId="1D2DF4E1" w14:textId="77777777" w:rsidR="00D208ED" w:rsidRPr="00941DD5" w:rsidRDefault="00D208ED" w:rsidP="00D208ED">
            <w:pPr>
              <w:rPr>
                <w:szCs w:val="24"/>
              </w:rPr>
            </w:pPr>
            <w:r w:rsidRPr="00941DD5">
              <w:rPr>
                <w:szCs w:val="24"/>
              </w:rPr>
              <w:lastRenderedPageBreak/>
              <w:t>Northeast U.S. Continental Shelf</w:t>
            </w:r>
          </w:p>
        </w:tc>
        <w:tc>
          <w:tcPr>
            <w:tcW w:w="1143" w:type="dxa"/>
            <w:vAlign w:val="center"/>
            <w:hideMark/>
          </w:tcPr>
          <w:p w14:paraId="071828FE" w14:textId="77777777" w:rsidR="00D208ED" w:rsidRPr="00941DD5" w:rsidRDefault="00D208ED" w:rsidP="00D208ED">
            <w:pPr>
              <w:rPr>
                <w:szCs w:val="24"/>
              </w:rPr>
            </w:pPr>
            <w:r w:rsidRPr="00941DD5">
              <w:rPr>
                <w:szCs w:val="24"/>
              </w:rPr>
              <w:t>11.8</w:t>
            </w:r>
          </w:p>
        </w:tc>
        <w:tc>
          <w:tcPr>
            <w:tcW w:w="0" w:type="auto"/>
            <w:vAlign w:val="center"/>
            <w:hideMark/>
          </w:tcPr>
          <w:p w14:paraId="44E9562A" w14:textId="77777777" w:rsidR="00D208ED" w:rsidRPr="00941DD5" w:rsidRDefault="00D208ED" w:rsidP="00D208ED">
            <w:pPr>
              <w:jc w:val="center"/>
              <w:rPr>
                <w:szCs w:val="24"/>
              </w:rPr>
            </w:pPr>
            <w:r w:rsidRPr="00941DD5">
              <w:rPr>
                <w:szCs w:val="24"/>
              </w:rPr>
              <w:t>307,664</w:t>
            </w:r>
          </w:p>
        </w:tc>
        <w:tc>
          <w:tcPr>
            <w:tcW w:w="0" w:type="auto"/>
            <w:vAlign w:val="center"/>
            <w:hideMark/>
          </w:tcPr>
          <w:p w14:paraId="469B6472" w14:textId="77777777" w:rsidR="00D208ED" w:rsidRPr="00941DD5" w:rsidRDefault="00D208ED" w:rsidP="00D208ED">
            <w:pPr>
              <w:jc w:val="center"/>
              <w:rPr>
                <w:szCs w:val="24"/>
              </w:rPr>
            </w:pPr>
            <w:r w:rsidRPr="00941DD5">
              <w:rPr>
                <w:szCs w:val="24"/>
              </w:rPr>
              <w:t>561.9</w:t>
            </w:r>
          </w:p>
        </w:tc>
        <w:tc>
          <w:tcPr>
            <w:tcW w:w="1271" w:type="dxa"/>
            <w:vAlign w:val="center"/>
            <w:hideMark/>
          </w:tcPr>
          <w:p w14:paraId="5269456D" w14:textId="77777777" w:rsidR="00D208ED" w:rsidRPr="00941DD5" w:rsidRDefault="00D208ED" w:rsidP="00D208ED">
            <w:pPr>
              <w:jc w:val="center"/>
              <w:rPr>
                <w:szCs w:val="24"/>
              </w:rPr>
            </w:pPr>
            <w:r w:rsidRPr="00941DD5">
              <w:rPr>
                <w:szCs w:val="24"/>
              </w:rPr>
              <w:t>1.23</w:t>
            </w:r>
          </w:p>
        </w:tc>
        <w:tc>
          <w:tcPr>
            <w:tcW w:w="1170" w:type="dxa"/>
            <w:vAlign w:val="center"/>
            <w:hideMark/>
          </w:tcPr>
          <w:p w14:paraId="2B994289" w14:textId="77777777" w:rsidR="00D208ED" w:rsidRPr="00941DD5" w:rsidRDefault="00D208ED" w:rsidP="00D208ED">
            <w:pPr>
              <w:jc w:val="center"/>
              <w:rPr>
                <w:szCs w:val="24"/>
              </w:rPr>
            </w:pPr>
            <w:r w:rsidRPr="00941DD5">
              <w:rPr>
                <w:szCs w:val="24"/>
              </w:rPr>
              <w:t>1.38</w:t>
            </w:r>
          </w:p>
        </w:tc>
      </w:tr>
      <w:tr w:rsidR="00D208ED" w:rsidRPr="00941DD5" w14:paraId="48E6CD12" w14:textId="77777777" w:rsidTr="00D208ED">
        <w:tc>
          <w:tcPr>
            <w:tcW w:w="3059" w:type="dxa"/>
            <w:vAlign w:val="center"/>
            <w:hideMark/>
          </w:tcPr>
          <w:p w14:paraId="08FE69C1" w14:textId="77777777" w:rsidR="00D208ED" w:rsidRPr="00941DD5" w:rsidRDefault="00D208ED" w:rsidP="00D208ED">
            <w:pPr>
              <w:rPr>
                <w:szCs w:val="24"/>
              </w:rPr>
            </w:pPr>
            <w:r w:rsidRPr="00941DD5">
              <w:rPr>
                <w:szCs w:val="24"/>
              </w:rPr>
              <w:t>Northern Bering - Chukchi Seas</w:t>
            </w:r>
          </w:p>
        </w:tc>
        <w:tc>
          <w:tcPr>
            <w:tcW w:w="1143" w:type="dxa"/>
            <w:vAlign w:val="center"/>
            <w:hideMark/>
          </w:tcPr>
          <w:p w14:paraId="232BC378" w14:textId="77777777" w:rsidR="00D208ED" w:rsidRPr="00941DD5" w:rsidRDefault="00D208ED" w:rsidP="00D208ED">
            <w:pPr>
              <w:rPr>
                <w:szCs w:val="24"/>
              </w:rPr>
            </w:pPr>
            <w:r w:rsidRPr="00941DD5">
              <w:rPr>
                <w:szCs w:val="24"/>
              </w:rPr>
              <w:t>2.2</w:t>
            </w:r>
          </w:p>
        </w:tc>
        <w:tc>
          <w:tcPr>
            <w:tcW w:w="0" w:type="auto"/>
            <w:vAlign w:val="center"/>
            <w:hideMark/>
          </w:tcPr>
          <w:p w14:paraId="60F68877" w14:textId="77777777" w:rsidR="00D208ED" w:rsidRPr="00941DD5" w:rsidRDefault="00D208ED" w:rsidP="00D208ED">
            <w:pPr>
              <w:jc w:val="center"/>
              <w:rPr>
                <w:szCs w:val="24"/>
              </w:rPr>
            </w:pPr>
            <w:r w:rsidRPr="00941DD5">
              <w:rPr>
                <w:szCs w:val="24"/>
              </w:rPr>
              <w:t>1,159,852</w:t>
            </w:r>
          </w:p>
        </w:tc>
        <w:tc>
          <w:tcPr>
            <w:tcW w:w="0" w:type="auto"/>
            <w:vAlign w:val="center"/>
            <w:hideMark/>
          </w:tcPr>
          <w:p w14:paraId="6CDE2E12" w14:textId="77777777" w:rsidR="00D208ED" w:rsidRPr="00941DD5" w:rsidRDefault="00D208ED" w:rsidP="00D208ED">
            <w:pPr>
              <w:jc w:val="center"/>
              <w:rPr>
                <w:szCs w:val="24"/>
              </w:rPr>
            </w:pPr>
            <w:r w:rsidRPr="00941DD5">
              <w:rPr>
                <w:szCs w:val="24"/>
              </w:rPr>
              <w:t>240.3</w:t>
            </w:r>
          </w:p>
        </w:tc>
        <w:tc>
          <w:tcPr>
            <w:tcW w:w="1271" w:type="dxa"/>
            <w:vAlign w:val="center"/>
            <w:hideMark/>
          </w:tcPr>
          <w:p w14:paraId="229A5783" w14:textId="77777777" w:rsidR="00D208ED" w:rsidRPr="00941DD5" w:rsidRDefault="00D208ED" w:rsidP="00D208ED">
            <w:pPr>
              <w:jc w:val="center"/>
              <w:rPr>
                <w:szCs w:val="24"/>
              </w:rPr>
            </w:pPr>
            <w:r w:rsidRPr="00941DD5">
              <w:rPr>
                <w:szCs w:val="24"/>
              </w:rPr>
              <w:t>1.68</w:t>
            </w:r>
          </w:p>
        </w:tc>
        <w:tc>
          <w:tcPr>
            <w:tcW w:w="1170" w:type="dxa"/>
            <w:vAlign w:val="center"/>
            <w:hideMark/>
          </w:tcPr>
          <w:p w14:paraId="161BF085" w14:textId="77777777" w:rsidR="00D208ED" w:rsidRPr="00941DD5" w:rsidRDefault="00D208ED" w:rsidP="00D208ED">
            <w:pPr>
              <w:jc w:val="center"/>
              <w:rPr>
                <w:szCs w:val="24"/>
              </w:rPr>
            </w:pPr>
            <w:r w:rsidRPr="00941DD5">
              <w:rPr>
                <w:szCs w:val="24"/>
              </w:rPr>
              <w:t>1.16</w:t>
            </w:r>
          </w:p>
        </w:tc>
      </w:tr>
      <w:tr w:rsidR="00D208ED" w:rsidRPr="00941DD5" w14:paraId="7F4179E6" w14:textId="77777777" w:rsidTr="00D208ED">
        <w:tc>
          <w:tcPr>
            <w:tcW w:w="3059" w:type="dxa"/>
            <w:vAlign w:val="center"/>
            <w:hideMark/>
          </w:tcPr>
          <w:p w14:paraId="59561290" w14:textId="77777777" w:rsidR="00D208ED" w:rsidRPr="00941DD5" w:rsidRDefault="00D208ED" w:rsidP="00D208ED">
            <w:pPr>
              <w:rPr>
                <w:szCs w:val="24"/>
              </w:rPr>
            </w:pPr>
            <w:r w:rsidRPr="00941DD5">
              <w:rPr>
                <w:szCs w:val="24"/>
              </w:rPr>
              <w:t>Northwest Australian Shelf</w:t>
            </w:r>
          </w:p>
        </w:tc>
        <w:tc>
          <w:tcPr>
            <w:tcW w:w="1143" w:type="dxa"/>
            <w:vAlign w:val="center"/>
            <w:hideMark/>
          </w:tcPr>
          <w:p w14:paraId="56131526" w14:textId="77777777" w:rsidR="00D208ED" w:rsidRPr="00941DD5" w:rsidRDefault="00D208ED" w:rsidP="00D208ED">
            <w:pPr>
              <w:rPr>
                <w:szCs w:val="24"/>
              </w:rPr>
            </w:pPr>
            <w:r w:rsidRPr="00941DD5">
              <w:rPr>
                <w:szCs w:val="24"/>
              </w:rPr>
              <w:t>0.9</w:t>
            </w:r>
          </w:p>
        </w:tc>
        <w:tc>
          <w:tcPr>
            <w:tcW w:w="0" w:type="auto"/>
            <w:vAlign w:val="center"/>
            <w:hideMark/>
          </w:tcPr>
          <w:p w14:paraId="351F2FCB" w14:textId="77777777" w:rsidR="00D208ED" w:rsidRPr="00941DD5" w:rsidRDefault="00D208ED" w:rsidP="00D208ED">
            <w:pPr>
              <w:jc w:val="center"/>
              <w:rPr>
                <w:szCs w:val="24"/>
              </w:rPr>
            </w:pPr>
            <w:r w:rsidRPr="00941DD5">
              <w:rPr>
                <w:szCs w:val="24"/>
              </w:rPr>
              <w:t>508,748</w:t>
            </w:r>
          </w:p>
        </w:tc>
        <w:tc>
          <w:tcPr>
            <w:tcW w:w="0" w:type="auto"/>
            <w:vAlign w:val="center"/>
            <w:hideMark/>
          </w:tcPr>
          <w:p w14:paraId="0879422F" w14:textId="77777777" w:rsidR="00D208ED" w:rsidRPr="00941DD5" w:rsidRDefault="00D208ED" w:rsidP="00D208ED">
            <w:pPr>
              <w:jc w:val="center"/>
              <w:rPr>
                <w:szCs w:val="24"/>
              </w:rPr>
            </w:pPr>
            <w:r w:rsidRPr="00941DD5">
              <w:rPr>
                <w:szCs w:val="24"/>
              </w:rPr>
              <w:t>10.3</w:t>
            </w:r>
          </w:p>
        </w:tc>
        <w:tc>
          <w:tcPr>
            <w:tcW w:w="1271" w:type="dxa"/>
            <w:vAlign w:val="center"/>
            <w:hideMark/>
          </w:tcPr>
          <w:p w14:paraId="2EECCAD5" w14:textId="77777777" w:rsidR="00D208ED" w:rsidRPr="00941DD5" w:rsidRDefault="00D208ED" w:rsidP="00D208ED">
            <w:pPr>
              <w:jc w:val="center"/>
              <w:rPr>
                <w:szCs w:val="24"/>
              </w:rPr>
            </w:pPr>
            <w:r w:rsidRPr="00941DD5">
              <w:rPr>
                <w:szCs w:val="24"/>
              </w:rPr>
              <w:t>1.31</w:t>
            </w:r>
          </w:p>
        </w:tc>
        <w:tc>
          <w:tcPr>
            <w:tcW w:w="1170" w:type="dxa"/>
            <w:vAlign w:val="center"/>
            <w:hideMark/>
          </w:tcPr>
          <w:p w14:paraId="4D2E2B57" w14:textId="77777777" w:rsidR="00D208ED" w:rsidRPr="00941DD5" w:rsidRDefault="00D208ED" w:rsidP="00D208ED">
            <w:pPr>
              <w:jc w:val="center"/>
              <w:rPr>
                <w:szCs w:val="24"/>
              </w:rPr>
            </w:pPr>
            <w:r w:rsidRPr="00941DD5">
              <w:rPr>
                <w:szCs w:val="24"/>
              </w:rPr>
              <w:t>1.3</w:t>
            </w:r>
          </w:p>
        </w:tc>
      </w:tr>
      <w:tr w:rsidR="00D208ED" w:rsidRPr="00941DD5" w14:paraId="0F960D87" w14:textId="77777777" w:rsidTr="00D208ED">
        <w:tc>
          <w:tcPr>
            <w:tcW w:w="3059" w:type="dxa"/>
            <w:vAlign w:val="center"/>
            <w:hideMark/>
          </w:tcPr>
          <w:p w14:paraId="0DEE6FD5" w14:textId="77777777" w:rsidR="00D208ED" w:rsidRPr="00941DD5" w:rsidRDefault="00D208ED" w:rsidP="00D208ED">
            <w:pPr>
              <w:rPr>
                <w:szCs w:val="24"/>
              </w:rPr>
            </w:pPr>
            <w:r w:rsidRPr="00941DD5">
              <w:rPr>
                <w:szCs w:val="24"/>
              </w:rPr>
              <w:t>Norwegian Sea</w:t>
            </w:r>
          </w:p>
        </w:tc>
        <w:tc>
          <w:tcPr>
            <w:tcW w:w="1143" w:type="dxa"/>
            <w:vAlign w:val="center"/>
            <w:hideMark/>
          </w:tcPr>
          <w:p w14:paraId="0F44FAD9" w14:textId="77777777" w:rsidR="00D208ED" w:rsidRPr="00941DD5" w:rsidRDefault="00D208ED" w:rsidP="00D208ED">
            <w:pPr>
              <w:rPr>
                <w:szCs w:val="24"/>
              </w:rPr>
            </w:pPr>
            <w:r w:rsidRPr="00941DD5">
              <w:rPr>
                <w:szCs w:val="24"/>
              </w:rPr>
              <w:t>14.4</w:t>
            </w:r>
          </w:p>
        </w:tc>
        <w:tc>
          <w:tcPr>
            <w:tcW w:w="0" w:type="auto"/>
            <w:vAlign w:val="center"/>
            <w:hideMark/>
          </w:tcPr>
          <w:p w14:paraId="645820B6" w14:textId="77777777" w:rsidR="00D208ED" w:rsidRPr="00941DD5" w:rsidRDefault="00D208ED" w:rsidP="00D208ED">
            <w:pPr>
              <w:jc w:val="center"/>
              <w:rPr>
                <w:szCs w:val="24"/>
              </w:rPr>
            </w:pPr>
            <w:r w:rsidRPr="00941DD5">
              <w:rPr>
                <w:szCs w:val="24"/>
              </w:rPr>
              <w:t>217,312</w:t>
            </w:r>
          </w:p>
        </w:tc>
        <w:tc>
          <w:tcPr>
            <w:tcW w:w="0" w:type="auto"/>
            <w:vAlign w:val="center"/>
            <w:hideMark/>
          </w:tcPr>
          <w:p w14:paraId="23EBC3B4" w14:textId="77777777" w:rsidR="00D208ED" w:rsidRPr="00941DD5" w:rsidRDefault="00D208ED" w:rsidP="00D208ED">
            <w:pPr>
              <w:jc w:val="center"/>
              <w:rPr>
                <w:szCs w:val="24"/>
              </w:rPr>
            </w:pPr>
            <w:r w:rsidRPr="00941DD5">
              <w:rPr>
                <w:szCs w:val="24"/>
              </w:rPr>
              <w:t>218.8</w:t>
            </w:r>
          </w:p>
        </w:tc>
        <w:tc>
          <w:tcPr>
            <w:tcW w:w="1271" w:type="dxa"/>
            <w:vAlign w:val="center"/>
            <w:hideMark/>
          </w:tcPr>
          <w:p w14:paraId="26BFA536" w14:textId="77777777" w:rsidR="00D208ED" w:rsidRPr="00941DD5" w:rsidRDefault="00D208ED" w:rsidP="00D208ED">
            <w:pPr>
              <w:jc w:val="center"/>
              <w:rPr>
                <w:szCs w:val="24"/>
              </w:rPr>
            </w:pPr>
            <w:r w:rsidRPr="00941DD5">
              <w:rPr>
                <w:szCs w:val="24"/>
              </w:rPr>
              <w:t>1.68</w:t>
            </w:r>
          </w:p>
        </w:tc>
        <w:tc>
          <w:tcPr>
            <w:tcW w:w="1170" w:type="dxa"/>
            <w:vAlign w:val="center"/>
            <w:hideMark/>
          </w:tcPr>
          <w:p w14:paraId="2131D3C6" w14:textId="77777777" w:rsidR="00D208ED" w:rsidRPr="00941DD5" w:rsidRDefault="00D208ED" w:rsidP="00D208ED">
            <w:pPr>
              <w:jc w:val="center"/>
              <w:rPr>
                <w:szCs w:val="24"/>
              </w:rPr>
            </w:pPr>
            <w:r w:rsidRPr="00941DD5">
              <w:rPr>
                <w:szCs w:val="24"/>
              </w:rPr>
              <w:t>1.45</w:t>
            </w:r>
          </w:p>
        </w:tc>
      </w:tr>
      <w:tr w:rsidR="00D208ED" w:rsidRPr="00941DD5" w14:paraId="240CD781" w14:textId="77777777" w:rsidTr="00D208ED">
        <w:tc>
          <w:tcPr>
            <w:tcW w:w="3059" w:type="dxa"/>
            <w:vAlign w:val="center"/>
            <w:hideMark/>
          </w:tcPr>
          <w:p w14:paraId="0A91A92C" w14:textId="77777777" w:rsidR="00D208ED" w:rsidRPr="00941DD5" w:rsidRDefault="00D208ED" w:rsidP="00D208ED">
            <w:pPr>
              <w:rPr>
                <w:szCs w:val="24"/>
              </w:rPr>
            </w:pPr>
            <w:r w:rsidRPr="00941DD5">
              <w:rPr>
                <w:szCs w:val="24"/>
              </w:rPr>
              <w:t>Oyashio Current</w:t>
            </w:r>
          </w:p>
        </w:tc>
        <w:tc>
          <w:tcPr>
            <w:tcW w:w="1143" w:type="dxa"/>
            <w:vAlign w:val="center"/>
            <w:hideMark/>
          </w:tcPr>
          <w:p w14:paraId="1113A825" w14:textId="77777777" w:rsidR="00D208ED" w:rsidRPr="00941DD5" w:rsidRDefault="00D208ED" w:rsidP="00D208ED">
            <w:pPr>
              <w:rPr>
                <w:szCs w:val="24"/>
              </w:rPr>
            </w:pPr>
            <w:r w:rsidRPr="00941DD5">
              <w:rPr>
                <w:szCs w:val="24"/>
              </w:rPr>
              <w:t>25.9</w:t>
            </w:r>
          </w:p>
        </w:tc>
        <w:tc>
          <w:tcPr>
            <w:tcW w:w="0" w:type="auto"/>
            <w:vAlign w:val="center"/>
            <w:hideMark/>
          </w:tcPr>
          <w:p w14:paraId="3A265EE5" w14:textId="77777777" w:rsidR="00D208ED" w:rsidRPr="00941DD5" w:rsidRDefault="00D208ED" w:rsidP="00D208ED">
            <w:pPr>
              <w:jc w:val="center"/>
              <w:rPr>
                <w:szCs w:val="24"/>
              </w:rPr>
            </w:pPr>
            <w:r w:rsidRPr="00941DD5">
              <w:rPr>
                <w:szCs w:val="24"/>
              </w:rPr>
              <w:t>101,540</w:t>
            </w:r>
          </w:p>
        </w:tc>
        <w:tc>
          <w:tcPr>
            <w:tcW w:w="0" w:type="auto"/>
            <w:vAlign w:val="center"/>
            <w:hideMark/>
          </w:tcPr>
          <w:p w14:paraId="6D134DA8" w14:textId="77777777" w:rsidR="00D208ED" w:rsidRPr="00941DD5" w:rsidRDefault="00D208ED" w:rsidP="00D208ED">
            <w:pPr>
              <w:jc w:val="center"/>
              <w:rPr>
                <w:szCs w:val="24"/>
              </w:rPr>
            </w:pPr>
            <w:r w:rsidRPr="00941DD5">
              <w:rPr>
                <w:szCs w:val="24"/>
              </w:rPr>
              <w:t>663.9</w:t>
            </w:r>
          </w:p>
        </w:tc>
        <w:tc>
          <w:tcPr>
            <w:tcW w:w="1271" w:type="dxa"/>
            <w:vAlign w:val="center"/>
            <w:hideMark/>
          </w:tcPr>
          <w:p w14:paraId="18971767" w14:textId="77777777" w:rsidR="00D208ED" w:rsidRPr="00941DD5" w:rsidRDefault="00D208ED" w:rsidP="00D208ED">
            <w:pPr>
              <w:jc w:val="center"/>
              <w:rPr>
                <w:szCs w:val="24"/>
              </w:rPr>
            </w:pPr>
            <w:r w:rsidRPr="00941DD5">
              <w:rPr>
                <w:szCs w:val="24"/>
              </w:rPr>
              <w:t>1.1</w:t>
            </w:r>
          </w:p>
        </w:tc>
        <w:tc>
          <w:tcPr>
            <w:tcW w:w="1170" w:type="dxa"/>
            <w:vAlign w:val="center"/>
            <w:hideMark/>
          </w:tcPr>
          <w:p w14:paraId="77697726" w14:textId="77777777" w:rsidR="00D208ED" w:rsidRPr="00941DD5" w:rsidRDefault="00D208ED" w:rsidP="00D208ED">
            <w:pPr>
              <w:jc w:val="center"/>
              <w:rPr>
                <w:szCs w:val="24"/>
              </w:rPr>
            </w:pPr>
            <w:r w:rsidRPr="00941DD5">
              <w:rPr>
                <w:szCs w:val="24"/>
              </w:rPr>
              <w:t>1.12</w:t>
            </w:r>
          </w:p>
        </w:tc>
      </w:tr>
      <w:tr w:rsidR="00D208ED" w:rsidRPr="00941DD5" w14:paraId="7BDCAFD7" w14:textId="77777777" w:rsidTr="00D208ED">
        <w:tc>
          <w:tcPr>
            <w:tcW w:w="3059" w:type="dxa"/>
            <w:vAlign w:val="center"/>
            <w:hideMark/>
          </w:tcPr>
          <w:p w14:paraId="1BB43C84" w14:textId="77777777" w:rsidR="00D208ED" w:rsidRPr="00941DD5" w:rsidRDefault="00D208ED" w:rsidP="00D208ED">
            <w:pPr>
              <w:rPr>
                <w:szCs w:val="24"/>
              </w:rPr>
            </w:pPr>
            <w:r w:rsidRPr="00941DD5">
              <w:rPr>
                <w:szCs w:val="24"/>
              </w:rPr>
              <w:t>Pacific Central-American Coastal</w:t>
            </w:r>
          </w:p>
        </w:tc>
        <w:tc>
          <w:tcPr>
            <w:tcW w:w="1143" w:type="dxa"/>
            <w:vAlign w:val="center"/>
            <w:hideMark/>
          </w:tcPr>
          <w:p w14:paraId="6C8266D2" w14:textId="77777777" w:rsidR="00D208ED" w:rsidRPr="00941DD5" w:rsidRDefault="00D208ED" w:rsidP="00D208ED">
            <w:pPr>
              <w:rPr>
                <w:szCs w:val="24"/>
              </w:rPr>
            </w:pPr>
            <w:r w:rsidRPr="00941DD5">
              <w:rPr>
                <w:szCs w:val="24"/>
              </w:rPr>
              <w:t>0 (8.2)</w:t>
            </w:r>
            <w:r w:rsidRPr="00941DD5">
              <w:rPr>
                <w:szCs w:val="24"/>
                <w:vertAlign w:val="superscript"/>
              </w:rPr>
              <w:t xml:space="preserve"> </w:t>
            </w:r>
            <w:r w:rsidRPr="00941DD5">
              <w:rPr>
                <w:color w:val="000000"/>
                <w:szCs w:val="24"/>
                <w:shd w:val="clear" w:color="auto" w:fill="FFFFFF"/>
                <w:vertAlign w:val="superscript"/>
              </w:rPr>
              <w:t>‡</w:t>
            </w:r>
          </w:p>
        </w:tc>
        <w:tc>
          <w:tcPr>
            <w:tcW w:w="0" w:type="auto"/>
            <w:vAlign w:val="center"/>
            <w:hideMark/>
          </w:tcPr>
          <w:p w14:paraId="61AF8272" w14:textId="77777777" w:rsidR="00D208ED" w:rsidRPr="00941DD5" w:rsidRDefault="00D208ED" w:rsidP="00D208ED">
            <w:pPr>
              <w:jc w:val="center"/>
              <w:rPr>
                <w:szCs w:val="24"/>
              </w:rPr>
            </w:pPr>
            <w:r w:rsidRPr="00941DD5">
              <w:rPr>
                <w:szCs w:val="24"/>
              </w:rPr>
              <w:t>298,504</w:t>
            </w:r>
          </w:p>
        </w:tc>
        <w:tc>
          <w:tcPr>
            <w:tcW w:w="0" w:type="auto"/>
            <w:vAlign w:val="center"/>
            <w:hideMark/>
          </w:tcPr>
          <w:p w14:paraId="252C2881" w14:textId="77777777" w:rsidR="00D208ED" w:rsidRPr="00941DD5" w:rsidRDefault="00D208ED" w:rsidP="00D208ED">
            <w:pPr>
              <w:jc w:val="center"/>
              <w:rPr>
                <w:szCs w:val="24"/>
              </w:rPr>
            </w:pPr>
            <w:r w:rsidRPr="00941DD5">
              <w:rPr>
                <w:szCs w:val="24"/>
              </w:rPr>
              <w:t>246.2</w:t>
            </w:r>
          </w:p>
        </w:tc>
        <w:tc>
          <w:tcPr>
            <w:tcW w:w="1271" w:type="dxa"/>
            <w:vAlign w:val="center"/>
            <w:hideMark/>
          </w:tcPr>
          <w:p w14:paraId="2A1AB594" w14:textId="77777777" w:rsidR="00D208ED" w:rsidRPr="00941DD5" w:rsidRDefault="00D208ED" w:rsidP="00D208ED">
            <w:pPr>
              <w:jc w:val="center"/>
              <w:rPr>
                <w:szCs w:val="24"/>
              </w:rPr>
            </w:pPr>
            <w:r w:rsidRPr="00941DD5">
              <w:rPr>
                <w:szCs w:val="24"/>
              </w:rPr>
              <w:t>0.96</w:t>
            </w:r>
          </w:p>
        </w:tc>
        <w:tc>
          <w:tcPr>
            <w:tcW w:w="1170" w:type="dxa"/>
            <w:vAlign w:val="center"/>
            <w:hideMark/>
          </w:tcPr>
          <w:p w14:paraId="5DB4CB00" w14:textId="77777777" w:rsidR="00D208ED" w:rsidRPr="00941DD5" w:rsidRDefault="00D208ED" w:rsidP="00D208ED">
            <w:pPr>
              <w:jc w:val="center"/>
              <w:rPr>
                <w:szCs w:val="24"/>
              </w:rPr>
            </w:pPr>
            <w:r w:rsidRPr="00941DD5">
              <w:rPr>
                <w:szCs w:val="24"/>
              </w:rPr>
              <w:t>1.14</w:t>
            </w:r>
          </w:p>
        </w:tc>
      </w:tr>
      <w:tr w:rsidR="00D208ED" w:rsidRPr="00941DD5" w14:paraId="3CE5B258" w14:textId="77777777" w:rsidTr="00D208ED">
        <w:tc>
          <w:tcPr>
            <w:tcW w:w="3059" w:type="dxa"/>
            <w:vAlign w:val="center"/>
            <w:hideMark/>
          </w:tcPr>
          <w:p w14:paraId="5C52BA13" w14:textId="77777777" w:rsidR="00D208ED" w:rsidRPr="00941DD5" w:rsidRDefault="00D208ED" w:rsidP="00D208ED">
            <w:pPr>
              <w:rPr>
                <w:szCs w:val="24"/>
              </w:rPr>
            </w:pPr>
            <w:r w:rsidRPr="00941DD5">
              <w:rPr>
                <w:szCs w:val="24"/>
              </w:rPr>
              <w:t>Patagonian Shelf</w:t>
            </w:r>
          </w:p>
        </w:tc>
        <w:tc>
          <w:tcPr>
            <w:tcW w:w="1143" w:type="dxa"/>
            <w:vAlign w:val="center"/>
            <w:hideMark/>
          </w:tcPr>
          <w:p w14:paraId="6CB94530" w14:textId="77777777" w:rsidR="00D208ED" w:rsidRPr="00941DD5" w:rsidRDefault="00D208ED" w:rsidP="00D208ED">
            <w:pPr>
              <w:rPr>
                <w:szCs w:val="24"/>
              </w:rPr>
            </w:pPr>
            <w:r w:rsidRPr="00941DD5">
              <w:rPr>
                <w:szCs w:val="24"/>
              </w:rPr>
              <w:t>14.6</w:t>
            </w:r>
          </w:p>
        </w:tc>
        <w:tc>
          <w:tcPr>
            <w:tcW w:w="0" w:type="auto"/>
            <w:vAlign w:val="center"/>
            <w:hideMark/>
          </w:tcPr>
          <w:p w14:paraId="1AA03DEC" w14:textId="77777777" w:rsidR="00D208ED" w:rsidRPr="00941DD5" w:rsidRDefault="00D208ED" w:rsidP="00D208ED">
            <w:pPr>
              <w:jc w:val="center"/>
              <w:rPr>
                <w:szCs w:val="24"/>
              </w:rPr>
            </w:pPr>
            <w:r w:rsidRPr="00941DD5">
              <w:rPr>
                <w:szCs w:val="24"/>
              </w:rPr>
              <w:t>1,137,476</w:t>
            </w:r>
          </w:p>
        </w:tc>
        <w:tc>
          <w:tcPr>
            <w:tcW w:w="0" w:type="auto"/>
            <w:vAlign w:val="center"/>
            <w:hideMark/>
          </w:tcPr>
          <w:p w14:paraId="10744767" w14:textId="77777777" w:rsidR="00D208ED" w:rsidRPr="00941DD5" w:rsidRDefault="00D208ED" w:rsidP="00D208ED">
            <w:pPr>
              <w:jc w:val="center"/>
              <w:rPr>
                <w:szCs w:val="24"/>
              </w:rPr>
            </w:pPr>
            <w:r w:rsidRPr="00941DD5">
              <w:rPr>
                <w:szCs w:val="24"/>
              </w:rPr>
              <w:t>848.9</w:t>
            </w:r>
          </w:p>
        </w:tc>
        <w:tc>
          <w:tcPr>
            <w:tcW w:w="1271" w:type="dxa"/>
            <w:vAlign w:val="center"/>
            <w:hideMark/>
          </w:tcPr>
          <w:p w14:paraId="57E3E487" w14:textId="77777777" w:rsidR="00D208ED" w:rsidRPr="00941DD5" w:rsidRDefault="00D208ED" w:rsidP="00D208ED">
            <w:pPr>
              <w:jc w:val="center"/>
              <w:rPr>
                <w:szCs w:val="24"/>
              </w:rPr>
            </w:pPr>
            <w:r w:rsidRPr="00941DD5">
              <w:rPr>
                <w:szCs w:val="24"/>
              </w:rPr>
              <w:t>1.35</w:t>
            </w:r>
          </w:p>
        </w:tc>
        <w:tc>
          <w:tcPr>
            <w:tcW w:w="1170" w:type="dxa"/>
            <w:vAlign w:val="center"/>
            <w:hideMark/>
          </w:tcPr>
          <w:p w14:paraId="5CC2EC07" w14:textId="77777777" w:rsidR="00D208ED" w:rsidRPr="00941DD5" w:rsidRDefault="00D208ED" w:rsidP="00D208ED">
            <w:pPr>
              <w:jc w:val="center"/>
              <w:rPr>
                <w:szCs w:val="24"/>
              </w:rPr>
            </w:pPr>
            <w:r w:rsidRPr="00941DD5">
              <w:rPr>
                <w:szCs w:val="24"/>
              </w:rPr>
              <w:t>1.17</w:t>
            </w:r>
          </w:p>
        </w:tc>
      </w:tr>
      <w:tr w:rsidR="00D208ED" w:rsidRPr="00941DD5" w14:paraId="2C2A6C17" w14:textId="77777777" w:rsidTr="00D208ED">
        <w:tc>
          <w:tcPr>
            <w:tcW w:w="3059" w:type="dxa"/>
            <w:vAlign w:val="center"/>
            <w:hideMark/>
          </w:tcPr>
          <w:p w14:paraId="52F79FBA" w14:textId="77777777" w:rsidR="00D208ED" w:rsidRPr="00941DD5" w:rsidRDefault="00D208ED" w:rsidP="00D208ED">
            <w:pPr>
              <w:rPr>
                <w:szCs w:val="24"/>
              </w:rPr>
            </w:pPr>
            <w:r w:rsidRPr="00941DD5">
              <w:rPr>
                <w:szCs w:val="24"/>
              </w:rPr>
              <w:t>Red Sea</w:t>
            </w:r>
          </w:p>
        </w:tc>
        <w:tc>
          <w:tcPr>
            <w:tcW w:w="1143" w:type="dxa"/>
            <w:vAlign w:val="center"/>
            <w:hideMark/>
          </w:tcPr>
          <w:p w14:paraId="00B78089" w14:textId="77777777" w:rsidR="00D208ED" w:rsidRPr="00941DD5" w:rsidRDefault="00D208ED" w:rsidP="00D208ED">
            <w:pPr>
              <w:rPr>
                <w:szCs w:val="24"/>
              </w:rPr>
            </w:pPr>
            <w:r w:rsidRPr="00941DD5">
              <w:rPr>
                <w:szCs w:val="24"/>
              </w:rPr>
              <w:t>0 (4.5)</w:t>
            </w:r>
            <w:r w:rsidRPr="00941DD5">
              <w:rPr>
                <w:szCs w:val="24"/>
                <w:vertAlign w:val="superscript"/>
              </w:rPr>
              <w:t xml:space="preserve"> </w:t>
            </w:r>
            <w:r w:rsidRPr="00941DD5">
              <w:rPr>
                <w:color w:val="000000"/>
                <w:szCs w:val="24"/>
                <w:shd w:val="clear" w:color="auto" w:fill="FFFFFF"/>
                <w:vertAlign w:val="superscript"/>
              </w:rPr>
              <w:t>‡</w:t>
            </w:r>
          </w:p>
        </w:tc>
        <w:tc>
          <w:tcPr>
            <w:tcW w:w="0" w:type="auto"/>
            <w:vAlign w:val="center"/>
            <w:hideMark/>
          </w:tcPr>
          <w:p w14:paraId="1ACAB2B5" w14:textId="77777777" w:rsidR="00D208ED" w:rsidRPr="00941DD5" w:rsidRDefault="00D208ED" w:rsidP="00D208ED">
            <w:pPr>
              <w:jc w:val="center"/>
              <w:rPr>
                <w:szCs w:val="24"/>
              </w:rPr>
            </w:pPr>
            <w:r w:rsidRPr="00941DD5">
              <w:rPr>
                <w:szCs w:val="24"/>
              </w:rPr>
              <w:t>387,040</w:t>
            </w:r>
          </w:p>
        </w:tc>
        <w:tc>
          <w:tcPr>
            <w:tcW w:w="0" w:type="auto"/>
            <w:vAlign w:val="center"/>
            <w:hideMark/>
          </w:tcPr>
          <w:p w14:paraId="6D36804D" w14:textId="77777777" w:rsidR="00D208ED" w:rsidRPr="00941DD5" w:rsidRDefault="00D208ED" w:rsidP="00D208ED">
            <w:pPr>
              <w:jc w:val="center"/>
              <w:rPr>
                <w:szCs w:val="24"/>
              </w:rPr>
            </w:pPr>
            <w:r w:rsidRPr="00941DD5">
              <w:rPr>
                <w:szCs w:val="24"/>
              </w:rPr>
              <w:t>47.5</w:t>
            </w:r>
          </w:p>
        </w:tc>
        <w:tc>
          <w:tcPr>
            <w:tcW w:w="1271" w:type="dxa"/>
            <w:vAlign w:val="center"/>
            <w:hideMark/>
          </w:tcPr>
          <w:p w14:paraId="5EE4F84E" w14:textId="77777777" w:rsidR="00D208ED" w:rsidRPr="00941DD5" w:rsidRDefault="00D208ED" w:rsidP="00D208ED">
            <w:pPr>
              <w:jc w:val="center"/>
              <w:rPr>
                <w:szCs w:val="24"/>
              </w:rPr>
            </w:pPr>
            <w:r w:rsidRPr="00941DD5">
              <w:rPr>
                <w:szCs w:val="24"/>
              </w:rPr>
              <w:t>1.85</w:t>
            </w:r>
          </w:p>
        </w:tc>
        <w:tc>
          <w:tcPr>
            <w:tcW w:w="1170" w:type="dxa"/>
            <w:vAlign w:val="center"/>
            <w:hideMark/>
          </w:tcPr>
          <w:p w14:paraId="1116A0FB" w14:textId="77777777" w:rsidR="00D208ED" w:rsidRPr="00941DD5" w:rsidRDefault="00D208ED" w:rsidP="00D208ED">
            <w:pPr>
              <w:jc w:val="center"/>
              <w:rPr>
                <w:szCs w:val="24"/>
              </w:rPr>
            </w:pPr>
            <w:r w:rsidRPr="00941DD5">
              <w:rPr>
                <w:szCs w:val="24"/>
              </w:rPr>
              <w:t>1.61</w:t>
            </w:r>
          </w:p>
        </w:tc>
      </w:tr>
      <w:tr w:rsidR="00D208ED" w:rsidRPr="00941DD5" w14:paraId="18456DE8" w14:textId="77777777" w:rsidTr="00D208ED">
        <w:tc>
          <w:tcPr>
            <w:tcW w:w="3059" w:type="dxa"/>
            <w:vAlign w:val="center"/>
            <w:hideMark/>
          </w:tcPr>
          <w:p w14:paraId="72817CF4" w14:textId="77777777" w:rsidR="00D208ED" w:rsidRPr="00941DD5" w:rsidRDefault="00D208ED" w:rsidP="00D208ED">
            <w:pPr>
              <w:rPr>
                <w:szCs w:val="24"/>
              </w:rPr>
            </w:pPr>
            <w:r w:rsidRPr="00941DD5">
              <w:rPr>
                <w:szCs w:val="24"/>
              </w:rPr>
              <w:t>Scotian Shelf</w:t>
            </w:r>
          </w:p>
        </w:tc>
        <w:tc>
          <w:tcPr>
            <w:tcW w:w="1143" w:type="dxa"/>
            <w:vAlign w:val="center"/>
            <w:hideMark/>
          </w:tcPr>
          <w:p w14:paraId="6CA38B3B" w14:textId="77777777" w:rsidR="00D208ED" w:rsidRPr="00941DD5" w:rsidRDefault="00D208ED" w:rsidP="00D208ED">
            <w:pPr>
              <w:rPr>
                <w:szCs w:val="24"/>
              </w:rPr>
            </w:pPr>
            <w:r w:rsidRPr="00941DD5">
              <w:rPr>
                <w:szCs w:val="24"/>
              </w:rPr>
              <w:t>2.1</w:t>
            </w:r>
          </w:p>
        </w:tc>
        <w:tc>
          <w:tcPr>
            <w:tcW w:w="0" w:type="auto"/>
            <w:vAlign w:val="center"/>
            <w:hideMark/>
          </w:tcPr>
          <w:p w14:paraId="59215A88" w14:textId="77777777" w:rsidR="00D208ED" w:rsidRPr="00941DD5" w:rsidRDefault="00D208ED" w:rsidP="00D208ED">
            <w:pPr>
              <w:jc w:val="center"/>
              <w:rPr>
                <w:szCs w:val="24"/>
              </w:rPr>
            </w:pPr>
            <w:r w:rsidRPr="00941DD5">
              <w:rPr>
                <w:szCs w:val="24"/>
              </w:rPr>
              <w:t>277,256</w:t>
            </w:r>
          </w:p>
        </w:tc>
        <w:tc>
          <w:tcPr>
            <w:tcW w:w="0" w:type="auto"/>
            <w:vAlign w:val="center"/>
            <w:hideMark/>
          </w:tcPr>
          <w:p w14:paraId="6F9AF63C" w14:textId="77777777" w:rsidR="00D208ED" w:rsidRPr="00941DD5" w:rsidRDefault="00D208ED" w:rsidP="00D208ED">
            <w:pPr>
              <w:jc w:val="center"/>
              <w:rPr>
                <w:szCs w:val="24"/>
              </w:rPr>
            </w:pPr>
            <w:r w:rsidRPr="00941DD5">
              <w:rPr>
                <w:szCs w:val="24"/>
              </w:rPr>
              <w:t>49.0</w:t>
            </w:r>
          </w:p>
        </w:tc>
        <w:tc>
          <w:tcPr>
            <w:tcW w:w="1271" w:type="dxa"/>
            <w:vAlign w:val="center"/>
            <w:hideMark/>
          </w:tcPr>
          <w:p w14:paraId="26E54C0B" w14:textId="77777777" w:rsidR="00D208ED" w:rsidRPr="00941DD5" w:rsidRDefault="00D208ED" w:rsidP="00D208ED">
            <w:pPr>
              <w:jc w:val="center"/>
              <w:rPr>
                <w:szCs w:val="24"/>
              </w:rPr>
            </w:pPr>
            <w:r w:rsidRPr="00941DD5">
              <w:rPr>
                <w:szCs w:val="24"/>
              </w:rPr>
              <w:t>1.51</w:t>
            </w:r>
          </w:p>
        </w:tc>
        <w:tc>
          <w:tcPr>
            <w:tcW w:w="1170" w:type="dxa"/>
            <w:vAlign w:val="center"/>
            <w:hideMark/>
          </w:tcPr>
          <w:p w14:paraId="45A2F95E" w14:textId="77777777" w:rsidR="00D208ED" w:rsidRPr="00941DD5" w:rsidRDefault="00D208ED" w:rsidP="00D208ED">
            <w:pPr>
              <w:jc w:val="center"/>
              <w:rPr>
                <w:szCs w:val="24"/>
              </w:rPr>
            </w:pPr>
            <w:r w:rsidRPr="00941DD5">
              <w:rPr>
                <w:szCs w:val="24"/>
              </w:rPr>
              <w:t>2.05</w:t>
            </w:r>
          </w:p>
        </w:tc>
      </w:tr>
      <w:tr w:rsidR="00D208ED" w:rsidRPr="00941DD5" w14:paraId="2994EB03" w14:textId="77777777" w:rsidTr="00D208ED">
        <w:tc>
          <w:tcPr>
            <w:tcW w:w="3059" w:type="dxa"/>
            <w:vAlign w:val="center"/>
            <w:hideMark/>
          </w:tcPr>
          <w:p w14:paraId="3A962031" w14:textId="77777777" w:rsidR="00D208ED" w:rsidRPr="00941DD5" w:rsidRDefault="00D208ED" w:rsidP="00D208ED">
            <w:pPr>
              <w:rPr>
                <w:szCs w:val="24"/>
              </w:rPr>
            </w:pPr>
            <w:r w:rsidRPr="00941DD5">
              <w:rPr>
                <w:szCs w:val="24"/>
              </w:rPr>
              <w:t>Sea of Japan / East Sea</w:t>
            </w:r>
          </w:p>
        </w:tc>
        <w:tc>
          <w:tcPr>
            <w:tcW w:w="1143" w:type="dxa"/>
            <w:vAlign w:val="center"/>
            <w:hideMark/>
          </w:tcPr>
          <w:p w14:paraId="2C5DD982" w14:textId="77777777" w:rsidR="00D208ED" w:rsidRPr="00941DD5" w:rsidRDefault="00D208ED" w:rsidP="00D208ED">
            <w:pPr>
              <w:rPr>
                <w:szCs w:val="24"/>
              </w:rPr>
            </w:pPr>
            <w:r w:rsidRPr="00941DD5">
              <w:rPr>
                <w:szCs w:val="24"/>
              </w:rPr>
              <w:t>9.3</w:t>
            </w:r>
          </w:p>
        </w:tc>
        <w:tc>
          <w:tcPr>
            <w:tcW w:w="0" w:type="auto"/>
            <w:vAlign w:val="center"/>
            <w:hideMark/>
          </w:tcPr>
          <w:p w14:paraId="276E24AC" w14:textId="77777777" w:rsidR="00D208ED" w:rsidRPr="00941DD5" w:rsidRDefault="00D208ED" w:rsidP="00D208ED">
            <w:pPr>
              <w:jc w:val="center"/>
              <w:rPr>
                <w:szCs w:val="24"/>
              </w:rPr>
            </w:pPr>
            <w:r w:rsidRPr="00941DD5">
              <w:rPr>
                <w:szCs w:val="24"/>
              </w:rPr>
              <w:t>369,320</w:t>
            </w:r>
          </w:p>
        </w:tc>
        <w:tc>
          <w:tcPr>
            <w:tcW w:w="0" w:type="auto"/>
            <w:vAlign w:val="center"/>
            <w:hideMark/>
          </w:tcPr>
          <w:p w14:paraId="4781A929" w14:textId="77777777" w:rsidR="00D208ED" w:rsidRPr="00941DD5" w:rsidRDefault="00D208ED" w:rsidP="00D208ED">
            <w:pPr>
              <w:jc w:val="center"/>
              <w:rPr>
                <w:szCs w:val="24"/>
              </w:rPr>
            </w:pPr>
            <w:r w:rsidRPr="00941DD5">
              <w:rPr>
                <w:szCs w:val="24"/>
              </w:rPr>
              <w:t>1,454.1</w:t>
            </w:r>
          </w:p>
        </w:tc>
        <w:tc>
          <w:tcPr>
            <w:tcW w:w="1271" w:type="dxa"/>
            <w:vAlign w:val="center"/>
            <w:hideMark/>
          </w:tcPr>
          <w:p w14:paraId="54435918" w14:textId="77777777" w:rsidR="00D208ED" w:rsidRPr="00941DD5" w:rsidRDefault="00D208ED" w:rsidP="00D208ED">
            <w:pPr>
              <w:jc w:val="center"/>
              <w:rPr>
                <w:szCs w:val="24"/>
              </w:rPr>
            </w:pPr>
            <w:r w:rsidRPr="00941DD5">
              <w:rPr>
                <w:szCs w:val="24"/>
              </w:rPr>
              <w:t>NA</w:t>
            </w:r>
          </w:p>
        </w:tc>
        <w:tc>
          <w:tcPr>
            <w:tcW w:w="1170" w:type="dxa"/>
            <w:vAlign w:val="center"/>
            <w:hideMark/>
          </w:tcPr>
          <w:p w14:paraId="36BDC755" w14:textId="77777777" w:rsidR="00D208ED" w:rsidRPr="00941DD5" w:rsidRDefault="00D208ED" w:rsidP="00D208ED">
            <w:pPr>
              <w:jc w:val="center"/>
              <w:rPr>
                <w:szCs w:val="24"/>
              </w:rPr>
            </w:pPr>
            <w:r w:rsidRPr="00941DD5">
              <w:rPr>
                <w:szCs w:val="24"/>
              </w:rPr>
              <w:t>NA</w:t>
            </w:r>
          </w:p>
        </w:tc>
      </w:tr>
      <w:tr w:rsidR="00D208ED" w:rsidRPr="00941DD5" w14:paraId="646652F7" w14:textId="77777777" w:rsidTr="00D208ED">
        <w:tc>
          <w:tcPr>
            <w:tcW w:w="3059" w:type="dxa"/>
            <w:vAlign w:val="center"/>
            <w:hideMark/>
          </w:tcPr>
          <w:p w14:paraId="5108917A" w14:textId="77777777" w:rsidR="00D208ED" w:rsidRPr="00941DD5" w:rsidRDefault="00D208ED" w:rsidP="00D208ED">
            <w:pPr>
              <w:rPr>
                <w:szCs w:val="24"/>
              </w:rPr>
            </w:pPr>
            <w:r w:rsidRPr="00941DD5">
              <w:rPr>
                <w:szCs w:val="24"/>
              </w:rPr>
              <w:t>Sea of Okhotsk</w:t>
            </w:r>
          </w:p>
        </w:tc>
        <w:tc>
          <w:tcPr>
            <w:tcW w:w="1143" w:type="dxa"/>
            <w:vAlign w:val="center"/>
            <w:hideMark/>
          </w:tcPr>
          <w:p w14:paraId="50C1E8C9" w14:textId="77777777" w:rsidR="00D208ED" w:rsidRPr="00941DD5" w:rsidRDefault="00D208ED" w:rsidP="00D208ED">
            <w:pPr>
              <w:rPr>
                <w:szCs w:val="24"/>
              </w:rPr>
            </w:pPr>
            <w:r w:rsidRPr="00941DD5">
              <w:rPr>
                <w:szCs w:val="24"/>
              </w:rPr>
              <w:t>14.5</w:t>
            </w:r>
          </w:p>
        </w:tc>
        <w:tc>
          <w:tcPr>
            <w:tcW w:w="0" w:type="auto"/>
            <w:vAlign w:val="center"/>
            <w:hideMark/>
          </w:tcPr>
          <w:p w14:paraId="3A0C3D56" w14:textId="77777777" w:rsidR="00D208ED" w:rsidRPr="00941DD5" w:rsidRDefault="00D208ED" w:rsidP="00D208ED">
            <w:pPr>
              <w:jc w:val="center"/>
              <w:rPr>
                <w:szCs w:val="24"/>
              </w:rPr>
            </w:pPr>
            <w:r w:rsidRPr="00941DD5">
              <w:rPr>
                <w:szCs w:val="24"/>
              </w:rPr>
              <w:t>1,063,660</w:t>
            </w:r>
          </w:p>
        </w:tc>
        <w:tc>
          <w:tcPr>
            <w:tcW w:w="0" w:type="auto"/>
            <w:vAlign w:val="center"/>
            <w:hideMark/>
          </w:tcPr>
          <w:p w14:paraId="0299EFAD" w14:textId="77777777" w:rsidR="00D208ED" w:rsidRPr="00941DD5" w:rsidRDefault="00D208ED" w:rsidP="00D208ED">
            <w:pPr>
              <w:jc w:val="center"/>
              <w:rPr>
                <w:szCs w:val="24"/>
              </w:rPr>
            </w:pPr>
            <w:r w:rsidRPr="00941DD5">
              <w:rPr>
                <w:szCs w:val="24"/>
              </w:rPr>
              <w:t>3,418.0</w:t>
            </w:r>
          </w:p>
        </w:tc>
        <w:tc>
          <w:tcPr>
            <w:tcW w:w="1271" w:type="dxa"/>
            <w:vAlign w:val="center"/>
            <w:hideMark/>
          </w:tcPr>
          <w:p w14:paraId="668C74BF" w14:textId="77777777" w:rsidR="00D208ED" w:rsidRPr="00941DD5" w:rsidRDefault="00D208ED" w:rsidP="00D208ED">
            <w:pPr>
              <w:jc w:val="center"/>
              <w:rPr>
                <w:szCs w:val="24"/>
              </w:rPr>
            </w:pPr>
            <w:r w:rsidRPr="00941DD5">
              <w:rPr>
                <w:szCs w:val="24"/>
              </w:rPr>
              <w:t>1.49</w:t>
            </w:r>
          </w:p>
        </w:tc>
        <w:tc>
          <w:tcPr>
            <w:tcW w:w="1170" w:type="dxa"/>
            <w:vAlign w:val="center"/>
            <w:hideMark/>
          </w:tcPr>
          <w:p w14:paraId="3567A65F" w14:textId="77777777" w:rsidR="00D208ED" w:rsidRPr="00941DD5" w:rsidRDefault="00D208ED" w:rsidP="00D208ED">
            <w:pPr>
              <w:jc w:val="center"/>
              <w:rPr>
                <w:szCs w:val="24"/>
              </w:rPr>
            </w:pPr>
            <w:r w:rsidRPr="00941DD5">
              <w:rPr>
                <w:szCs w:val="24"/>
              </w:rPr>
              <w:t>1.35</w:t>
            </w:r>
          </w:p>
        </w:tc>
      </w:tr>
      <w:tr w:rsidR="00D208ED" w:rsidRPr="00941DD5" w14:paraId="401F3872" w14:textId="77777777" w:rsidTr="00D208ED">
        <w:tc>
          <w:tcPr>
            <w:tcW w:w="3059" w:type="dxa"/>
            <w:vAlign w:val="center"/>
            <w:hideMark/>
          </w:tcPr>
          <w:p w14:paraId="4489C05F" w14:textId="77777777" w:rsidR="00D208ED" w:rsidRPr="00941DD5" w:rsidRDefault="00D208ED" w:rsidP="00D208ED">
            <w:pPr>
              <w:rPr>
                <w:szCs w:val="24"/>
              </w:rPr>
            </w:pPr>
            <w:r w:rsidRPr="00941DD5">
              <w:rPr>
                <w:szCs w:val="24"/>
              </w:rPr>
              <w:t>Somali Coastal Current</w:t>
            </w:r>
          </w:p>
        </w:tc>
        <w:tc>
          <w:tcPr>
            <w:tcW w:w="1143" w:type="dxa"/>
            <w:vAlign w:val="center"/>
            <w:hideMark/>
          </w:tcPr>
          <w:p w14:paraId="73A5D2E7" w14:textId="77777777" w:rsidR="00D208ED" w:rsidRPr="00941DD5" w:rsidRDefault="00D208ED" w:rsidP="00D208ED">
            <w:pPr>
              <w:rPr>
                <w:szCs w:val="24"/>
              </w:rPr>
            </w:pPr>
            <w:r w:rsidRPr="00941DD5">
              <w:rPr>
                <w:szCs w:val="24"/>
              </w:rPr>
              <w:t>1.4</w:t>
            </w:r>
          </w:p>
        </w:tc>
        <w:tc>
          <w:tcPr>
            <w:tcW w:w="0" w:type="auto"/>
            <w:vAlign w:val="center"/>
            <w:hideMark/>
          </w:tcPr>
          <w:p w14:paraId="3B98D251" w14:textId="77777777" w:rsidR="00D208ED" w:rsidRPr="00941DD5" w:rsidRDefault="00D208ED" w:rsidP="00D208ED">
            <w:pPr>
              <w:jc w:val="center"/>
              <w:rPr>
                <w:szCs w:val="24"/>
              </w:rPr>
            </w:pPr>
            <w:r w:rsidRPr="00941DD5">
              <w:rPr>
                <w:szCs w:val="24"/>
              </w:rPr>
              <w:t>136,572</w:t>
            </w:r>
          </w:p>
        </w:tc>
        <w:tc>
          <w:tcPr>
            <w:tcW w:w="0" w:type="auto"/>
            <w:vAlign w:val="center"/>
            <w:hideMark/>
          </w:tcPr>
          <w:p w14:paraId="70C94491" w14:textId="77777777" w:rsidR="00D208ED" w:rsidRPr="00941DD5" w:rsidRDefault="00D208ED" w:rsidP="00D208ED">
            <w:pPr>
              <w:jc w:val="center"/>
              <w:rPr>
                <w:szCs w:val="24"/>
              </w:rPr>
            </w:pPr>
            <w:r w:rsidRPr="00941DD5">
              <w:rPr>
                <w:szCs w:val="24"/>
              </w:rPr>
              <w:t>87.4</w:t>
            </w:r>
          </w:p>
        </w:tc>
        <w:tc>
          <w:tcPr>
            <w:tcW w:w="1271" w:type="dxa"/>
            <w:vAlign w:val="center"/>
            <w:hideMark/>
          </w:tcPr>
          <w:p w14:paraId="74585207" w14:textId="77777777" w:rsidR="00D208ED" w:rsidRPr="00941DD5" w:rsidRDefault="00D208ED" w:rsidP="00D208ED">
            <w:pPr>
              <w:jc w:val="center"/>
              <w:rPr>
                <w:szCs w:val="24"/>
              </w:rPr>
            </w:pPr>
            <w:r w:rsidRPr="00941DD5">
              <w:rPr>
                <w:szCs w:val="24"/>
              </w:rPr>
              <w:t>2.59</w:t>
            </w:r>
          </w:p>
        </w:tc>
        <w:tc>
          <w:tcPr>
            <w:tcW w:w="1170" w:type="dxa"/>
            <w:vAlign w:val="center"/>
            <w:hideMark/>
          </w:tcPr>
          <w:p w14:paraId="7B4FD159" w14:textId="77777777" w:rsidR="00D208ED" w:rsidRPr="00941DD5" w:rsidRDefault="00D208ED" w:rsidP="00D208ED">
            <w:pPr>
              <w:jc w:val="center"/>
              <w:rPr>
                <w:szCs w:val="24"/>
              </w:rPr>
            </w:pPr>
            <w:r w:rsidRPr="00941DD5">
              <w:rPr>
                <w:szCs w:val="24"/>
              </w:rPr>
              <w:t>1.48</w:t>
            </w:r>
          </w:p>
        </w:tc>
      </w:tr>
      <w:tr w:rsidR="00D208ED" w:rsidRPr="00941DD5" w14:paraId="0DDCC62F" w14:textId="77777777" w:rsidTr="00D208ED">
        <w:tc>
          <w:tcPr>
            <w:tcW w:w="3059" w:type="dxa"/>
            <w:vAlign w:val="center"/>
            <w:hideMark/>
          </w:tcPr>
          <w:p w14:paraId="08C543A9" w14:textId="77777777" w:rsidR="00D208ED" w:rsidRPr="00941DD5" w:rsidRDefault="00D208ED" w:rsidP="00D208ED">
            <w:pPr>
              <w:rPr>
                <w:szCs w:val="24"/>
              </w:rPr>
            </w:pPr>
            <w:r w:rsidRPr="00941DD5">
              <w:rPr>
                <w:szCs w:val="24"/>
              </w:rPr>
              <w:t>South Brazil Shelf</w:t>
            </w:r>
          </w:p>
        </w:tc>
        <w:tc>
          <w:tcPr>
            <w:tcW w:w="1143" w:type="dxa"/>
            <w:vAlign w:val="center"/>
            <w:hideMark/>
          </w:tcPr>
          <w:p w14:paraId="12C1607F" w14:textId="77777777" w:rsidR="00D208ED" w:rsidRPr="00941DD5" w:rsidRDefault="00D208ED" w:rsidP="00D208ED">
            <w:pPr>
              <w:rPr>
                <w:szCs w:val="24"/>
              </w:rPr>
            </w:pPr>
            <w:r w:rsidRPr="00941DD5">
              <w:rPr>
                <w:szCs w:val="24"/>
              </w:rPr>
              <w:t>8.2</w:t>
            </w:r>
          </w:p>
        </w:tc>
        <w:tc>
          <w:tcPr>
            <w:tcW w:w="0" w:type="auto"/>
            <w:vAlign w:val="center"/>
            <w:hideMark/>
          </w:tcPr>
          <w:p w14:paraId="1F9FA129" w14:textId="77777777" w:rsidR="00D208ED" w:rsidRPr="00941DD5" w:rsidRDefault="00D208ED" w:rsidP="00D208ED">
            <w:pPr>
              <w:jc w:val="center"/>
              <w:rPr>
                <w:szCs w:val="24"/>
              </w:rPr>
            </w:pPr>
            <w:r w:rsidRPr="00941DD5">
              <w:rPr>
                <w:szCs w:val="24"/>
              </w:rPr>
              <w:t>347,128</w:t>
            </w:r>
          </w:p>
        </w:tc>
        <w:tc>
          <w:tcPr>
            <w:tcW w:w="0" w:type="auto"/>
            <w:vAlign w:val="center"/>
            <w:hideMark/>
          </w:tcPr>
          <w:p w14:paraId="49F65E23" w14:textId="77777777" w:rsidR="00D208ED" w:rsidRPr="00941DD5" w:rsidRDefault="00D208ED" w:rsidP="00D208ED">
            <w:pPr>
              <w:jc w:val="center"/>
              <w:rPr>
                <w:szCs w:val="24"/>
              </w:rPr>
            </w:pPr>
            <w:r w:rsidRPr="00941DD5">
              <w:rPr>
                <w:szCs w:val="24"/>
              </w:rPr>
              <w:t>74.8</w:t>
            </w:r>
          </w:p>
        </w:tc>
        <w:tc>
          <w:tcPr>
            <w:tcW w:w="1271" w:type="dxa"/>
            <w:vAlign w:val="center"/>
            <w:hideMark/>
          </w:tcPr>
          <w:p w14:paraId="0B86400E" w14:textId="77777777" w:rsidR="00D208ED" w:rsidRPr="00941DD5" w:rsidRDefault="00D208ED" w:rsidP="00D208ED">
            <w:pPr>
              <w:jc w:val="center"/>
              <w:rPr>
                <w:szCs w:val="24"/>
              </w:rPr>
            </w:pPr>
            <w:r w:rsidRPr="00941DD5">
              <w:rPr>
                <w:szCs w:val="24"/>
              </w:rPr>
              <w:t>1.38</w:t>
            </w:r>
          </w:p>
        </w:tc>
        <w:tc>
          <w:tcPr>
            <w:tcW w:w="1170" w:type="dxa"/>
            <w:vAlign w:val="center"/>
            <w:hideMark/>
          </w:tcPr>
          <w:p w14:paraId="38541CAC" w14:textId="77777777" w:rsidR="00D208ED" w:rsidRPr="00941DD5" w:rsidRDefault="00D208ED" w:rsidP="00D208ED">
            <w:pPr>
              <w:jc w:val="center"/>
              <w:rPr>
                <w:szCs w:val="24"/>
              </w:rPr>
            </w:pPr>
            <w:r w:rsidRPr="00941DD5">
              <w:rPr>
                <w:szCs w:val="24"/>
              </w:rPr>
              <w:t>1.23</w:t>
            </w:r>
          </w:p>
        </w:tc>
      </w:tr>
      <w:tr w:rsidR="00D208ED" w:rsidRPr="00941DD5" w14:paraId="102DC9EE" w14:textId="77777777" w:rsidTr="00D208ED">
        <w:tc>
          <w:tcPr>
            <w:tcW w:w="3059" w:type="dxa"/>
            <w:vAlign w:val="center"/>
            <w:hideMark/>
          </w:tcPr>
          <w:p w14:paraId="69ABA86D" w14:textId="77777777" w:rsidR="00D208ED" w:rsidRPr="00941DD5" w:rsidRDefault="00D208ED" w:rsidP="00D208ED">
            <w:pPr>
              <w:rPr>
                <w:szCs w:val="24"/>
              </w:rPr>
            </w:pPr>
            <w:r w:rsidRPr="00941DD5">
              <w:rPr>
                <w:szCs w:val="24"/>
              </w:rPr>
              <w:t>South China Sea</w:t>
            </w:r>
          </w:p>
        </w:tc>
        <w:tc>
          <w:tcPr>
            <w:tcW w:w="1143" w:type="dxa"/>
            <w:vAlign w:val="center"/>
            <w:hideMark/>
          </w:tcPr>
          <w:p w14:paraId="79695601" w14:textId="77777777" w:rsidR="00D208ED" w:rsidRPr="00941DD5" w:rsidRDefault="00D208ED" w:rsidP="00D208ED">
            <w:pPr>
              <w:rPr>
                <w:szCs w:val="24"/>
              </w:rPr>
            </w:pPr>
            <w:r w:rsidRPr="00941DD5">
              <w:rPr>
                <w:szCs w:val="24"/>
              </w:rPr>
              <w:t>6.6</w:t>
            </w:r>
          </w:p>
        </w:tc>
        <w:tc>
          <w:tcPr>
            <w:tcW w:w="0" w:type="auto"/>
            <w:vAlign w:val="center"/>
            <w:hideMark/>
          </w:tcPr>
          <w:p w14:paraId="59156098" w14:textId="77777777" w:rsidR="00D208ED" w:rsidRPr="00941DD5" w:rsidRDefault="00D208ED" w:rsidP="00D208ED">
            <w:pPr>
              <w:jc w:val="center"/>
              <w:rPr>
                <w:szCs w:val="24"/>
              </w:rPr>
            </w:pPr>
            <w:r w:rsidRPr="00941DD5">
              <w:rPr>
                <w:szCs w:val="24"/>
              </w:rPr>
              <w:t>1,727,392</w:t>
            </w:r>
          </w:p>
        </w:tc>
        <w:tc>
          <w:tcPr>
            <w:tcW w:w="0" w:type="auto"/>
            <w:vAlign w:val="center"/>
            <w:hideMark/>
          </w:tcPr>
          <w:p w14:paraId="2427875B" w14:textId="77777777" w:rsidR="00D208ED" w:rsidRPr="00941DD5" w:rsidRDefault="00D208ED" w:rsidP="00D208ED">
            <w:pPr>
              <w:jc w:val="center"/>
              <w:rPr>
                <w:szCs w:val="24"/>
              </w:rPr>
            </w:pPr>
            <w:r w:rsidRPr="00941DD5">
              <w:rPr>
                <w:szCs w:val="24"/>
              </w:rPr>
              <w:t>5,149.6</w:t>
            </w:r>
          </w:p>
        </w:tc>
        <w:tc>
          <w:tcPr>
            <w:tcW w:w="1271" w:type="dxa"/>
            <w:vAlign w:val="center"/>
            <w:hideMark/>
          </w:tcPr>
          <w:p w14:paraId="1B806343" w14:textId="77777777" w:rsidR="00D208ED" w:rsidRPr="00941DD5" w:rsidRDefault="00D208ED" w:rsidP="00D208ED">
            <w:pPr>
              <w:jc w:val="center"/>
              <w:rPr>
                <w:szCs w:val="24"/>
              </w:rPr>
            </w:pPr>
            <w:r w:rsidRPr="00941DD5">
              <w:rPr>
                <w:szCs w:val="24"/>
              </w:rPr>
              <w:t>1.52</w:t>
            </w:r>
          </w:p>
        </w:tc>
        <w:tc>
          <w:tcPr>
            <w:tcW w:w="1170" w:type="dxa"/>
            <w:vAlign w:val="center"/>
            <w:hideMark/>
          </w:tcPr>
          <w:p w14:paraId="276CB378" w14:textId="77777777" w:rsidR="00D208ED" w:rsidRPr="00941DD5" w:rsidRDefault="00D208ED" w:rsidP="00D208ED">
            <w:pPr>
              <w:jc w:val="center"/>
              <w:rPr>
                <w:szCs w:val="24"/>
              </w:rPr>
            </w:pPr>
            <w:r w:rsidRPr="00941DD5">
              <w:rPr>
                <w:szCs w:val="24"/>
              </w:rPr>
              <w:t>1.18</w:t>
            </w:r>
          </w:p>
        </w:tc>
      </w:tr>
      <w:tr w:rsidR="00D208ED" w:rsidRPr="00941DD5" w14:paraId="6719AB81" w14:textId="77777777" w:rsidTr="00D208ED">
        <w:tc>
          <w:tcPr>
            <w:tcW w:w="3059" w:type="dxa"/>
            <w:vAlign w:val="center"/>
            <w:hideMark/>
          </w:tcPr>
          <w:p w14:paraId="47A85FF0" w14:textId="77777777" w:rsidR="00D208ED" w:rsidRPr="00941DD5" w:rsidRDefault="00D208ED" w:rsidP="00D208ED">
            <w:pPr>
              <w:rPr>
                <w:szCs w:val="24"/>
              </w:rPr>
            </w:pPr>
            <w:r w:rsidRPr="00941DD5">
              <w:rPr>
                <w:szCs w:val="24"/>
              </w:rPr>
              <w:t>Southeast Australian Shelf</w:t>
            </w:r>
          </w:p>
        </w:tc>
        <w:tc>
          <w:tcPr>
            <w:tcW w:w="1143" w:type="dxa"/>
            <w:vAlign w:val="center"/>
            <w:hideMark/>
          </w:tcPr>
          <w:p w14:paraId="21756809" w14:textId="77777777" w:rsidR="00D208ED" w:rsidRPr="00941DD5" w:rsidRDefault="00D208ED" w:rsidP="00D208ED">
            <w:pPr>
              <w:rPr>
                <w:szCs w:val="24"/>
              </w:rPr>
            </w:pPr>
            <w:r w:rsidRPr="00941DD5">
              <w:rPr>
                <w:szCs w:val="24"/>
              </w:rPr>
              <w:t>1.3</w:t>
            </w:r>
          </w:p>
        </w:tc>
        <w:tc>
          <w:tcPr>
            <w:tcW w:w="0" w:type="auto"/>
            <w:vAlign w:val="center"/>
            <w:hideMark/>
          </w:tcPr>
          <w:p w14:paraId="3024DFB0" w14:textId="77777777" w:rsidR="00D208ED" w:rsidRPr="00941DD5" w:rsidRDefault="00D208ED" w:rsidP="00D208ED">
            <w:pPr>
              <w:jc w:val="center"/>
              <w:rPr>
                <w:szCs w:val="24"/>
              </w:rPr>
            </w:pPr>
            <w:r w:rsidRPr="00941DD5">
              <w:rPr>
                <w:szCs w:val="24"/>
              </w:rPr>
              <w:t>239,984</w:t>
            </w:r>
          </w:p>
        </w:tc>
        <w:tc>
          <w:tcPr>
            <w:tcW w:w="0" w:type="auto"/>
            <w:vAlign w:val="center"/>
            <w:hideMark/>
          </w:tcPr>
          <w:p w14:paraId="11A6222E" w14:textId="77777777" w:rsidR="00D208ED" w:rsidRPr="00941DD5" w:rsidRDefault="00D208ED" w:rsidP="00D208ED">
            <w:pPr>
              <w:jc w:val="center"/>
              <w:rPr>
                <w:szCs w:val="24"/>
              </w:rPr>
            </w:pPr>
            <w:r w:rsidRPr="00941DD5">
              <w:rPr>
                <w:szCs w:val="24"/>
              </w:rPr>
              <w:t>6.1</w:t>
            </w:r>
          </w:p>
        </w:tc>
        <w:tc>
          <w:tcPr>
            <w:tcW w:w="1271" w:type="dxa"/>
            <w:vAlign w:val="center"/>
            <w:hideMark/>
          </w:tcPr>
          <w:p w14:paraId="2D79FDE0" w14:textId="77777777" w:rsidR="00D208ED" w:rsidRPr="00941DD5" w:rsidRDefault="00D208ED" w:rsidP="00D208ED">
            <w:pPr>
              <w:jc w:val="center"/>
              <w:rPr>
                <w:szCs w:val="24"/>
              </w:rPr>
            </w:pPr>
            <w:r w:rsidRPr="00941DD5">
              <w:rPr>
                <w:szCs w:val="24"/>
              </w:rPr>
              <w:t>2.48</w:t>
            </w:r>
          </w:p>
        </w:tc>
        <w:tc>
          <w:tcPr>
            <w:tcW w:w="1170" w:type="dxa"/>
            <w:vAlign w:val="center"/>
            <w:hideMark/>
          </w:tcPr>
          <w:p w14:paraId="3C0D58EF" w14:textId="77777777" w:rsidR="00D208ED" w:rsidRPr="00941DD5" w:rsidRDefault="00D208ED" w:rsidP="00D208ED">
            <w:pPr>
              <w:jc w:val="center"/>
              <w:rPr>
                <w:szCs w:val="24"/>
              </w:rPr>
            </w:pPr>
            <w:r w:rsidRPr="00941DD5">
              <w:rPr>
                <w:szCs w:val="24"/>
              </w:rPr>
              <w:t>3.64</w:t>
            </w:r>
          </w:p>
        </w:tc>
      </w:tr>
      <w:tr w:rsidR="00D208ED" w:rsidRPr="00941DD5" w14:paraId="4EBD1A2B" w14:textId="77777777" w:rsidTr="00D208ED">
        <w:tc>
          <w:tcPr>
            <w:tcW w:w="3059" w:type="dxa"/>
            <w:vAlign w:val="center"/>
            <w:hideMark/>
          </w:tcPr>
          <w:p w14:paraId="5ED5562B" w14:textId="77777777" w:rsidR="00D208ED" w:rsidRPr="00941DD5" w:rsidRDefault="00D208ED" w:rsidP="00D208ED">
            <w:pPr>
              <w:rPr>
                <w:szCs w:val="24"/>
              </w:rPr>
            </w:pPr>
            <w:r w:rsidRPr="00941DD5">
              <w:rPr>
                <w:szCs w:val="24"/>
              </w:rPr>
              <w:t>Southeast U.S. Continental Shelf</w:t>
            </w:r>
          </w:p>
        </w:tc>
        <w:tc>
          <w:tcPr>
            <w:tcW w:w="1143" w:type="dxa"/>
            <w:vAlign w:val="center"/>
            <w:hideMark/>
          </w:tcPr>
          <w:p w14:paraId="39579573" w14:textId="77777777" w:rsidR="00D208ED" w:rsidRPr="00941DD5" w:rsidRDefault="00D208ED" w:rsidP="00D208ED">
            <w:pPr>
              <w:rPr>
                <w:szCs w:val="24"/>
              </w:rPr>
            </w:pPr>
            <w:r w:rsidRPr="00941DD5">
              <w:rPr>
                <w:szCs w:val="24"/>
              </w:rPr>
              <w:t>1.9</w:t>
            </w:r>
          </w:p>
        </w:tc>
        <w:tc>
          <w:tcPr>
            <w:tcW w:w="0" w:type="auto"/>
            <w:vAlign w:val="center"/>
            <w:hideMark/>
          </w:tcPr>
          <w:p w14:paraId="700D30D8" w14:textId="77777777" w:rsidR="00D208ED" w:rsidRPr="00941DD5" w:rsidRDefault="00D208ED" w:rsidP="00D208ED">
            <w:pPr>
              <w:jc w:val="center"/>
              <w:rPr>
                <w:szCs w:val="24"/>
              </w:rPr>
            </w:pPr>
            <w:r w:rsidRPr="00941DD5">
              <w:rPr>
                <w:szCs w:val="24"/>
              </w:rPr>
              <w:t>297,204</w:t>
            </w:r>
          </w:p>
        </w:tc>
        <w:tc>
          <w:tcPr>
            <w:tcW w:w="0" w:type="auto"/>
            <w:vAlign w:val="center"/>
            <w:hideMark/>
          </w:tcPr>
          <w:p w14:paraId="4517C707" w14:textId="77777777" w:rsidR="00D208ED" w:rsidRPr="00941DD5" w:rsidRDefault="00D208ED" w:rsidP="00D208ED">
            <w:pPr>
              <w:jc w:val="center"/>
              <w:rPr>
                <w:szCs w:val="24"/>
              </w:rPr>
            </w:pPr>
            <w:r w:rsidRPr="00941DD5">
              <w:rPr>
                <w:szCs w:val="24"/>
              </w:rPr>
              <w:t>38.8</w:t>
            </w:r>
          </w:p>
        </w:tc>
        <w:tc>
          <w:tcPr>
            <w:tcW w:w="1271" w:type="dxa"/>
            <w:vAlign w:val="center"/>
            <w:hideMark/>
          </w:tcPr>
          <w:p w14:paraId="3C3B3B6C" w14:textId="77777777" w:rsidR="00D208ED" w:rsidRPr="00941DD5" w:rsidRDefault="00D208ED" w:rsidP="00D208ED">
            <w:pPr>
              <w:jc w:val="center"/>
              <w:rPr>
                <w:szCs w:val="24"/>
              </w:rPr>
            </w:pPr>
            <w:r w:rsidRPr="00941DD5">
              <w:rPr>
                <w:szCs w:val="24"/>
              </w:rPr>
              <w:t>1.21</w:t>
            </w:r>
          </w:p>
        </w:tc>
        <w:tc>
          <w:tcPr>
            <w:tcW w:w="1170" w:type="dxa"/>
            <w:vAlign w:val="center"/>
            <w:hideMark/>
          </w:tcPr>
          <w:p w14:paraId="47637CF2" w14:textId="77777777" w:rsidR="00D208ED" w:rsidRPr="00941DD5" w:rsidRDefault="00D208ED" w:rsidP="00D208ED">
            <w:pPr>
              <w:jc w:val="center"/>
              <w:rPr>
                <w:szCs w:val="24"/>
              </w:rPr>
            </w:pPr>
            <w:r w:rsidRPr="00941DD5">
              <w:rPr>
                <w:szCs w:val="24"/>
              </w:rPr>
              <w:t>1.48</w:t>
            </w:r>
          </w:p>
        </w:tc>
      </w:tr>
      <w:tr w:rsidR="00D208ED" w:rsidRPr="00941DD5" w14:paraId="6A61131F" w14:textId="77777777" w:rsidTr="00D208ED">
        <w:tc>
          <w:tcPr>
            <w:tcW w:w="3059" w:type="dxa"/>
            <w:vAlign w:val="center"/>
            <w:hideMark/>
          </w:tcPr>
          <w:p w14:paraId="47A1BDAF" w14:textId="77777777" w:rsidR="00D208ED" w:rsidRPr="00941DD5" w:rsidRDefault="00D208ED" w:rsidP="00D208ED">
            <w:pPr>
              <w:rPr>
                <w:szCs w:val="24"/>
              </w:rPr>
            </w:pPr>
            <w:r w:rsidRPr="00941DD5">
              <w:rPr>
                <w:szCs w:val="24"/>
              </w:rPr>
              <w:t>Southwest Australian Shelf</w:t>
            </w:r>
          </w:p>
        </w:tc>
        <w:tc>
          <w:tcPr>
            <w:tcW w:w="1143" w:type="dxa"/>
            <w:vAlign w:val="center"/>
            <w:hideMark/>
          </w:tcPr>
          <w:p w14:paraId="22F6C927" w14:textId="77777777" w:rsidR="00D208ED" w:rsidRPr="00941DD5" w:rsidRDefault="00D208ED" w:rsidP="00D208ED">
            <w:pPr>
              <w:rPr>
                <w:szCs w:val="24"/>
              </w:rPr>
            </w:pPr>
            <w:r w:rsidRPr="00941DD5">
              <w:rPr>
                <w:szCs w:val="24"/>
              </w:rPr>
              <w:t>1.3</w:t>
            </w:r>
          </w:p>
        </w:tc>
        <w:tc>
          <w:tcPr>
            <w:tcW w:w="0" w:type="auto"/>
            <w:vAlign w:val="center"/>
            <w:hideMark/>
          </w:tcPr>
          <w:p w14:paraId="708FAA31" w14:textId="77777777" w:rsidR="00D208ED" w:rsidRPr="00941DD5" w:rsidRDefault="00D208ED" w:rsidP="00D208ED">
            <w:pPr>
              <w:jc w:val="center"/>
              <w:rPr>
                <w:szCs w:val="24"/>
              </w:rPr>
            </w:pPr>
            <w:r w:rsidRPr="00941DD5">
              <w:rPr>
                <w:szCs w:val="24"/>
              </w:rPr>
              <w:t>347,704</w:t>
            </w:r>
          </w:p>
        </w:tc>
        <w:tc>
          <w:tcPr>
            <w:tcW w:w="0" w:type="auto"/>
            <w:vAlign w:val="center"/>
            <w:hideMark/>
          </w:tcPr>
          <w:p w14:paraId="52810F83" w14:textId="77777777" w:rsidR="00D208ED" w:rsidRPr="00941DD5" w:rsidRDefault="00D208ED" w:rsidP="00D208ED">
            <w:pPr>
              <w:jc w:val="center"/>
              <w:rPr>
                <w:szCs w:val="24"/>
              </w:rPr>
            </w:pPr>
            <w:r w:rsidRPr="00941DD5">
              <w:rPr>
                <w:szCs w:val="24"/>
              </w:rPr>
              <w:t>6.0</w:t>
            </w:r>
          </w:p>
        </w:tc>
        <w:tc>
          <w:tcPr>
            <w:tcW w:w="1271" w:type="dxa"/>
            <w:vAlign w:val="center"/>
            <w:hideMark/>
          </w:tcPr>
          <w:p w14:paraId="3C3CFC37" w14:textId="77777777" w:rsidR="00D208ED" w:rsidRPr="00941DD5" w:rsidRDefault="00D208ED" w:rsidP="00D208ED">
            <w:pPr>
              <w:jc w:val="center"/>
              <w:rPr>
                <w:szCs w:val="24"/>
              </w:rPr>
            </w:pPr>
            <w:r w:rsidRPr="00941DD5">
              <w:rPr>
                <w:szCs w:val="24"/>
              </w:rPr>
              <w:t>1.81</w:t>
            </w:r>
          </w:p>
        </w:tc>
        <w:tc>
          <w:tcPr>
            <w:tcW w:w="1170" w:type="dxa"/>
            <w:vAlign w:val="center"/>
            <w:hideMark/>
          </w:tcPr>
          <w:p w14:paraId="0AA4ABD7" w14:textId="77777777" w:rsidR="00D208ED" w:rsidRPr="00941DD5" w:rsidRDefault="00D208ED" w:rsidP="00D208ED">
            <w:pPr>
              <w:jc w:val="center"/>
              <w:rPr>
                <w:szCs w:val="24"/>
              </w:rPr>
            </w:pPr>
            <w:r w:rsidRPr="00941DD5">
              <w:rPr>
                <w:szCs w:val="24"/>
              </w:rPr>
              <w:t>2.28</w:t>
            </w:r>
          </w:p>
        </w:tc>
      </w:tr>
      <w:tr w:rsidR="00D208ED" w:rsidRPr="00941DD5" w14:paraId="1AA507DD" w14:textId="77777777" w:rsidTr="00D208ED">
        <w:tc>
          <w:tcPr>
            <w:tcW w:w="3059" w:type="dxa"/>
            <w:vAlign w:val="center"/>
            <w:hideMark/>
          </w:tcPr>
          <w:p w14:paraId="2927790F" w14:textId="77777777" w:rsidR="00D208ED" w:rsidRPr="00941DD5" w:rsidRDefault="00D208ED" w:rsidP="00D208ED">
            <w:pPr>
              <w:rPr>
                <w:szCs w:val="24"/>
              </w:rPr>
            </w:pPr>
            <w:r w:rsidRPr="00941DD5">
              <w:rPr>
                <w:szCs w:val="24"/>
              </w:rPr>
              <w:t>Sulu-Celebes Sea</w:t>
            </w:r>
          </w:p>
        </w:tc>
        <w:tc>
          <w:tcPr>
            <w:tcW w:w="1143" w:type="dxa"/>
            <w:vAlign w:val="center"/>
            <w:hideMark/>
          </w:tcPr>
          <w:p w14:paraId="6A5C0465" w14:textId="77777777" w:rsidR="00D208ED" w:rsidRPr="00941DD5" w:rsidRDefault="00D208ED" w:rsidP="00D208ED">
            <w:pPr>
              <w:rPr>
                <w:szCs w:val="24"/>
              </w:rPr>
            </w:pPr>
            <w:r w:rsidRPr="00941DD5">
              <w:rPr>
                <w:szCs w:val="24"/>
              </w:rPr>
              <w:t>0 (7.9)</w:t>
            </w:r>
            <w:r w:rsidRPr="00941DD5">
              <w:rPr>
                <w:szCs w:val="24"/>
                <w:vertAlign w:val="superscript"/>
              </w:rPr>
              <w:t xml:space="preserve"> </w:t>
            </w:r>
            <w:r w:rsidRPr="00941DD5">
              <w:rPr>
                <w:color w:val="000000"/>
                <w:szCs w:val="24"/>
                <w:shd w:val="clear" w:color="auto" w:fill="FFFFFF"/>
                <w:vertAlign w:val="superscript"/>
              </w:rPr>
              <w:t>‡</w:t>
            </w:r>
          </w:p>
        </w:tc>
        <w:tc>
          <w:tcPr>
            <w:tcW w:w="0" w:type="auto"/>
            <w:vAlign w:val="center"/>
            <w:hideMark/>
          </w:tcPr>
          <w:p w14:paraId="67218FA0" w14:textId="77777777" w:rsidR="00D208ED" w:rsidRPr="00941DD5" w:rsidRDefault="00D208ED" w:rsidP="00D208ED">
            <w:pPr>
              <w:jc w:val="center"/>
              <w:rPr>
                <w:szCs w:val="24"/>
              </w:rPr>
            </w:pPr>
            <w:r w:rsidRPr="00941DD5">
              <w:rPr>
                <w:szCs w:val="24"/>
              </w:rPr>
              <w:t>346,416</w:t>
            </w:r>
          </w:p>
        </w:tc>
        <w:tc>
          <w:tcPr>
            <w:tcW w:w="0" w:type="auto"/>
            <w:vAlign w:val="center"/>
            <w:hideMark/>
          </w:tcPr>
          <w:p w14:paraId="0D8FCD69" w14:textId="77777777" w:rsidR="00D208ED" w:rsidRPr="00941DD5" w:rsidRDefault="00D208ED" w:rsidP="00D208ED">
            <w:pPr>
              <w:jc w:val="center"/>
              <w:rPr>
                <w:szCs w:val="24"/>
              </w:rPr>
            </w:pPr>
            <w:r w:rsidRPr="00941DD5">
              <w:rPr>
                <w:szCs w:val="24"/>
              </w:rPr>
              <w:t>217.9</w:t>
            </w:r>
          </w:p>
        </w:tc>
        <w:tc>
          <w:tcPr>
            <w:tcW w:w="1271" w:type="dxa"/>
            <w:vAlign w:val="center"/>
            <w:hideMark/>
          </w:tcPr>
          <w:p w14:paraId="60C7F847" w14:textId="77777777" w:rsidR="00D208ED" w:rsidRPr="00941DD5" w:rsidRDefault="00D208ED" w:rsidP="00D208ED">
            <w:pPr>
              <w:jc w:val="center"/>
              <w:rPr>
                <w:szCs w:val="24"/>
              </w:rPr>
            </w:pPr>
            <w:r w:rsidRPr="00941DD5">
              <w:rPr>
                <w:szCs w:val="24"/>
              </w:rPr>
              <w:t>2.02</w:t>
            </w:r>
          </w:p>
        </w:tc>
        <w:tc>
          <w:tcPr>
            <w:tcW w:w="1170" w:type="dxa"/>
            <w:vAlign w:val="center"/>
            <w:hideMark/>
          </w:tcPr>
          <w:p w14:paraId="728CB267" w14:textId="77777777" w:rsidR="00D208ED" w:rsidRPr="00941DD5" w:rsidRDefault="00D208ED" w:rsidP="00D208ED">
            <w:pPr>
              <w:jc w:val="center"/>
              <w:rPr>
                <w:szCs w:val="24"/>
              </w:rPr>
            </w:pPr>
            <w:r w:rsidRPr="00941DD5">
              <w:rPr>
                <w:szCs w:val="24"/>
              </w:rPr>
              <w:t>1.34</w:t>
            </w:r>
          </w:p>
        </w:tc>
      </w:tr>
      <w:tr w:rsidR="00D208ED" w:rsidRPr="00941DD5" w14:paraId="3B89C1FC" w14:textId="77777777" w:rsidTr="00D208ED">
        <w:tc>
          <w:tcPr>
            <w:tcW w:w="3059" w:type="dxa"/>
            <w:vAlign w:val="center"/>
            <w:hideMark/>
          </w:tcPr>
          <w:p w14:paraId="482B793C" w14:textId="77777777" w:rsidR="00D208ED" w:rsidRPr="00941DD5" w:rsidRDefault="00D208ED" w:rsidP="00D208ED">
            <w:pPr>
              <w:rPr>
                <w:szCs w:val="24"/>
              </w:rPr>
            </w:pPr>
            <w:r w:rsidRPr="00941DD5">
              <w:rPr>
                <w:szCs w:val="24"/>
              </w:rPr>
              <w:t>West-Central Australian Shelf</w:t>
            </w:r>
          </w:p>
        </w:tc>
        <w:tc>
          <w:tcPr>
            <w:tcW w:w="1143" w:type="dxa"/>
            <w:vAlign w:val="center"/>
            <w:hideMark/>
          </w:tcPr>
          <w:p w14:paraId="46D6C55E" w14:textId="77777777" w:rsidR="00D208ED" w:rsidRPr="00941DD5" w:rsidRDefault="00D208ED" w:rsidP="00D208ED">
            <w:pPr>
              <w:rPr>
                <w:szCs w:val="24"/>
              </w:rPr>
            </w:pPr>
            <w:r w:rsidRPr="00941DD5">
              <w:rPr>
                <w:szCs w:val="24"/>
              </w:rPr>
              <w:t>2.1</w:t>
            </w:r>
          </w:p>
        </w:tc>
        <w:tc>
          <w:tcPr>
            <w:tcW w:w="0" w:type="auto"/>
            <w:vAlign w:val="center"/>
            <w:hideMark/>
          </w:tcPr>
          <w:p w14:paraId="385E876F" w14:textId="77777777" w:rsidR="00D208ED" w:rsidRPr="00941DD5" w:rsidRDefault="00D208ED" w:rsidP="00D208ED">
            <w:pPr>
              <w:jc w:val="center"/>
              <w:rPr>
                <w:szCs w:val="24"/>
              </w:rPr>
            </w:pPr>
            <w:r w:rsidRPr="00941DD5">
              <w:rPr>
                <w:szCs w:val="24"/>
              </w:rPr>
              <w:t>167,408</w:t>
            </w:r>
          </w:p>
        </w:tc>
        <w:tc>
          <w:tcPr>
            <w:tcW w:w="0" w:type="auto"/>
            <w:vAlign w:val="center"/>
            <w:hideMark/>
          </w:tcPr>
          <w:p w14:paraId="1D7E7076" w14:textId="77777777" w:rsidR="00D208ED" w:rsidRPr="00941DD5" w:rsidRDefault="00D208ED" w:rsidP="00D208ED">
            <w:pPr>
              <w:jc w:val="center"/>
              <w:rPr>
                <w:szCs w:val="24"/>
              </w:rPr>
            </w:pPr>
            <w:r w:rsidRPr="00941DD5">
              <w:rPr>
                <w:szCs w:val="24"/>
              </w:rPr>
              <w:t>2.7</w:t>
            </w:r>
          </w:p>
        </w:tc>
        <w:tc>
          <w:tcPr>
            <w:tcW w:w="1271" w:type="dxa"/>
            <w:vAlign w:val="center"/>
            <w:hideMark/>
          </w:tcPr>
          <w:p w14:paraId="16AD2F1E" w14:textId="77777777" w:rsidR="00D208ED" w:rsidRPr="00941DD5" w:rsidRDefault="00D208ED" w:rsidP="00D208ED">
            <w:pPr>
              <w:jc w:val="center"/>
              <w:rPr>
                <w:szCs w:val="24"/>
              </w:rPr>
            </w:pPr>
            <w:r w:rsidRPr="00941DD5">
              <w:rPr>
                <w:szCs w:val="24"/>
              </w:rPr>
              <w:t>1.63</w:t>
            </w:r>
          </w:p>
        </w:tc>
        <w:tc>
          <w:tcPr>
            <w:tcW w:w="1170" w:type="dxa"/>
            <w:vAlign w:val="center"/>
            <w:hideMark/>
          </w:tcPr>
          <w:p w14:paraId="0CF559FC" w14:textId="77777777" w:rsidR="00D208ED" w:rsidRPr="00941DD5" w:rsidRDefault="00D208ED" w:rsidP="00D208ED">
            <w:pPr>
              <w:jc w:val="center"/>
              <w:rPr>
                <w:szCs w:val="24"/>
              </w:rPr>
            </w:pPr>
            <w:r w:rsidRPr="00941DD5">
              <w:rPr>
                <w:szCs w:val="24"/>
              </w:rPr>
              <w:t>2.06</w:t>
            </w:r>
          </w:p>
        </w:tc>
      </w:tr>
      <w:tr w:rsidR="00D208ED" w:rsidRPr="00941DD5" w14:paraId="7797E0AE" w14:textId="77777777" w:rsidTr="00D208ED">
        <w:tc>
          <w:tcPr>
            <w:tcW w:w="3059" w:type="dxa"/>
            <w:vAlign w:val="center"/>
            <w:hideMark/>
          </w:tcPr>
          <w:p w14:paraId="2EE3A52F" w14:textId="77777777" w:rsidR="00D208ED" w:rsidRPr="00941DD5" w:rsidRDefault="00D208ED" w:rsidP="00D208ED">
            <w:pPr>
              <w:rPr>
                <w:szCs w:val="24"/>
              </w:rPr>
            </w:pPr>
            <w:r w:rsidRPr="00941DD5">
              <w:rPr>
                <w:szCs w:val="24"/>
              </w:rPr>
              <w:t>West Bering Sea</w:t>
            </w:r>
          </w:p>
        </w:tc>
        <w:tc>
          <w:tcPr>
            <w:tcW w:w="1143" w:type="dxa"/>
            <w:vAlign w:val="center"/>
            <w:hideMark/>
          </w:tcPr>
          <w:p w14:paraId="6E44BE3C" w14:textId="77777777" w:rsidR="00D208ED" w:rsidRPr="00941DD5" w:rsidRDefault="00D208ED" w:rsidP="00D208ED">
            <w:pPr>
              <w:rPr>
                <w:szCs w:val="24"/>
              </w:rPr>
            </w:pPr>
            <w:r w:rsidRPr="00941DD5">
              <w:rPr>
                <w:szCs w:val="24"/>
              </w:rPr>
              <w:t>24</w:t>
            </w:r>
          </w:p>
        </w:tc>
        <w:tc>
          <w:tcPr>
            <w:tcW w:w="0" w:type="auto"/>
            <w:vAlign w:val="center"/>
            <w:hideMark/>
          </w:tcPr>
          <w:p w14:paraId="5E42EC8C" w14:textId="77777777" w:rsidR="00D208ED" w:rsidRPr="00941DD5" w:rsidRDefault="00D208ED" w:rsidP="00D208ED">
            <w:pPr>
              <w:jc w:val="center"/>
              <w:rPr>
                <w:szCs w:val="24"/>
              </w:rPr>
            </w:pPr>
            <w:r w:rsidRPr="00941DD5">
              <w:rPr>
                <w:szCs w:val="24"/>
              </w:rPr>
              <w:t>154,720</w:t>
            </w:r>
          </w:p>
        </w:tc>
        <w:tc>
          <w:tcPr>
            <w:tcW w:w="0" w:type="auto"/>
            <w:vAlign w:val="center"/>
            <w:hideMark/>
          </w:tcPr>
          <w:p w14:paraId="48798E4D" w14:textId="77777777" w:rsidR="00D208ED" w:rsidRPr="00941DD5" w:rsidRDefault="00D208ED" w:rsidP="00D208ED">
            <w:pPr>
              <w:jc w:val="center"/>
              <w:rPr>
                <w:szCs w:val="24"/>
              </w:rPr>
            </w:pPr>
            <w:r w:rsidRPr="00941DD5">
              <w:rPr>
                <w:szCs w:val="24"/>
              </w:rPr>
              <w:t>438.9</w:t>
            </w:r>
          </w:p>
        </w:tc>
        <w:tc>
          <w:tcPr>
            <w:tcW w:w="1271" w:type="dxa"/>
            <w:vAlign w:val="center"/>
            <w:hideMark/>
          </w:tcPr>
          <w:p w14:paraId="7A54F8D6" w14:textId="77777777" w:rsidR="00D208ED" w:rsidRPr="00941DD5" w:rsidRDefault="00D208ED" w:rsidP="00D208ED">
            <w:pPr>
              <w:jc w:val="center"/>
              <w:rPr>
                <w:szCs w:val="24"/>
              </w:rPr>
            </w:pPr>
            <w:r w:rsidRPr="00941DD5">
              <w:rPr>
                <w:szCs w:val="24"/>
              </w:rPr>
              <w:t>1.22</w:t>
            </w:r>
          </w:p>
        </w:tc>
        <w:tc>
          <w:tcPr>
            <w:tcW w:w="1170" w:type="dxa"/>
            <w:vAlign w:val="center"/>
            <w:hideMark/>
          </w:tcPr>
          <w:p w14:paraId="28DB13EB" w14:textId="77777777" w:rsidR="00D208ED" w:rsidRPr="00941DD5" w:rsidRDefault="00D208ED" w:rsidP="00D208ED">
            <w:pPr>
              <w:jc w:val="center"/>
              <w:rPr>
                <w:szCs w:val="24"/>
              </w:rPr>
            </w:pPr>
            <w:r w:rsidRPr="00941DD5">
              <w:rPr>
                <w:szCs w:val="24"/>
              </w:rPr>
              <w:t>1.04</w:t>
            </w:r>
          </w:p>
        </w:tc>
      </w:tr>
      <w:tr w:rsidR="00D208ED" w:rsidRPr="00941DD5" w14:paraId="2D0F63BE" w14:textId="77777777" w:rsidTr="00D208ED">
        <w:tc>
          <w:tcPr>
            <w:tcW w:w="3059" w:type="dxa"/>
            <w:vAlign w:val="center"/>
            <w:hideMark/>
          </w:tcPr>
          <w:p w14:paraId="189369E6" w14:textId="77777777" w:rsidR="00D208ED" w:rsidRPr="00941DD5" w:rsidRDefault="00D208ED" w:rsidP="00D208ED">
            <w:pPr>
              <w:rPr>
                <w:szCs w:val="24"/>
              </w:rPr>
            </w:pPr>
            <w:r w:rsidRPr="00941DD5">
              <w:rPr>
                <w:szCs w:val="24"/>
              </w:rPr>
              <w:t>Yellow Sea</w:t>
            </w:r>
          </w:p>
        </w:tc>
        <w:tc>
          <w:tcPr>
            <w:tcW w:w="1143" w:type="dxa"/>
            <w:vAlign w:val="center"/>
            <w:hideMark/>
          </w:tcPr>
          <w:p w14:paraId="6A526B9A" w14:textId="77777777" w:rsidR="00D208ED" w:rsidRPr="00941DD5" w:rsidRDefault="00D208ED" w:rsidP="00D208ED">
            <w:pPr>
              <w:rPr>
                <w:szCs w:val="24"/>
              </w:rPr>
            </w:pPr>
            <w:r w:rsidRPr="00941DD5">
              <w:rPr>
                <w:szCs w:val="24"/>
              </w:rPr>
              <w:t>41.1</w:t>
            </w:r>
          </w:p>
        </w:tc>
        <w:tc>
          <w:tcPr>
            <w:tcW w:w="0" w:type="auto"/>
            <w:vAlign w:val="center"/>
            <w:hideMark/>
          </w:tcPr>
          <w:p w14:paraId="76F6E4FC" w14:textId="77777777" w:rsidR="00D208ED" w:rsidRPr="00941DD5" w:rsidRDefault="00D208ED" w:rsidP="00D208ED">
            <w:pPr>
              <w:jc w:val="center"/>
              <w:rPr>
                <w:szCs w:val="24"/>
              </w:rPr>
            </w:pPr>
            <w:r w:rsidRPr="00941DD5">
              <w:rPr>
                <w:szCs w:val="24"/>
              </w:rPr>
              <w:t>430,080</w:t>
            </w:r>
          </w:p>
        </w:tc>
        <w:tc>
          <w:tcPr>
            <w:tcW w:w="0" w:type="auto"/>
            <w:vAlign w:val="center"/>
            <w:hideMark/>
          </w:tcPr>
          <w:p w14:paraId="78BB82EA" w14:textId="77777777" w:rsidR="00D208ED" w:rsidRPr="00941DD5" w:rsidRDefault="00D208ED" w:rsidP="00D208ED">
            <w:pPr>
              <w:jc w:val="center"/>
              <w:rPr>
                <w:szCs w:val="24"/>
              </w:rPr>
            </w:pPr>
            <w:r w:rsidRPr="00941DD5">
              <w:rPr>
                <w:szCs w:val="24"/>
              </w:rPr>
              <w:t>2,055.6</w:t>
            </w:r>
          </w:p>
        </w:tc>
        <w:tc>
          <w:tcPr>
            <w:tcW w:w="1271" w:type="dxa"/>
            <w:vAlign w:val="center"/>
            <w:hideMark/>
          </w:tcPr>
          <w:p w14:paraId="4C9A5673" w14:textId="77777777" w:rsidR="00D208ED" w:rsidRPr="00941DD5" w:rsidRDefault="00D208ED" w:rsidP="00D208ED">
            <w:pPr>
              <w:jc w:val="center"/>
              <w:rPr>
                <w:szCs w:val="24"/>
              </w:rPr>
            </w:pPr>
            <w:r w:rsidRPr="00941DD5">
              <w:rPr>
                <w:szCs w:val="24"/>
              </w:rPr>
              <w:t>1.74</w:t>
            </w:r>
          </w:p>
        </w:tc>
        <w:tc>
          <w:tcPr>
            <w:tcW w:w="1170" w:type="dxa"/>
            <w:vAlign w:val="center"/>
            <w:hideMark/>
          </w:tcPr>
          <w:p w14:paraId="57F354F7" w14:textId="77777777" w:rsidR="00D208ED" w:rsidRPr="00941DD5" w:rsidRDefault="00D208ED" w:rsidP="00D208ED">
            <w:pPr>
              <w:jc w:val="center"/>
              <w:rPr>
                <w:szCs w:val="24"/>
              </w:rPr>
            </w:pPr>
            <w:r w:rsidRPr="00941DD5">
              <w:rPr>
                <w:szCs w:val="24"/>
              </w:rPr>
              <w:t>1.22</w:t>
            </w:r>
          </w:p>
        </w:tc>
      </w:tr>
      <w:tr w:rsidR="00D208ED" w:rsidRPr="00941DD5" w14:paraId="7715D34D" w14:textId="77777777" w:rsidTr="00D208ED">
        <w:tc>
          <w:tcPr>
            <w:tcW w:w="3059" w:type="dxa"/>
            <w:tcBorders>
              <w:bottom w:val="single" w:sz="4" w:space="0" w:color="auto"/>
            </w:tcBorders>
            <w:vAlign w:val="center"/>
            <w:hideMark/>
          </w:tcPr>
          <w:p w14:paraId="42724BF6" w14:textId="77777777" w:rsidR="00D208ED" w:rsidRPr="00941DD5" w:rsidRDefault="00D208ED" w:rsidP="00D208ED">
            <w:pPr>
              <w:rPr>
                <w:szCs w:val="24"/>
              </w:rPr>
            </w:pPr>
            <w:r w:rsidRPr="00941DD5">
              <w:rPr>
                <w:szCs w:val="24"/>
              </w:rPr>
              <w:t>Central Arctic</w:t>
            </w:r>
          </w:p>
        </w:tc>
        <w:tc>
          <w:tcPr>
            <w:tcW w:w="1143" w:type="dxa"/>
            <w:tcBorders>
              <w:bottom w:val="single" w:sz="4" w:space="0" w:color="auto"/>
            </w:tcBorders>
            <w:vAlign w:val="center"/>
            <w:hideMark/>
          </w:tcPr>
          <w:p w14:paraId="35D8F156" w14:textId="77777777" w:rsidR="00D208ED" w:rsidRPr="00941DD5" w:rsidRDefault="00D208ED" w:rsidP="00D208ED">
            <w:pPr>
              <w:rPr>
                <w:szCs w:val="24"/>
              </w:rPr>
            </w:pPr>
            <w:r w:rsidRPr="00941DD5">
              <w:rPr>
                <w:szCs w:val="24"/>
              </w:rPr>
              <w:t>0</w:t>
            </w:r>
          </w:p>
        </w:tc>
        <w:tc>
          <w:tcPr>
            <w:tcW w:w="0" w:type="auto"/>
            <w:tcBorders>
              <w:bottom w:val="single" w:sz="4" w:space="0" w:color="auto"/>
            </w:tcBorders>
            <w:vAlign w:val="center"/>
            <w:hideMark/>
          </w:tcPr>
          <w:p w14:paraId="5EAF4955" w14:textId="77777777" w:rsidR="00D208ED" w:rsidRPr="00941DD5" w:rsidRDefault="00D208ED" w:rsidP="00D208ED">
            <w:pPr>
              <w:jc w:val="center"/>
              <w:rPr>
                <w:szCs w:val="24"/>
              </w:rPr>
            </w:pPr>
            <w:r w:rsidRPr="00941DD5">
              <w:rPr>
                <w:szCs w:val="24"/>
              </w:rPr>
              <w:t>22,772</w:t>
            </w:r>
          </w:p>
        </w:tc>
        <w:tc>
          <w:tcPr>
            <w:tcW w:w="0" w:type="auto"/>
            <w:tcBorders>
              <w:bottom w:val="single" w:sz="4" w:space="0" w:color="auto"/>
            </w:tcBorders>
            <w:vAlign w:val="center"/>
            <w:hideMark/>
          </w:tcPr>
          <w:p w14:paraId="059D1A99" w14:textId="77777777" w:rsidR="00D208ED" w:rsidRPr="00941DD5" w:rsidRDefault="00D208ED" w:rsidP="00D208ED">
            <w:pPr>
              <w:jc w:val="center"/>
              <w:rPr>
                <w:szCs w:val="24"/>
              </w:rPr>
            </w:pPr>
            <w:r w:rsidRPr="00941DD5">
              <w:rPr>
                <w:szCs w:val="24"/>
              </w:rPr>
              <w:t>0</w:t>
            </w:r>
          </w:p>
        </w:tc>
        <w:tc>
          <w:tcPr>
            <w:tcW w:w="1271" w:type="dxa"/>
            <w:tcBorders>
              <w:bottom w:val="single" w:sz="4" w:space="0" w:color="auto"/>
            </w:tcBorders>
            <w:vAlign w:val="center"/>
            <w:hideMark/>
          </w:tcPr>
          <w:p w14:paraId="77121574" w14:textId="77777777" w:rsidR="00D208ED" w:rsidRPr="00941DD5" w:rsidRDefault="00D208ED" w:rsidP="00D208ED">
            <w:pPr>
              <w:jc w:val="center"/>
              <w:rPr>
                <w:szCs w:val="24"/>
              </w:rPr>
            </w:pPr>
            <w:r w:rsidRPr="00941DD5">
              <w:rPr>
                <w:szCs w:val="24"/>
              </w:rPr>
              <w:t>-</w:t>
            </w:r>
          </w:p>
        </w:tc>
        <w:tc>
          <w:tcPr>
            <w:tcW w:w="1170" w:type="dxa"/>
            <w:tcBorders>
              <w:bottom w:val="single" w:sz="4" w:space="0" w:color="auto"/>
            </w:tcBorders>
            <w:vAlign w:val="center"/>
            <w:hideMark/>
          </w:tcPr>
          <w:p w14:paraId="0BCDF3FC" w14:textId="77777777" w:rsidR="00D208ED" w:rsidRPr="00941DD5" w:rsidRDefault="00D208ED" w:rsidP="00D208ED">
            <w:pPr>
              <w:jc w:val="center"/>
              <w:rPr>
                <w:szCs w:val="24"/>
              </w:rPr>
            </w:pPr>
            <w:r w:rsidRPr="00941DD5">
              <w:rPr>
                <w:szCs w:val="24"/>
              </w:rPr>
              <w:t>-</w:t>
            </w:r>
          </w:p>
        </w:tc>
      </w:tr>
    </w:tbl>
    <w:p w14:paraId="1B581920" w14:textId="77777777" w:rsidR="00D208ED" w:rsidRPr="00941DD5" w:rsidRDefault="00D208ED" w:rsidP="00D208ED">
      <w:pPr>
        <w:rPr>
          <w:szCs w:val="24"/>
        </w:rPr>
      </w:pPr>
      <w:r w:rsidRPr="00941DD5">
        <w:rPr>
          <w:color w:val="000000"/>
          <w:szCs w:val="24"/>
          <w:shd w:val="clear" w:color="auto" w:fill="FFFFFF"/>
        </w:rPr>
        <w:t>*</w:t>
      </w:r>
      <w:r w:rsidRPr="00941DD5">
        <w:rPr>
          <w:szCs w:val="24"/>
        </w:rPr>
        <w:t>Ratio of effort needed to achieve MSY relative to the last year of catch data (2014), estimated by the RH-cMSY catch-only model.</w:t>
      </w:r>
    </w:p>
    <w:p w14:paraId="1DC8A6AF" w14:textId="77777777" w:rsidR="00D208ED" w:rsidRPr="00941DD5" w:rsidRDefault="00D208ED" w:rsidP="00D208ED">
      <w:pPr>
        <w:rPr>
          <w:szCs w:val="24"/>
          <w:vertAlign w:val="superscript"/>
        </w:rPr>
      </w:pPr>
      <w:r w:rsidRPr="00941DD5">
        <w:rPr>
          <w:color w:val="000000"/>
          <w:szCs w:val="24"/>
          <w:shd w:val="clear" w:color="auto" w:fill="FFFFFF"/>
        </w:rPr>
        <w:lastRenderedPageBreak/>
        <w:t>†</w:t>
      </w:r>
      <w:r w:rsidRPr="00941DD5">
        <w:rPr>
          <w:szCs w:val="24"/>
        </w:rPr>
        <w:t>Ratio of yield needed at MSY relative to the last year of catch data (2014), estimated by the RH-cMSY catch-only model.</w:t>
      </w:r>
    </w:p>
    <w:p w14:paraId="35AF5B0C" w14:textId="77777777" w:rsidR="00D208ED" w:rsidRPr="00941DD5" w:rsidRDefault="00D208ED" w:rsidP="00D208ED">
      <w:pPr>
        <w:rPr>
          <w:szCs w:val="24"/>
        </w:rPr>
      </w:pPr>
      <w:r w:rsidRPr="00941DD5">
        <w:rPr>
          <w:color w:val="000000"/>
          <w:szCs w:val="24"/>
          <w:shd w:val="clear" w:color="auto" w:fill="FFFFFF"/>
          <w:vertAlign w:val="superscript"/>
        </w:rPr>
        <w:t>‡</w:t>
      </w:r>
      <w:r w:rsidRPr="00941DD5">
        <w:rPr>
          <w:szCs w:val="24"/>
        </w:rPr>
        <w:t>Numbers given in parentheses indicate adjusted estimates of seafloor disturbance due to low AIS coverage.</w:t>
      </w:r>
    </w:p>
    <w:p w14:paraId="23449C2D" w14:textId="77777777" w:rsidR="00D208ED" w:rsidRPr="00941DD5" w:rsidRDefault="00D208ED" w:rsidP="00D208ED">
      <w:pPr>
        <w:rPr>
          <w:szCs w:val="24"/>
        </w:rPr>
      </w:pPr>
      <w:r w:rsidRPr="00941DD5">
        <w:rPr>
          <w:color w:val="000000"/>
          <w:szCs w:val="24"/>
          <w:shd w:val="clear" w:color="auto" w:fill="FFFFFF"/>
          <w:vertAlign w:val="superscript"/>
        </w:rPr>
        <w:t>§</w:t>
      </w:r>
      <w:r w:rsidRPr="00941DD5">
        <w:rPr>
          <w:szCs w:val="24"/>
        </w:rPr>
        <w:t>Dashes (-) indicate insufficient data to calculate.</w:t>
      </w:r>
    </w:p>
    <w:p w14:paraId="1A282266" w14:textId="77777777" w:rsidR="00D208ED" w:rsidRPr="00015F74" w:rsidRDefault="00D208ED" w:rsidP="00D208ED">
      <w:pPr>
        <w:pStyle w:val="SMcaption"/>
      </w:pPr>
    </w:p>
    <w:p w14:paraId="7034E01A" w14:textId="77777777" w:rsidR="00D208ED" w:rsidRPr="00941DD5" w:rsidRDefault="00D208ED">
      <w:pPr>
        <w:rPr>
          <w:rFonts w:ascii="Times New Roman" w:hAnsi="Times New Roman" w:cs="Times New Roman"/>
          <w:sz w:val="24"/>
          <w:szCs w:val="24"/>
        </w:rPr>
      </w:pPr>
    </w:p>
    <w:sectPr w:rsidR="00D208ED" w:rsidRPr="00941DD5" w:rsidSect="00E90C1D">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1FD72" w14:textId="77777777" w:rsidR="00A77D75" w:rsidRDefault="00A77D75" w:rsidP="00754DE9">
      <w:pPr>
        <w:spacing w:after="0" w:line="240" w:lineRule="auto"/>
      </w:pPr>
      <w:r>
        <w:separator/>
      </w:r>
    </w:p>
  </w:endnote>
  <w:endnote w:type="continuationSeparator" w:id="0">
    <w:p w14:paraId="54517B76" w14:textId="77777777" w:rsidR="00A77D75" w:rsidRDefault="00A77D75" w:rsidP="0075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22CFC" w14:textId="77777777" w:rsidR="00A77D75" w:rsidRDefault="00A77D75" w:rsidP="00754DE9">
      <w:pPr>
        <w:spacing w:after="0" w:line="240" w:lineRule="auto"/>
      </w:pPr>
      <w:r>
        <w:separator/>
      </w:r>
    </w:p>
  </w:footnote>
  <w:footnote w:type="continuationSeparator" w:id="0">
    <w:p w14:paraId="10A24A17" w14:textId="77777777" w:rsidR="00A77D75" w:rsidRDefault="00A77D75" w:rsidP="00754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777E76BB"/>
    <w:multiLevelType w:val="hybridMultilevel"/>
    <w:tmpl w:val="DE4A3D80"/>
    <w:lvl w:ilvl="0" w:tplc="9670E342">
      <w:start w:val="2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D21"/>
    <w:rsid w:val="00005193"/>
    <w:rsid w:val="00006269"/>
    <w:rsid w:val="00031F0A"/>
    <w:rsid w:val="00051B90"/>
    <w:rsid w:val="00060D5A"/>
    <w:rsid w:val="000B3101"/>
    <w:rsid w:val="000C527F"/>
    <w:rsid w:val="000C627E"/>
    <w:rsid w:val="000E4C61"/>
    <w:rsid w:val="000E5A99"/>
    <w:rsid w:val="000F76F0"/>
    <w:rsid w:val="001008F9"/>
    <w:rsid w:val="00100A38"/>
    <w:rsid w:val="001225AD"/>
    <w:rsid w:val="00123FD7"/>
    <w:rsid w:val="00135AE7"/>
    <w:rsid w:val="001476FC"/>
    <w:rsid w:val="001568C9"/>
    <w:rsid w:val="00164652"/>
    <w:rsid w:val="0017314B"/>
    <w:rsid w:val="0019053B"/>
    <w:rsid w:val="00190B5A"/>
    <w:rsid w:val="001977A8"/>
    <w:rsid w:val="001A6521"/>
    <w:rsid w:val="001B43A9"/>
    <w:rsid w:val="001C078C"/>
    <w:rsid w:val="001C68BC"/>
    <w:rsid w:val="001F64BD"/>
    <w:rsid w:val="00207787"/>
    <w:rsid w:val="00231C38"/>
    <w:rsid w:val="00234291"/>
    <w:rsid w:val="002466BF"/>
    <w:rsid w:val="002571A9"/>
    <w:rsid w:val="002575A5"/>
    <w:rsid w:val="002652CA"/>
    <w:rsid w:val="00271B0F"/>
    <w:rsid w:val="00287CA9"/>
    <w:rsid w:val="002B53EB"/>
    <w:rsid w:val="002D5F95"/>
    <w:rsid w:val="002D7DA5"/>
    <w:rsid w:val="002F5FA9"/>
    <w:rsid w:val="003064C5"/>
    <w:rsid w:val="00326BAF"/>
    <w:rsid w:val="003449B4"/>
    <w:rsid w:val="003509EA"/>
    <w:rsid w:val="003563E8"/>
    <w:rsid w:val="00357D00"/>
    <w:rsid w:val="00371E59"/>
    <w:rsid w:val="00385BD7"/>
    <w:rsid w:val="003A6F20"/>
    <w:rsid w:val="003C4286"/>
    <w:rsid w:val="003C4A6D"/>
    <w:rsid w:val="003D72CD"/>
    <w:rsid w:val="003E2363"/>
    <w:rsid w:val="003F3902"/>
    <w:rsid w:val="00433C5A"/>
    <w:rsid w:val="00453A1A"/>
    <w:rsid w:val="00470A7B"/>
    <w:rsid w:val="0048668C"/>
    <w:rsid w:val="004C3F38"/>
    <w:rsid w:val="004C4183"/>
    <w:rsid w:val="004E0DDB"/>
    <w:rsid w:val="004E603B"/>
    <w:rsid w:val="004F2BF2"/>
    <w:rsid w:val="005016CF"/>
    <w:rsid w:val="00505055"/>
    <w:rsid w:val="005067C1"/>
    <w:rsid w:val="005329A8"/>
    <w:rsid w:val="00532A81"/>
    <w:rsid w:val="00534A15"/>
    <w:rsid w:val="00535178"/>
    <w:rsid w:val="0056750F"/>
    <w:rsid w:val="005837E5"/>
    <w:rsid w:val="005855CC"/>
    <w:rsid w:val="0058570D"/>
    <w:rsid w:val="00594060"/>
    <w:rsid w:val="0059567D"/>
    <w:rsid w:val="005A0407"/>
    <w:rsid w:val="005A0E12"/>
    <w:rsid w:val="005B0796"/>
    <w:rsid w:val="005D08AE"/>
    <w:rsid w:val="005F118F"/>
    <w:rsid w:val="00631743"/>
    <w:rsid w:val="00640C23"/>
    <w:rsid w:val="00653F0A"/>
    <w:rsid w:val="0065554A"/>
    <w:rsid w:val="00686A8E"/>
    <w:rsid w:val="0069244B"/>
    <w:rsid w:val="00694528"/>
    <w:rsid w:val="00695A9F"/>
    <w:rsid w:val="006A216C"/>
    <w:rsid w:val="006A4E04"/>
    <w:rsid w:val="006A70E1"/>
    <w:rsid w:val="006B1931"/>
    <w:rsid w:val="006B2121"/>
    <w:rsid w:val="006B7488"/>
    <w:rsid w:val="006C0D3C"/>
    <w:rsid w:val="006C559B"/>
    <w:rsid w:val="006C6D21"/>
    <w:rsid w:val="006E6434"/>
    <w:rsid w:val="006E7E7B"/>
    <w:rsid w:val="006F5E9D"/>
    <w:rsid w:val="00715266"/>
    <w:rsid w:val="00715733"/>
    <w:rsid w:val="00737D3C"/>
    <w:rsid w:val="00754DE9"/>
    <w:rsid w:val="00761C6F"/>
    <w:rsid w:val="007856C5"/>
    <w:rsid w:val="00793A71"/>
    <w:rsid w:val="00795FFE"/>
    <w:rsid w:val="007B7388"/>
    <w:rsid w:val="007C2557"/>
    <w:rsid w:val="007D42D9"/>
    <w:rsid w:val="00812752"/>
    <w:rsid w:val="00817FD2"/>
    <w:rsid w:val="0085076F"/>
    <w:rsid w:val="00895DA8"/>
    <w:rsid w:val="008A716A"/>
    <w:rsid w:val="008C7055"/>
    <w:rsid w:val="008F5879"/>
    <w:rsid w:val="008F7907"/>
    <w:rsid w:val="009057ED"/>
    <w:rsid w:val="00906F98"/>
    <w:rsid w:val="00917036"/>
    <w:rsid w:val="00924092"/>
    <w:rsid w:val="009360F5"/>
    <w:rsid w:val="00941DD5"/>
    <w:rsid w:val="00975413"/>
    <w:rsid w:val="00975A58"/>
    <w:rsid w:val="0097643E"/>
    <w:rsid w:val="00985F96"/>
    <w:rsid w:val="009946CA"/>
    <w:rsid w:val="00997230"/>
    <w:rsid w:val="009A0A12"/>
    <w:rsid w:val="009C3113"/>
    <w:rsid w:val="009E65D6"/>
    <w:rsid w:val="00A0186B"/>
    <w:rsid w:val="00A141A6"/>
    <w:rsid w:val="00A17313"/>
    <w:rsid w:val="00A30560"/>
    <w:rsid w:val="00A41BE0"/>
    <w:rsid w:val="00A60F1E"/>
    <w:rsid w:val="00A67019"/>
    <w:rsid w:val="00A675FE"/>
    <w:rsid w:val="00A717E5"/>
    <w:rsid w:val="00A7451F"/>
    <w:rsid w:val="00A74D69"/>
    <w:rsid w:val="00A774E7"/>
    <w:rsid w:val="00A7752A"/>
    <w:rsid w:val="00A77D75"/>
    <w:rsid w:val="00A85A7F"/>
    <w:rsid w:val="00A90B04"/>
    <w:rsid w:val="00AA72D9"/>
    <w:rsid w:val="00AB0F46"/>
    <w:rsid w:val="00AD23EB"/>
    <w:rsid w:val="00AD6B96"/>
    <w:rsid w:val="00AE43AB"/>
    <w:rsid w:val="00AE6DD4"/>
    <w:rsid w:val="00AF2F07"/>
    <w:rsid w:val="00B03BEE"/>
    <w:rsid w:val="00B12F5C"/>
    <w:rsid w:val="00B24BF7"/>
    <w:rsid w:val="00B25097"/>
    <w:rsid w:val="00B501F1"/>
    <w:rsid w:val="00B57215"/>
    <w:rsid w:val="00B579BF"/>
    <w:rsid w:val="00B60F4B"/>
    <w:rsid w:val="00B61A33"/>
    <w:rsid w:val="00B61A5D"/>
    <w:rsid w:val="00B61AD6"/>
    <w:rsid w:val="00B626DA"/>
    <w:rsid w:val="00B63A6F"/>
    <w:rsid w:val="00B65E32"/>
    <w:rsid w:val="00B77955"/>
    <w:rsid w:val="00B80CD3"/>
    <w:rsid w:val="00B97163"/>
    <w:rsid w:val="00BC6C00"/>
    <w:rsid w:val="00BE3654"/>
    <w:rsid w:val="00BF69FE"/>
    <w:rsid w:val="00C039BD"/>
    <w:rsid w:val="00C113A8"/>
    <w:rsid w:val="00C13F5F"/>
    <w:rsid w:val="00C14DBB"/>
    <w:rsid w:val="00C17136"/>
    <w:rsid w:val="00C21A80"/>
    <w:rsid w:val="00C24149"/>
    <w:rsid w:val="00C36851"/>
    <w:rsid w:val="00C54464"/>
    <w:rsid w:val="00C818AD"/>
    <w:rsid w:val="00C82ED3"/>
    <w:rsid w:val="00CA0E13"/>
    <w:rsid w:val="00CC12F2"/>
    <w:rsid w:val="00CD2018"/>
    <w:rsid w:val="00CD397E"/>
    <w:rsid w:val="00CD50F6"/>
    <w:rsid w:val="00D012CB"/>
    <w:rsid w:val="00D13E9A"/>
    <w:rsid w:val="00D17780"/>
    <w:rsid w:val="00D208ED"/>
    <w:rsid w:val="00D219E7"/>
    <w:rsid w:val="00D538C7"/>
    <w:rsid w:val="00D64D4A"/>
    <w:rsid w:val="00D6530E"/>
    <w:rsid w:val="00DA0D60"/>
    <w:rsid w:val="00DA1919"/>
    <w:rsid w:val="00DB4853"/>
    <w:rsid w:val="00DC2744"/>
    <w:rsid w:val="00DD0B61"/>
    <w:rsid w:val="00DD6CA8"/>
    <w:rsid w:val="00DE6838"/>
    <w:rsid w:val="00DE75CE"/>
    <w:rsid w:val="00DF4B32"/>
    <w:rsid w:val="00E0650A"/>
    <w:rsid w:val="00E11F9B"/>
    <w:rsid w:val="00E2253B"/>
    <w:rsid w:val="00E32836"/>
    <w:rsid w:val="00E5177C"/>
    <w:rsid w:val="00E543A1"/>
    <w:rsid w:val="00E60A6B"/>
    <w:rsid w:val="00E6451D"/>
    <w:rsid w:val="00E67F0F"/>
    <w:rsid w:val="00E84576"/>
    <w:rsid w:val="00E90C1D"/>
    <w:rsid w:val="00E94984"/>
    <w:rsid w:val="00E9771C"/>
    <w:rsid w:val="00EC132D"/>
    <w:rsid w:val="00EF7B4A"/>
    <w:rsid w:val="00F0154C"/>
    <w:rsid w:val="00F11F93"/>
    <w:rsid w:val="00F45FB4"/>
    <w:rsid w:val="00F54AD6"/>
    <w:rsid w:val="00F60A4A"/>
    <w:rsid w:val="00F63F3A"/>
    <w:rsid w:val="00F914CC"/>
    <w:rsid w:val="00F97B4E"/>
    <w:rsid w:val="00FA5E4B"/>
    <w:rsid w:val="00FB344C"/>
    <w:rsid w:val="00FC085B"/>
    <w:rsid w:val="00FC2BDA"/>
    <w:rsid w:val="00FC4607"/>
    <w:rsid w:val="00FD7B58"/>
    <w:rsid w:val="00FE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49874"/>
  <w15:chartTrackingRefBased/>
  <w15:docId w15:val="{18551CF9-CFAC-463D-8041-ACEDA5ED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0C1D"/>
  </w:style>
  <w:style w:type="paragraph" w:styleId="Heading1">
    <w:name w:val="heading 1"/>
    <w:basedOn w:val="Normal"/>
    <w:next w:val="Normal"/>
    <w:link w:val="Heading1Char"/>
    <w:qFormat/>
    <w:rsid w:val="00E90C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90C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E90C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semiHidden/>
    <w:qFormat/>
    <w:rsid w:val="00D208ED"/>
    <w:pPr>
      <w:keepNext/>
      <w:spacing w:after="0" w:line="480" w:lineRule="auto"/>
      <w:outlineLvl w:val="3"/>
    </w:pPr>
    <w:rPr>
      <w:rFonts w:ascii="Times" w:eastAsia="Times New Roman" w:hAnsi="Times" w:cs="Times New Roman"/>
      <w:b/>
      <w:color w:val="0000FF"/>
      <w:sz w:val="44"/>
      <w:szCs w:val="20"/>
    </w:rPr>
  </w:style>
  <w:style w:type="paragraph" w:styleId="Heading5">
    <w:name w:val="heading 5"/>
    <w:basedOn w:val="Normal"/>
    <w:next w:val="Normal"/>
    <w:link w:val="Heading5Char"/>
    <w:semiHidden/>
    <w:qFormat/>
    <w:rsid w:val="00D208ED"/>
    <w:pPr>
      <w:spacing w:before="240" w:after="60" w:line="240"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semiHidden/>
    <w:qFormat/>
    <w:rsid w:val="00D208ED"/>
    <w:pPr>
      <w:spacing w:before="240" w:after="60" w:line="240" w:lineRule="auto"/>
      <w:outlineLvl w:val="5"/>
    </w:pPr>
    <w:rPr>
      <w:rFonts w:ascii="Calibri" w:eastAsia="Times New Roman" w:hAnsi="Calibri" w:cs="Times New Roman"/>
      <w:b/>
      <w:bCs/>
    </w:rPr>
  </w:style>
  <w:style w:type="paragraph" w:styleId="Heading7">
    <w:name w:val="heading 7"/>
    <w:basedOn w:val="Normal"/>
    <w:next w:val="Normal"/>
    <w:link w:val="Heading7Char"/>
    <w:semiHidden/>
    <w:qFormat/>
    <w:rsid w:val="00D208ED"/>
    <w:pPr>
      <w:spacing w:before="240" w:after="60" w:line="240" w:lineRule="auto"/>
      <w:outlineLvl w:val="6"/>
    </w:pPr>
    <w:rPr>
      <w:rFonts w:ascii="Calibri" w:eastAsia="Times New Roman" w:hAnsi="Calibri" w:cs="Times New Roman"/>
      <w:sz w:val="24"/>
      <w:szCs w:val="24"/>
    </w:rPr>
  </w:style>
  <w:style w:type="paragraph" w:styleId="Heading8">
    <w:name w:val="heading 8"/>
    <w:basedOn w:val="Normal"/>
    <w:next w:val="Normal"/>
    <w:link w:val="Heading8Char"/>
    <w:semiHidden/>
    <w:qFormat/>
    <w:rsid w:val="00D208ED"/>
    <w:pPr>
      <w:spacing w:before="240" w:after="60" w:line="240" w:lineRule="auto"/>
      <w:outlineLvl w:val="7"/>
    </w:pPr>
    <w:rPr>
      <w:rFonts w:ascii="Calibri" w:eastAsia="Times New Roman" w:hAnsi="Calibri" w:cs="Times New Roman"/>
      <w:i/>
      <w:iCs/>
      <w:sz w:val="24"/>
      <w:szCs w:val="24"/>
    </w:rPr>
  </w:style>
  <w:style w:type="paragraph" w:styleId="Heading9">
    <w:name w:val="heading 9"/>
    <w:basedOn w:val="Normal"/>
    <w:next w:val="Normal"/>
    <w:link w:val="Heading9Char"/>
    <w:semiHidden/>
    <w:qFormat/>
    <w:rsid w:val="00D208ED"/>
    <w:pPr>
      <w:spacing w:before="240" w:after="60" w:line="240" w:lineRule="auto"/>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0C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E90C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0C1D"/>
    <w:rPr>
      <w:rFonts w:asciiTheme="majorHAnsi" w:eastAsiaTheme="majorEastAsia" w:hAnsiTheme="majorHAnsi" w:cstheme="majorBidi"/>
      <w:color w:val="1F4D78" w:themeColor="accent1" w:themeShade="7F"/>
      <w:sz w:val="24"/>
      <w:szCs w:val="24"/>
    </w:rPr>
  </w:style>
  <w:style w:type="character" w:styleId="LineNumber">
    <w:name w:val="line number"/>
    <w:basedOn w:val="DefaultParagraphFont"/>
    <w:uiPriority w:val="99"/>
    <w:semiHidden/>
    <w:unhideWhenUsed/>
    <w:rsid w:val="00E90C1D"/>
  </w:style>
  <w:style w:type="character" w:styleId="Hyperlink">
    <w:name w:val="Hyperlink"/>
    <w:basedOn w:val="DefaultParagraphFont"/>
    <w:uiPriority w:val="99"/>
    <w:unhideWhenUsed/>
    <w:rsid w:val="00E90C1D"/>
    <w:rPr>
      <w:color w:val="0000FF"/>
      <w:u w:val="single"/>
    </w:rPr>
  </w:style>
  <w:style w:type="character" w:styleId="CommentReference">
    <w:name w:val="annotation reference"/>
    <w:basedOn w:val="DefaultParagraphFont"/>
    <w:semiHidden/>
    <w:unhideWhenUsed/>
    <w:rsid w:val="00E90C1D"/>
    <w:rPr>
      <w:sz w:val="16"/>
      <w:szCs w:val="16"/>
    </w:rPr>
  </w:style>
  <w:style w:type="paragraph" w:styleId="CommentText">
    <w:name w:val="annotation text"/>
    <w:basedOn w:val="Normal"/>
    <w:link w:val="CommentTextChar"/>
    <w:unhideWhenUsed/>
    <w:rsid w:val="00E90C1D"/>
    <w:pPr>
      <w:spacing w:line="240" w:lineRule="auto"/>
    </w:pPr>
    <w:rPr>
      <w:sz w:val="20"/>
      <w:szCs w:val="20"/>
    </w:rPr>
  </w:style>
  <w:style w:type="character" w:customStyle="1" w:styleId="CommentTextChar">
    <w:name w:val="Comment Text Char"/>
    <w:basedOn w:val="DefaultParagraphFont"/>
    <w:link w:val="CommentText"/>
    <w:rsid w:val="00E90C1D"/>
    <w:rPr>
      <w:sz w:val="20"/>
      <w:szCs w:val="20"/>
    </w:rPr>
  </w:style>
  <w:style w:type="table" w:styleId="TableGrid">
    <w:name w:val="Table Grid"/>
    <w:basedOn w:val="TableNormal"/>
    <w:uiPriority w:val="39"/>
    <w:rsid w:val="00E90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E90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E90C1D"/>
    <w:rPr>
      <w:rFonts w:ascii="Segoe UI" w:hAnsi="Segoe UI" w:cs="Segoe UI"/>
      <w:sz w:val="18"/>
      <w:szCs w:val="18"/>
    </w:rPr>
  </w:style>
  <w:style w:type="character" w:styleId="PlaceholderText">
    <w:name w:val="Placeholder Text"/>
    <w:basedOn w:val="DefaultParagraphFont"/>
    <w:uiPriority w:val="99"/>
    <w:semiHidden/>
    <w:rsid w:val="006C0D3C"/>
    <w:rPr>
      <w:color w:val="808080"/>
    </w:rPr>
  </w:style>
  <w:style w:type="character" w:styleId="FollowedHyperlink">
    <w:name w:val="FollowedHyperlink"/>
    <w:basedOn w:val="DefaultParagraphFont"/>
    <w:semiHidden/>
    <w:unhideWhenUsed/>
    <w:rsid w:val="000B3101"/>
    <w:rPr>
      <w:color w:val="954F72" w:themeColor="followedHyperlink"/>
      <w:u w:val="single"/>
    </w:rPr>
  </w:style>
  <w:style w:type="paragraph" w:styleId="CommentSubject">
    <w:name w:val="annotation subject"/>
    <w:basedOn w:val="CommentText"/>
    <w:next w:val="CommentText"/>
    <w:link w:val="CommentSubjectChar"/>
    <w:semiHidden/>
    <w:unhideWhenUsed/>
    <w:rsid w:val="00B61A33"/>
    <w:rPr>
      <w:b/>
      <w:bCs/>
    </w:rPr>
  </w:style>
  <w:style w:type="character" w:customStyle="1" w:styleId="CommentSubjectChar">
    <w:name w:val="Comment Subject Char"/>
    <w:basedOn w:val="CommentTextChar"/>
    <w:link w:val="CommentSubject"/>
    <w:semiHidden/>
    <w:rsid w:val="00B61A33"/>
    <w:rPr>
      <w:b/>
      <w:bCs/>
      <w:sz w:val="20"/>
      <w:szCs w:val="20"/>
    </w:rPr>
  </w:style>
  <w:style w:type="paragraph" w:styleId="Header">
    <w:name w:val="header"/>
    <w:basedOn w:val="Normal"/>
    <w:link w:val="HeaderChar"/>
    <w:unhideWhenUsed/>
    <w:rsid w:val="00754DE9"/>
    <w:pPr>
      <w:tabs>
        <w:tab w:val="center" w:pos="4680"/>
        <w:tab w:val="right" w:pos="9360"/>
      </w:tabs>
      <w:spacing w:after="0" w:line="240" w:lineRule="auto"/>
    </w:pPr>
  </w:style>
  <w:style w:type="character" w:customStyle="1" w:styleId="HeaderChar">
    <w:name w:val="Header Char"/>
    <w:basedOn w:val="DefaultParagraphFont"/>
    <w:link w:val="Header"/>
    <w:rsid w:val="00754DE9"/>
  </w:style>
  <w:style w:type="paragraph" w:styleId="Footer">
    <w:name w:val="footer"/>
    <w:basedOn w:val="Normal"/>
    <w:link w:val="FooterChar"/>
    <w:unhideWhenUsed/>
    <w:rsid w:val="00754DE9"/>
    <w:pPr>
      <w:tabs>
        <w:tab w:val="center" w:pos="4680"/>
        <w:tab w:val="right" w:pos="9360"/>
      </w:tabs>
      <w:spacing w:after="0" w:line="240" w:lineRule="auto"/>
    </w:pPr>
  </w:style>
  <w:style w:type="character" w:customStyle="1" w:styleId="FooterChar">
    <w:name w:val="Footer Char"/>
    <w:basedOn w:val="DefaultParagraphFont"/>
    <w:link w:val="Footer"/>
    <w:rsid w:val="00754DE9"/>
  </w:style>
  <w:style w:type="paragraph" w:customStyle="1" w:styleId="Paragraph">
    <w:name w:val="Paragraph"/>
    <w:basedOn w:val="Normal"/>
    <w:rsid w:val="00941DD5"/>
    <w:pPr>
      <w:spacing w:before="120" w:after="0" w:line="240" w:lineRule="auto"/>
      <w:ind w:firstLine="720"/>
    </w:pPr>
    <w:rPr>
      <w:rFonts w:ascii="Times New Roman" w:eastAsia="Times New Roman" w:hAnsi="Times New Roman" w:cs="Times New Roman"/>
      <w:sz w:val="24"/>
      <w:szCs w:val="24"/>
    </w:rPr>
  </w:style>
  <w:style w:type="paragraph" w:styleId="ListParagraph">
    <w:name w:val="List Paragraph"/>
    <w:basedOn w:val="Normal"/>
    <w:uiPriority w:val="34"/>
    <w:qFormat/>
    <w:rsid w:val="00941DD5"/>
    <w:pPr>
      <w:ind w:left="720"/>
      <w:contextualSpacing/>
    </w:pPr>
  </w:style>
  <w:style w:type="character" w:customStyle="1" w:styleId="Heading4Char">
    <w:name w:val="Heading 4 Char"/>
    <w:basedOn w:val="DefaultParagraphFont"/>
    <w:link w:val="Heading4"/>
    <w:semiHidden/>
    <w:rsid w:val="00D208ED"/>
    <w:rPr>
      <w:rFonts w:ascii="Times" w:eastAsia="Times New Roman" w:hAnsi="Times" w:cs="Times New Roman"/>
      <w:b/>
      <w:color w:val="0000FF"/>
      <w:sz w:val="44"/>
      <w:szCs w:val="20"/>
    </w:rPr>
  </w:style>
  <w:style w:type="character" w:customStyle="1" w:styleId="Heading5Char">
    <w:name w:val="Heading 5 Char"/>
    <w:basedOn w:val="DefaultParagraphFont"/>
    <w:link w:val="Heading5"/>
    <w:semiHidden/>
    <w:rsid w:val="00D208ED"/>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D208ED"/>
    <w:rPr>
      <w:rFonts w:ascii="Calibri" w:eastAsia="Times New Roman" w:hAnsi="Calibri" w:cs="Times New Roman"/>
      <w:b/>
      <w:bCs/>
    </w:rPr>
  </w:style>
  <w:style w:type="character" w:customStyle="1" w:styleId="Heading7Char">
    <w:name w:val="Heading 7 Char"/>
    <w:basedOn w:val="DefaultParagraphFont"/>
    <w:link w:val="Heading7"/>
    <w:semiHidden/>
    <w:rsid w:val="00D208ED"/>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D208ED"/>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D208ED"/>
    <w:rPr>
      <w:rFonts w:ascii="Cambria" w:eastAsia="Times New Roman" w:hAnsi="Cambria" w:cs="Times New Roman"/>
    </w:rPr>
  </w:style>
  <w:style w:type="paragraph" w:customStyle="1" w:styleId="SMHeading">
    <w:name w:val="SM Heading"/>
    <w:basedOn w:val="Heading1"/>
    <w:qFormat/>
    <w:rsid w:val="00D208ED"/>
    <w:pPr>
      <w:keepLines w:val="0"/>
      <w:spacing w:after="60" w:line="240" w:lineRule="auto"/>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D208ED"/>
    <w:pPr>
      <w:spacing w:after="0" w:line="240" w:lineRule="auto"/>
    </w:pPr>
    <w:rPr>
      <w:rFonts w:ascii="Times New Roman" w:eastAsia="Times New Roman" w:hAnsi="Times New Roman" w:cs="Times New Roman"/>
      <w:sz w:val="24"/>
      <w:szCs w:val="20"/>
      <w:u w:val="words"/>
    </w:rPr>
  </w:style>
  <w:style w:type="paragraph" w:customStyle="1" w:styleId="SMText">
    <w:name w:val="SM Text"/>
    <w:basedOn w:val="Normal"/>
    <w:qFormat/>
    <w:rsid w:val="00D208ED"/>
    <w:pPr>
      <w:spacing w:after="0" w:line="240" w:lineRule="auto"/>
      <w:ind w:firstLine="480"/>
    </w:pPr>
    <w:rPr>
      <w:rFonts w:ascii="Times New Roman" w:eastAsia="Times New Roman" w:hAnsi="Times New Roman" w:cs="Times New Roman"/>
      <w:sz w:val="24"/>
      <w:szCs w:val="20"/>
    </w:rPr>
  </w:style>
  <w:style w:type="paragraph" w:customStyle="1" w:styleId="SMcaption">
    <w:name w:val="SM caption"/>
    <w:basedOn w:val="SMText"/>
    <w:qFormat/>
    <w:rsid w:val="00D208ED"/>
    <w:pPr>
      <w:ind w:firstLine="0"/>
    </w:pPr>
  </w:style>
  <w:style w:type="character" w:customStyle="1" w:styleId="BodyTextChar">
    <w:name w:val="Body Text Char"/>
    <w:basedOn w:val="DefaultParagraphFont"/>
    <w:link w:val="BodyText"/>
    <w:semiHidden/>
    <w:rsid w:val="00D208ED"/>
    <w:rPr>
      <w:rFonts w:ascii="Times New Roman" w:eastAsia="Times New Roman" w:hAnsi="Times New Roman" w:cs="Times New Roman"/>
      <w:sz w:val="24"/>
      <w:szCs w:val="20"/>
    </w:rPr>
  </w:style>
  <w:style w:type="paragraph" w:styleId="BodyText">
    <w:name w:val="Body Text"/>
    <w:basedOn w:val="Normal"/>
    <w:link w:val="BodyTextChar"/>
    <w:semiHidden/>
    <w:rsid w:val="00D208ED"/>
    <w:pPr>
      <w:spacing w:after="12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semiHidden/>
    <w:rsid w:val="00D208ED"/>
    <w:rPr>
      <w:rFonts w:ascii="Times New Roman" w:eastAsia="Times New Roman" w:hAnsi="Times New Roman" w:cs="Times New Roman"/>
      <w:sz w:val="24"/>
      <w:szCs w:val="20"/>
    </w:rPr>
  </w:style>
  <w:style w:type="paragraph" w:styleId="BodyText2">
    <w:name w:val="Body Text 2"/>
    <w:basedOn w:val="Normal"/>
    <w:link w:val="BodyText2Char"/>
    <w:semiHidden/>
    <w:rsid w:val="00D208ED"/>
    <w:pPr>
      <w:spacing w:after="120" w:line="480" w:lineRule="auto"/>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
    <w:semiHidden/>
    <w:rsid w:val="00D208ED"/>
    <w:rPr>
      <w:rFonts w:ascii="Times New Roman" w:eastAsia="Times New Roman" w:hAnsi="Times New Roman" w:cs="Times New Roman"/>
      <w:sz w:val="16"/>
      <w:szCs w:val="16"/>
    </w:rPr>
  </w:style>
  <w:style w:type="paragraph" w:styleId="BodyText3">
    <w:name w:val="Body Text 3"/>
    <w:basedOn w:val="Normal"/>
    <w:link w:val="BodyText3Char"/>
    <w:semiHidden/>
    <w:rsid w:val="00D208ED"/>
    <w:pPr>
      <w:spacing w:after="120" w:line="240" w:lineRule="auto"/>
    </w:pPr>
    <w:rPr>
      <w:rFonts w:ascii="Times New Roman" w:eastAsia="Times New Roman" w:hAnsi="Times New Roman" w:cs="Times New Roman"/>
      <w:sz w:val="16"/>
      <w:szCs w:val="16"/>
    </w:rPr>
  </w:style>
  <w:style w:type="character" w:customStyle="1" w:styleId="BodyTextFirstIndentChar">
    <w:name w:val="Body Text First Indent Char"/>
    <w:basedOn w:val="BodyTextChar"/>
    <w:link w:val="BodyTextFirstIndent"/>
    <w:semiHidden/>
    <w:rsid w:val="00D208ED"/>
    <w:rPr>
      <w:rFonts w:ascii="Times New Roman" w:eastAsia="Times New Roman" w:hAnsi="Times New Roman" w:cs="Times New Roman"/>
      <w:sz w:val="24"/>
      <w:szCs w:val="20"/>
    </w:rPr>
  </w:style>
  <w:style w:type="paragraph" w:styleId="BodyTextFirstIndent">
    <w:name w:val="Body Text First Indent"/>
    <w:basedOn w:val="BodyText"/>
    <w:link w:val="BodyTextFirstIndentChar"/>
    <w:semiHidden/>
    <w:rsid w:val="00D208ED"/>
    <w:pPr>
      <w:ind w:firstLine="210"/>
    </w:pPr>
  </w:style>
  <w:style w:type="character" w:customStyle="1" w:styleId="BodyTextIndentChar">
    <w:name w:val="Body Text Indent Char"/>
    <w:basedOn w:val="DefaultParagraphFont"/>
    <w:link w:val="BodyTextIndent"/>
    <w:semiHidden/>
    <w:rsid w:val="00D208ED"/>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D208ED"/>
    <w:pPr>
      <w:spacing w:after="120" w:line="240" w:lineRule="auto"/>
      <w:ind w:left="360"/>
    </w:pPr>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semiHidden/>
    <w:rsid w:val="00D208ED"/>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semiHidden/>
    <w:rsid w:val="00D208ED"/>
    <w:pPr>
      <w:ind w:firstLine="210"/>
    </w:pPr>
  </w:style>
  <w:style w:type="character" w:customStyle="1" w:styleId="BodyTextIndent2Char">
    <w:name w:val="Body Text Indent 2 Char"/>
    <w:basedOn w:val="DefaultParagraphFont"/>
    <w:link w:val="BodyTextIndent2"/>
    <w:semiHidden/>
    <w:rsid w:val="00D208ED"/>
    <w:rPr>
      <w:rFonts w:ascii="Times New Roman" w:eastAsia="Times New Roman" w:hAnsi="Times New Roman" w:cs="Times New Roman"/>
      <w:sz w:val="24"/>
      <w:szCs w:val="20"/>
    </w:rPr>
  </w:style>
  <w:style w:type="paragraph" w:styleId="BodyTextIndent2">
    <w:name w:val="Body Text Indent 2"/>
    <w:basedOn w:val="Normal"/>
    <w:link w:val="BodyTextIndent2Char"/>
    <w:semiHidden/>
    <w:rsid w:val="00D208ED"/>
    <w:pPr>
      <w:spacing w:after="120" w:line="480" w:lineRule="auto"/>
      <w:ind w:left="3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D208ED"/>
    <w:rPr>
      <w:rFonts w:ascii="Times New Roman" w:eastAsia="Times New Roman" w:hAnsi="Times New Roman" w:cs="Times New Roman"/>
      <w:sz w:val="16"/>
      <w:szCs w:val="16"/>
    </w:rPr>
  </w:style>
  <w:style w:type="paragraph" w:styleId="BodyTextIndent3">
    <w:name w:val="Body Text Indent 3"/>
    <w:basedOn w:val="Normal"/>
    <w:link w:val="BodyTextIndent3Char"/>
    <w:semiHidden/>
    <w:rsid w:val="00D208ED"/>
    <w:pPr>
      <w:spacing w:after="120" w:line="240" w:lineRule="auto"/>
      <w:ind w:left="360"/>
    </w:pPr>
    <w:rPr>
      <w:rFonts w:ascii="Times New Roman" w:eastAsia="Times New Roman" w:hAnsi="Times New Roman" w:cs="Times New Roman"/>
      <w:sz w:val="16"/>
      <w:szCs w:val="16"/>
    </w:rPr>
  </w:style>
  <w:style w:type="character" w:customStyle="1" w:styleId="ClosingChar">
    <w:name w:val="Closing Char"/>
    <w:basedOn w:val="DefaultParagraphFont"/>
    <w:link w:val="Closing"/>
    <w:semiHidden/>
    <w:rsid w:val="00D208ED"/>
    <w:rPr>
      <w:rFonts w:ascii="Times New Roman" w:eastAsia="Times New Roman" w:hAnsi="Times New Roman" w:cs="Times New Roman"/>
      <w:sz w:val="24"/>
      <w:szCs w:val="20"/>
    </w:rPr>
  </w:style>
  <w:style w:type="paragraph" w:styleId="Closing">
    <w:name w:val="Closing"/>
    <w:basedOn w:val="Normal"/>
    <w:link w:val="ClosingChar"/>
    <w:semiHidden/>
    <w:rsid w:val="00D208ED"/>
    <w:pPr>
      <w:spacing w:after="0" w:line="240" w:lineRule="auto"/>
      <w:ind w:left="4320"/>
    </w:pPr>
    <w:rPr>
      <w:rFonts w:ascii="Times New Roman" w:eastAsia="Times New Roman" w:hAnsi="Times New Roman" w:cs="Times New Roman"/>
      <w:sz w:val="24"/>
      <w:szCs w:val="20"/>
    </w:rPr>
  </w:style>
  <w:style w:type="character" w:customStyle="1" w:styleId="DateChar">
    <w:name w:val="Date Char"/>
    <w:basedOn w:val="DefaultParagraphFont"/>
    <w:link w:val="Date"/>
    <w:semiHidden/>
    <w:rsid w:val="00D208ED"/>
    <w:rPr>
      <w:rFonts w:ascii="Times New Roman" w:eastAsia="Times New Roman" w:hAnsi="Times New Roman" w:cs="Times New Roman"/>
      <w:sz w:val="24"/>
      <w:szCs w:val="20"/>
    </w:rPr>
  </w:style>
  <w:style w:type="paragraph" w:styleId="Date">
    <w:name w:val="Date"/>
    <w:basedOn w:val="Normal"/>
    <w:next w:val="Normal"/>
    <w:link w:val="DateChar"/>
    <w:semiHidden/>
    <w:rsid w:val="00D208ED"/>
    <w:pPr>
      <w:spacing w:after="0" w:line="240" w:lineRule="auto"/>
    </w:pPr>
    <w:rPr>
      <w:rFonts w:ascii="Times New Roman" w:eastAsia="Times New Roman" w:hAnsi="Times New Roman" w:cs="Times New Roman"/>
      <w:sz w:val="24"/>
      <w:szCs w:val="20"/>
    </w:rPr>
  </w:style>
  <w:style w:type="character" w:customStyle="1" w:styleId="DocumentMapChar">
    <w:name w:val="Document Map Char"/>
    <w:basedOn w:val="DefaultParagraphFont"/>
    <w:link w:val="DocumentMap"/>
    <w:semiHidden/>
    <w:rsid w:val="00D208ED"/>
    <w:rPr>
      <w:rFonts w:ascii="Tahoma" w:eastAsia="Times New Roman" w:hAnsi="Tahoma" w:cs="Tahoma"/>
      <w:sz w:val="16"/>
      <w:szCs w:val="16"/>
    </w:rPr>
  </w:style>
  <w:style w:type="paragraph" w:styleId="DocumentMap">
    <w:name w:val="Document Map"/>
    <w:basedOn w:val="Normal"/>
    <w:link w:val="DocumentMapChar"/>
    <w:semiHidden/>
    <w:rsid w:val="00D208ED"/>
    <w:pPr>
      <w:spacing w:after="0" w:line="240" w:lineRule="auto"/>
    </w:pPr>
    <w:rPr>
      <w:rFonts w:ascii="Tahoma" w:eastAsia="Times New Roman" w:hAnsi="Tahoma" w:cs="Tahoma"/>
      <w:sz w:val="16"/>
      <w:szCs w:val="16"/>
    </w:rPr>
  </w:style>
  <w:style w:type="character" w:customStyle="1" w:styleId="E-mailSignatureChar">
    <w:name w:val="E-mail Signature Char"/>
    <w:basedOn w:val="DefaultParagraphFont"/>
    <w:link w:val="E-mailSignature"/>
    <w:semiHidden/>
    <w:rsid w:val="00D208ED"/>
    <w:rPr>
      <w:rFonts w:ascii="Times New Roman" w:eastAsia="Times New Roman" w:hAnsi="Times New Roman" w:cs="Times New Roman"/>
      <w:sz w:val="24"/>
      <w:szCs w:val="20"/>
    </w:rPr>
  </w:style>
  <w:style w:type="paragraph" w:styleId="E-mailSignature">
    <w:name w:val="E-mail Signature"/>
    <w:basedOn w:val="Normal"/>
    <w:link w:val="E-mailSignatureChar"/>
    <w:semiHidden/>
    <w:rsid w:val="00D208ED"/>
    <w:pPr>
      <w:spacing w:after="0" w:line="240" w:lineRule="auto"/>
    </w:pPr>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rsid w:val="00D208ED"/>
    <w:rPr>
      <w:rFonts w:ascii="Times New Roman" w:eastAsia="Times New Roman" w:hAnsi="Times New Roman" w:cs="Times New Roman"/>
      <w:sz w:val="20"/>
      <w:szCs w:val="20"/>
    </w:rPr>
  </w:style>
  <w:style w:type="paragraph" w:styleId="EndnoteText">
    <w:name w:val="endnote text"/>
    <w:basedOn w:val="Normal"/>
    <w:link w:val="EndnoteTextChar"/>
    <w:semiHidden/>
    <w:rsid w:val="00D208E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D208ED"/>
    <w:rPr>
      <w:rFonts w:ascii="Times New Roman" w:eastAsia="Times New Roman" w:hAnsi="Times New Roman" w:cs="Times New Roman"/>
      <w:sz w:val="20"/>
      <w:szCs w:val="20"/>
    </w:rPr>
  </w:style>
  <w:style w:type="paragraph" w:styleId="FootnoteText">
    <w:name w:val="footnote text"/>
    <w:basedOn w:val="Normal"/>
    <w:link w:val="FootnoteTextChar"/>
    <w:semiHidden/>
    <w:rsid w:val="00D208ED"/>
    <w:pPr>
      <w:spacing w:after="0" w:line="240" w:lineRule="auto"/>
    </w:pPr>
    <w:rPr>
      <w:rFonts w:ascii="Times New Roman" w:eastAsia="Times New Roman" w:hAnsi="Times New Roman" w:cs="Times New Roman"/>
      <w:sz w:val="20"/>
      <w:szCs w:val="20"/>
    </w:rPr>
  </w:style>
  <w:style w:type="character" w:customStyle="1" w:styleId="HTMLAddressChar">
    <w:name w:val="HTML Address Char"/>
    <w:basedOn w:val="DefaultParagraphFont"/>
    <w:link w:val="HTMLAddress"/>
    <w:semiHidden/>
    <w:rsid w:val="00D208ED"/>
    <w:rPr>
      <w:rFonts w:ascii="Times New Roman" w:eastAsia="Times New Roman" w:hAnsi="Times New Roman" w:cs="Times New Roman"/>
      <w:i/>
      <w:iCs/>
      <w:sz w:val="24"/>
      <w:szCs w:val="20"/>
    </w:rPr>
  </w:style>
  <w:style w:type="paragraph" w:styleId="HTMLAddress">
    <w:name w:val="HTML Address"/>
    <w:basedOn w:val="Normal"/>
    <w:link w:val="HTMLAddressChar"/>
    <w:semiHidden/>
    <w:rsid w:val="00D208ED"/>
    <w:pPr>
      <w:spacing w:after="0" w:line="240" w:lineRule="auto"/>
    </w:pPr>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rsid w:val="00D208ED"/>
    <w:rPr>
      <w:rFonts w:ascii="Courier New" w:eastAsia="Times New Roman" w:hAnsi="Courier New" w:cs="Courier New"/>
      <w:sz w:val="20"/>
      <w:szCs w:val="20"/>
    </w:rPr>
  </w:style>
  <w:style w:type="paragraph" w:styleId="HTMLPreformatted">
    <w:name w:val="HTML Preformatted"/>
    <w:basedOn w:val="Normal"/>
    <w:link w:val="HTMLPreformattedChar"/>
    <w:semiHidden/>
    <w:rsid w:val="00D208ED"/>
    <w:pPr>
      <w:spacing w:after="0" w:line="240" w:lineRule="auto"/>
    </w:pPr>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D208ED"/>
    <w:pPr>
      <w:pBdr>
        <w:bottom w:val="single" w:sz="4" w:space="4" w:color="4F81BD"/>
      </w:pBdr>
      <w:spacing w:before="200" w:after="280" w:line="240" w:lineRule="auto"/>
      <w:ind w:left="936" w:right="936"/>
    </w:pPr>
    <w:rPr>
      <w:rFonts w:ascii="Times New Roman" w:eastAsia="Times New Roman" w:hAnsi="Times New Roman" w:cs="Times New Roman"/>
      <w:b/>
      <w:bCs/>
      <w:i/>
      <w:iCs/>
      <w:color w:val="4F81BD"/>
      <w:sz w:val="24"/>
      <w:szCs w:val="20"/>
    </w:rPr>
  </w:style>
  <w:style w:type="character" w:customStyle="1" w:styleId="IntenseQuoteChar">
    <w:name w:val="Intense Quote Char"/>
    <w:basedOn w:val="DefaultParagraphFont"/>
    <w:link w:val="IntenseQuote"/>
    <w:uiPriority w:val="30"/>
    <w:rsid w:val="00D208ED"/>
    <w:rPr>
      <w:rFonts w:ascii="Times New Roman" w:eastAsia="Times New Roman" w:hAnsi="Times New Roman" w:cs="Times New Roman"/>
      <w:b/>
      <w:bCs/>
      <w:i/>
      <w:iCs/>
      <w:color w:val="4F81BD"/>
      <w:sz w:val="24"/>
      <w:szCs w:val="20"/>
    </w:rPr>
  </w:style>
  <w:style w:type="paragraph" w:styleId="ListBullet">
    <w:name w:val="List Bullet"/>
    <w:basedOn w:val="Normal"/>
    <w:semiHidden/>
    <w:rsid w:val="00D208ED"/>
    <w:pPr>
      <w:numPr>
        <w:numId w:val="2"/>
      </w:numPr>
      <w:spacing w:after="0" w:line="240" w:lineRule="auto"/>
      <w:contextualSpacing/>
    </w:pPr>
    <w:rPr>
      <w:rFonts w:ascii="Times New Roman" w:eastAsia="Times New Roman" w:hAnsi="Times New Roman" w:cs="Times New Roman"/>
      <w:sz w:val="24"/>
      <w:szCs w:val="20"/>
    </w:rPr>
  </w:style>
  <w:style w:type="paragraph" w:styleId="ListBullet2">
    <w:name w:val="List Bullet 2"/>
    <w:basedOn w:val="Normal"/>
    <w:semiHidden/>
    <w:rsid w:val="00D208ED"/>
    <w:pPr>
      <w:numPr>
        <w:numId w:val="3"/>
      </w:numPr>
      <w:spacing w:after="0" w:line="240" w:lineRule="auto"/>
      <w:contextualSpacing/>
    </w:pPr>
    <w:rPr>
      <w:rFonts w:ascii="Times New Roman" w:eastAsia="Times New Roman" w:hAnsi="Times New Roman" w:cs="Times New Roman"/>
      <w:sz w:val="24"/>
      <w:szCs w:val="20"/>
    </w:rPr>
  </w:style>
  <w:style w:type="paragraph" w:styleId="ListBullet3">
    <w:name w:val="List Bullet 3"/>
    <w:basedOn w:val="Normal"/>
    <w:semiHidden/>
    <w:rsid w:val="00D208ED"/>
    <w:pPr>
      <w:numPr>
        <w:numId w:val="4"/>
      </w:numPr>
      <w:spacing w:after="0" w:line="240" w:lineRule="auto"/>
      <w:contextualSpacing/>
    </w:pPr>
    <w:rPr>
      <w:rFonts w:ascii="Times New Roman" w:eastAsia="Times New Roman" w:hAnsi="Times New Roman" w:cs="Times New Roman"/>
      <w:sz w:val="24"/>
      <w:szCs w:val="20"/>
    </w:rPr>
  </w:style>
  <w:style w:type="paragraph" w:styleId="ListBullet4">
    <w:name w:val="List Bullet 4"/>
    <w:basedOn w:val="Normal"/>
    <w:semiHidden/>
    <w:rsid w:val="00D208ED"/>
    <w:pPr>
      <w:numPr>
        <w:numId w:val="5"/>
      </w:numPr>
      <w:spacing w:after="0" w:line="240" w:lineRule="auto"/>
      <w:contextualSpacing/>
    </w:pPr>
    <w:rPr>
      <w:rFonts w:ascii="Times New Roman" w:eastAsia="Times New Roman" w:hAnsi="Times New Roman" w:cs="Times New Roman"/>
      <w:sz w:val="24"/>
      <w:szCs w:val="20"/>
    </w:rPr>
  </w:style>
  <w:style w:type="paragraph" w:styleId="ListBullet5">
    <w:name w:val="List Bullet 5"/>
    <w:basedOn w:val="Normal"/>
    <w:semiHidden/>
    <w:rsid w:val="00D208ED"/>
    <w:pPr>
      <w:numPr>
        <w:numId w:val="6"/>
      </w:numPr>
      <w:spacing w:after="0" w:line="240" w:lineRule="auto"/>
      <w:contextualSpacing/>
    </w:pPr>
    <w:rPr>
      <w:rFonts w:ascii="Times New Roman" w:eastAsia="Times New Roman" w:hAnsi="Times New Roman" w:cs="Times New Roman"/>
      <w:sz w:val="24"/>
      <w:szCs w:val="20"/>
    </w:rPr>
  </w:style>
  <w:style w:type="paragraph" w:styleId="ListNumber">
    <w:name w:val="List Number"/>
    <w:basedOn w:val="Normal"/>
    <w:semiHidden/>
    <w:rsid w:val="00D208ED"/>
    <w:pPr>
      <w:numPr>
        <w:numId w:val="7"/>
      </w:numPr>
      <w:spacing w:after="0" w:line="240" w:lineRule="auto"/>
      <w:contextualSpacing/>
    </w:pPr>
    <w:rPr>
      <w:rFonts w:ascii="Times New Roman" w:eastAsia="Times New Roman" w:hAnsi="Times New Roman" w:cs="Times New Roman"/>
      <w:sz w:val="24"/>
      <w:szCs w:val="20"/>
    </w:rPr>
  </w:style>
  <w:style w:type="paragraph" w:styleId="ListNumber2">
    <w:name w:val="List Number 2"/>
    <w:basedOn w:val="Normal"/>
    <w:semiHidden/>
    <w:rsid w:val="00D208ED"/>
    <w:pPr>
      <w:numPr>
        <w:numId w:val="8"/>
      </w:numPr>
      <w:spacing w:after="0" w:line="240" w:lineRule="auto"/>
      <w:contextualSpacing/>
    </w:pPr>
    <w:rPr>
      <w:rFonts w:ascii="Times New Roman" w:eastAsia="Times New Roman" w:hAnsi="Times New Roman" w:cs="Times New Roman"/>
      <w:sz w:val="24"/>
      <w:szCs w:val="20"/>
    </w:rPr>
  </w:style>
  <w:style w:type="paragraph" w:styleId="ListNumber3">
    <w:name w:val="List Number 3"/>
    <w:basedOn w:val="Normal"/>
    <w:semiHidden/>
    <w:rsid w:val="00D208ED"/>
    <w:pPr>
      <w:numPr>
        <w:numId w:val="9"/>
      </w:numPr>
      <w:spacing w:after="0" w:line="240" w:lineRule="auto"/>
      <w:contextualSpacing/>
    </w:pPr>
    <w:rPr>
      <w:rFonts w:ascii="Times New Roman" w:eastAsia="Times New Roman" w:hAnsi="Times New Roman" w:cs="Times New Roman"/>
      <w:sz w:val="24"/>
      <w:szCs w:val="20"/>
    </w:rPr>
  </w:style>
  <w:style w:type="paragraph" w:styleId="ListNumber4">
    <w:name w:val="List Number 4"/>
    <w:basedOn w:val="Normal"/>
    <w:semiHidden/>
    <w:rsid w:val="00D208ED"/>
    <w:pPr>
      <w:numPr>
        <w:numId w:val="10"/>
      </w:numPr>
      <w:spacing w:after="0" w:line="240" w:lineRule="auto"/>
      <w:contextualSpacing/>
    </w:pPr>
    <w:rPr>
      <w:rFonts w:ascii="Times New Roman" w:eastAsia="Times New Roman" w:hAnsi="Times New Roman" w:cs="Times New Roman"/>
      <w:sz w:val="24"/>
      <w:szCs w:val="20"/>
    </w:rPr>
  </w:style>
  <w:style w:type="paragraph" w:styleId="ListNumber5">
    <w:name w:val="List Number 5"/>
    <w:basedOn w:val="Normal"/>
    <w:semiHidden/>
    <w:rsid w:val="00D208ED"/>
    <w:pPr>
      <w:numPr>
        <w:numId w:val="11"/>
      </w:numPr>
      <w:spacing w:after="0" w:line="240" w:lineRule="auto"/>
      <w:contextualSpacing/>
    </w:pPr>
    <w:rPr>
      <w:rFonts w:ascii="Times New Roman" w:eastAsia="Times New Roman" w:hAnsi="Times New Roman" w:cs="Times New Roman"/>
      <w:sz w:val="24"/>
      <w:szCs w:val="20"/>
    </w:rPr>
  </w:style>
  <w:style w:type="character" w:customStyle="1" w:styleId="MacroTextChar">
    <w:name w:val="Macro Text Char"/>
    <w:basedOn w:val="DefaultParagraphFont"/>
    <w:link w:val="MacroText"/>
    <w:semiHidden/>
    <w:rsid w:val="00D208ED"/>
    <w:rPr>
      <w:rFonts w:ascii="Courier New" w:eastAsia="Times New Roman" w:hAnsi="Courier New" w:cs="Courier New"/>
      <w:sz w:val="20"/>
      <w:szCs w:val="20"/>
    </w:rPr>
  </w:style>
  <w:style w:type="paragraph" w:styleId="MacroText">
    <w:name w:val="macro"/>
    <w:link w:val="MacroTextChar"/>
    <w:semiHidden/>
    <w:rsid w:val="00D208E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essageHeaderChar">
    <w:name w:val="Message Header Char"/>
    <w:basedOn w:val="DefaultParagraphFont"/>
    <w:link w:val="MessageHeader"/>
    <w:semiHidden/>
    <w:rsid w:val="00D208ED"/>
    <w:rPr>
      <w:rFonts w:ascii="Cambria" w:eastAsia="Times New Roman" w:hAnsi="Cambria" w:cs="Times New Roman"/>
      <w:sz w:val="24"/>
      <w:szCs w:val="24"/>
      <w:shd w:val="pct20" w:color="auto" w:fill="auto"/>
    </w:rPr>
  </w:style>
  <w:style w:type="paragraph" w:styleId="MessageHeader">
    <w:name w:val="Message Header"/>
    <w:basedOn w:val="Normal"/>
    <w:link w:val="MessageHeaderChar"/>
    <w:semiHidden/>
    <w:rsid w:val="00D208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mbria" w:eastAsia="Times New Roman" w:hAnsi="Cambria" w:cs="Times New Roman"/>
      <w:sz w:val="24"/>
      <w:szCs w:val="24"/>
    </w:rPr>
  </w:style>
  <w:style w:type="paragraph" w:styleId="NoSpacing">
    <w:name w:val="No Spacing"/>
    <w:uiPriority w:val="1"/>
    <w:qFormat/>
    <w:rsid w:val="00D208ED"/>
    <w:pPr>
      <w:spacing w:after="0" w:line="240" w:lineRule="auto"/>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semiHidden/>
    <w:rsid w:val="00D208ED"/>
    <w:rPr>
      <w:rFonts w:ascii="Times New Roman" w:eastAsia="Times New Roman" w:hAnsi="Times New Roman" w:cs="Times New Roman"/>
      <w:sz w:val="24"/>
      <w:szCs w:val="20"/>
    </w:rPr>
  </w:style>
  <w:style w:type="paragraph" w:styleId="NoteHeading">
    <w:name w:val="Note Heading"/>
    <w:basedOn w:val="Normal"/>
    <w:next w:val="Normal"/>
    <w:link w:val="NoteHeadingChar"/>
    <w:semiHidden/>
    <w:rsid w:val="00D208ED"/>
    <w:pPr>
      <w:spacing w:after="0" w:line="240" w:lineRule="auto"/>
    </w:pPr>
    <w:rPr>
      <w:rFonts w:ascii="Times New Roman" w:eastAsia="Times New Roman" w:hAnsi="Times New Roman" w:cs="Times New Roman"/>
      <w:sz w:val="24"/>
      <w:szCs w:val="20"/>
    </w:rPr>
  </w:style>
  <w:style w:type="character" w:customStyle="1" w:styleId="PlainTextChar">
    <w:name w:val="Plain Text Char"/>
    <w:basedOn w:val="DefaultParagraphFont"/>
    <w:link w:val="PlainText"/>
    <w:semiHidden/>
    <w:rsid w:val="00D208ED"/>
    <w:rPr>
      <w:rFonts w:ascii="Courier New" w:eastAsia="Times New Roman" w:hAnsi="Courier New" w:cs="Courier New"/>
      <w:sz w:val="20"/>
      <w:szCs w:val="20"/>
    </w:rPr>
  </w:style>
  <w:style w:type="paragraph" w:styleId="PlainText">
    <w:name w:val="Plain Text"/>
    <w:basedOn w:val="Normal"/>
    <w:link w:val="PlainTextChar"/>
    <w:semiHidden/>
    <w:rsid w:val="00D208ED"/>
    <w:pPr>
      <w:spacing w:after="0" w:line="240" w:lineRule="auto"/>
    </w:pPr>
    <w:rPr>
      <w:rFonts w:ascii="Courier New" w:eastAsia="Times New Roman" w:hAnsi="Courier New" w:cs="Courier New"/>
      <w:sz w:val="20"/>
      <w:szCs w:val="20"/>
    </w:rPr>
  </w:style>
  <w:style w:type="paragraph" w:styleId="Quote">
    <w:name w:val="Quote"/>
    <w:basedOn w:val="Normal"/>
    <w:next w:val="Normal"/>
    <w:link w:val="QuoteChar"/>
    <w:uiPriority w:val="29"/>
    <w:qFormat/>
    <w:rsid w:val="00D208ED"/>
    <w:pPr>
      <w:spacing w:after="0" w:line="240" w:lineRule="auto"/>
    </w:pPr>
    <w:rPr>
      <w:rFonts w:ascii="Times New Roman" w:eastAsia="Times New Roman" w:hAnsi="Times New Roman" w:cs="Times New Roman"/>
      <w:i/>
      <w:iCs/>
      <w:color w:val="000000"/>
      <w:sz w:val="24"/>
      <w:szCs w:val="20"/>
    </w:rPr>
  </w:style>
  <w:style w:type="character" w:customStyle="1" w:styleId="QuoteChar">
    <w:name w:val="Quote Char"/>
    <w:basedOn w:val="DefaultParagraphFont"/>
    <w:link w:val="Quote"/>
    <w:uiPriority w:val="29"/>
    <w:rsid w:val="00D208ED"/>
    <w:rPr>
      <w:rFonts w:ascii="Times New Roman" w:eastAsia="Times New Roman" w:hAnsi="Times New Roman" w:cs="Times New Roman"/>
      <w:i/>
      <w:iCs/>
      <w:color w:val="000000"/>
      <w:sz w:val="24"/>
      <w:szCs w:val="20"/>
    </w:rPr>
  </w:style>
  <w:style w:type="character" w:customStyle="1" w:styleId="SalutationChar">
    <w:name w:val="Salutation Char"/>
    <w:basedOn w:val="DefaultParagraphFont"/>
    <w:link w:val="Salutation"/>
    <w:semiHidden/>
    <w:rsid w:val="00D208ED"/>
    <w:rPr>
      <w:rFonts w:ascii="Times New Roman" w:eastAsia="Times New Roman" w:hAnsi="Times New Roman" w:cs="Times New Roman"/>
      <w:sz w:val="24"/>
      <w:szCs w:val="20"/>
    </w:rPr>
  </w:style>
  <w:style w:type="paragraph" w:styleId="Salutation">
    <w:name w:val="Salutation"/>
    <w:basedOn w:val="Normal"/>
    <w:next w:val="Normal"/>
    <w:link w:val="SalutationChar"/>
    <w:semiHidden/>
    <w:rsid w:val="00D208ED"/>
    <w:pPr>
      <w:spacing w:after="0" w:line="240" w:lineRule="auto"/>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semiHidden/>
    <w:rsid w:val="00D208ED"/>
    <w:rPr>
      <w:rFonts w:ascii="Times New Roman" w:eastAsia="Times New Roman" w:hAnsi="Times New Roman" w:cs="Times New Roman"/>
      <w:sz w:val="24"/>
      <w:szCs w:val="20"/>
    </w:rPr>
  </w:style>
  <w:style w:type="paragraph" w:styleId="Signature">
    <w:name w:val="Signature"/>
    <w:basedOn w:val="Normal"/>
    <w:link w:val="SignatureChar"/>
    <w:semiHidden/>
    <w:rsid w:val="00D208ED"/>
    <w:pPr>
      <w:spacing w:after="0" w:line="240" w:lineRule="auto"/>
      <w:ind w:left="4320"/>
    </w:pPr>
    <w:rPr>
      <w:rFonts w:ascii="Times New Roman" w:eastAsia="Times New Roman" w:hAnsi="Times New Roman" w:cs="Times New Roman"/>
      <w:sz w:val="24"/>
      <w:szCs w:val="20"/>
    </w:rPr>
  </w:style>
  <w:style w:type="paragraph" w:styleId="Subtitle">
    <w:name w:val="Subtitle"/>
    <w:basedOn w:val="Normal"/>
    <w:next w:val="Normal"/>
    <w:link w:val="SubtitleChar"/>
    <w:qFormat/>
    <w:rsid w:val="00D208ED"/>
    <w:pPr>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rsid w:val="00D208ED"/>
    <w:rPr>
      <w:rFonts w:ascii="Cambria" w:eastAsia="Times New Roman" w:hAnsi="Cambria" w:cs="Times New Roman"/>
      <w:sz w:val="24"/>
      <w:szCs w:val="24"/>
    </w:rPr>
  </w:style>
  <w:style w:type="paragraph" w:styleId="Title">
    <w:name w:val="Title"/>
    <w:basedOn w:val="Normal"/>
    <w:next w:val="Normal"/>
    <w:link w:val="TitleChar"/>
    <w:qFormat/>
    <w:rsid w:val="00D208ED"/>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D208ED"/>
    <w:rPr>
      <w:rFonts w:ascii="Cambria" w:eastAsia="Times New Roman" w:hAnsi="Cambria" w:cs="Times New Roman"/>
      <w:b/>
      <w:bCs/>
      <w:kern w:val="28"/>
      <w:sz w:val="32"/>
      <w:szCs w:val="32"/>
    </w:rPr>
  </w:style>
  <w:style w:type="paragraph" w:styleId="TOC2">
    <w:name w:val="toc 2"/>
    <w:basedOn w:val="Normal"/>
    <w:next w:val="Normal"/>
    <w:autoRedefine/>
    <w:semiHidden/>
    <w:rsid w:val="00D208ED"/>
    <w:pPr>
      <w:spacing w:after="0" w:line="240" w:lineRule="auto"/>
      <w:ind w:left="240"/>
    </w:pPr>
    <w:rPr>
      <w:rFonts w:ascii="Times New Roman" w:eastAsia="Times New Roman" w:hAnsi="Times New Roman" w:cs="Times New Roman"/>
      <w:sz w:val="24"/>
      <w:szCs w:val="20"/>
    </w:rPr>
  </w:style>
  <w:style w:type="paragraph" w:styleId="TOC6">
    <w:name w:val="toc 6"/>
    <w:basedOn w:val="Normal"/>
    <w:next w:val="Normal"/>
    <w:autoRedefine/>
    <w:semiHidden/>
    <w:rsid w:val="00D208ED"/>
    <w:pPr>
      <w:spacing w:after="0" w:line="240" w:lineRule="auto"/>
      <w:ind w:left="1200"/>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24282">
      <w:bodyDiv w:val="1"/>
      <w:marLeft w:val="0"/>
      <w:marRight w:val="0"/>
      <w:marTop w:val="0"/>
      <w:marBottom w:val="0"/>
      <w:divBdr>
        <w:top w:val="none" w:sz="0" w:space="0" w:color="auto"/>
        <w:left w:val="none" w:sz="0" w:space="0" w:color="auto"/>
        <w:bottom w:val="none" w:sz="0" w:space="0" w:color="auto"/>
        <w:right w:val="none" w:sz="0" w:space="0" w:color="auto"/>
      </w:divBdr>
    </w:div>
    <w:div w:id="84090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lobalfishingwatch.org/" TargetMode="External"/><Relationship Id="rId4" Type="http://schemas.openxmlformats.org/officeDocument/2006/relationships/settings" Target="settings.xml"/><Relationship Id="rId9" Type="http://schemas.openxmlformats.org/officeDocument/2006/relationships/hyperlink" Target="mailto:ts428@cornell.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12489-14F0-4E16-A942-443A41FDF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16309</Words>
  <Characters>92966</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109057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Scott Smeltz Jr</dc:creator>
  <cp:keywords/>
  <dc:description/>
  <cp:lastModifiedBy>T. Scott Smeltz</cp:lastModifiedBy>
  <cp:revision>3</cp:revision>
  <dcterms:created xsi:type="dcterms:W3CDTF">2020-07-13T19:58:00Z</dcterms:created>
  <dcterms:modified xsi:type="dcterms:W3CDTF">2020-07-13T19:58:00Z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http://www.zotero.org/styles/science</vt:lpwstr>
  </property>
  <property fmtid="{D5CDD505-2E9C-101B-9397-08002B2CF9AE}" pid="4" name="Mendeley Unique User Id_1">
    <vt:lpwstr>87fe20c9-697a-346a-8b29-5e622cde622d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http://www.zotero.org/styles/canadian-journal-of-fisheries-and-aquatic-sciences</vt:lpwstr>
  </property>
  <property fmtid="{D5CDD505-2E9C-101B-9397-08002B2CF9AE}" pid="10" name="Mendeley Recent Style Name 2_1">
    <vt:lpwstr>Canadian Journal of Fisheries and Aquatic Sciences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