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earCrawler: Code Improvement and Issue Fix Plan</w:t>
        <w:br/>
        <w:t>(Based solely on the attached review output)</w:t>
      </w:r>
    </w:p>
    <w:p>
      <w:pPr>
        <w:jc w:val="center"/>
      </w:pPr>
      <w:r>
        <w:t>Date: January 30, 2026</w:t>
      </w:r>
    </w:p>
    <w:p/>
    <w:p>
      <w:r>
        <w:rPr>
          <w:b/>
          <w:sz w:val="28"/>
        </w:rPr>
        <w:t>Scope &amp; Constraints</w:t>
      </w:r>
    </w:p>
    <w:p>
      <w:r>
        <w:t>This document translates the attached review output into a structured, actionable improvement plan. All recommendations are derived from (and limited to) the content of that review output.</w:t>
      </w:r>
    </w:p>
    <w:p/>
    <w:p>
      <w:pPr>
        <w:pStyle w:val="Heading1"/>
      </w:pPr>
      <w:r>
        <w:t>1. Critical Findings and Immediate Priorities</w:t>
      </w:r>
    </w:p>
    <w:p>
      <w:r>
        <w:t>These items are the fastest path to making evaluation results reflect real system quality (not missing artifacts), and to reducing the project’s biggest compliance failure mode: correct-looking outputs without traceable grounding.</w:t>
      </w:r>
    </w:p>
    <w:p>
      <w:pPr>
        <w:pStyle w:val="Heading2"/>
      </w:pPr>
      <w:r>
        <w:t>1.1 Biggest bottleneck to address first</w:t>
      </w:r>
    </w:p>
    <w:p>
      <w:pPr>
        <w:pStyle w:val="ListBullet"/>
      </w:pPr>
      <w:r>
        <w:t>Replace the current Federal Register term-search derived section text with authoritative, section-level regulatory text for retrieval and evaluation alignment.</w:t>
      </w:r>
    </w:p>
    <w:p>
      <w:pPr>
        <w:pStyle w:val="ListBullet"/>
      </w:pPr>
      <w:r>
        <w:t>Ensure retrieval/indexing cannot silently fail (e.g., “used_sections=[]” runs) when the FAISS index is missing.</w:t>
      </w:r>
    </w:p>
    <w:p>
      <w:pPr>
        <w:pStyle w:val="Heading2"/>
      </w:pPr>
      <w:r>
        <w:t>1.2 Biggest risk to mitigate</w:t>
      </w:r>
    </w:p>
    <w:p>
      <w:pPr>
        <w:pStyle w:val="ListBullet"/>
      </w:pPr>
      <w:r>
        <w:t>Prevent outputs that achieve high label accuracy while failing grounding and citation traceability.</w:t>
      </w:r>
    </w:p>
    <w:p>
      <w:pPr>
        <w:pStyle w:val="ListBullet"/>
      </w:pPr>
      <w:r>
        <w:t>Reduce complexity from “two KG/schema worlds” coexisting without a clear canonical boundary.</w:t>
      </w:r>
    </w:p>
    <w:p>
      <w:pPr>
        <w:pStyle w:val="Heading1"/>
      </w:pPr>
      <w:r>
        <w:t>2. Retrieval Corpus, Indexing, and Section-ID Alignment</w:t>
      </w:r>
    </w:p>
    <w:p>
      <w:r>
        <w:t>Your review output indicates grounding failures often trace back to retrieval not operating on authoritative section text, and to silent empty retrieval when index artifacts are missing.</w:t>
      </w:r>
    </w:p>
    <w:p>
      <w:pPr>
        <w:pStyle w:val="Heading2"/>
      </w:pPr>
      <w:r>
        <w:t>2.1 Build an authoritative section-level text corpus (replace FR term-search-as-section-text)</w:t>
      </w:r>
    </w:p>
    <w:p>
      <w:pPr>
        <w:pStyle w:val="ListBullet"/>
      </w:pPr>
      <w:r>
        <w:t>Define a canonical 'text corpus for retrieval' specification: what counts as a document, how section IDs are represented, and chunk boundaries (section/subsection/paragraph).</w:t>
      </w:r>
    </w:p>
    <w:p>
      <w:pPr>
        <w:pStyle w:val="ListBullet"/>
      </w:pPr>
      <w:r>
        <w:t>Ingest section text directly from an authoritative source of truth (eCFR API or an approved offline snapshot), chunked by section/subsection, and use that corpus to build the FAISS index.</w:t>
      </w:r>
    </w:p>
    <w:p>
      <w:pPr>
        <w:pStyle w:val="ListBullet"/>
      </w:pPr>
      <w:r>
        <w:t>Map and preserve stable section identifiers (e.g., expectations like EAR-736.2(b)) so eval evidence and citations can align to retrieval results.</w:t>
      </w:r>
    </w:p>
    <w:p>
      <w:pPr>
        <w:pStyle w:val="Heading2"/>
      </w:pPr>
      <w:r>
        <w:t>2.2 Make indexing and retrieval failure modes explicit (no silent empty runs)</w:t>
      </w:r>
    </w:p>
    <w:p>
      <w:pPr>
        <w:pStyle w:val="ListBullet"/>
      </w:pPr>
      <w:r>
        <w:t>Fail-fast when running RAG eval/CLI if index.faiss (and its metadata) is absent; do not default to returning empty retrieval results.</w:t>
      </w:r>
    </w:p>
    <w:p>
      <w:pPr>
        <w:pStyle w:val="ListBullet"/>
      </w:pPr>
      <w:r>
        <w:t>Add an explicit “index missing” error mode and a clear remediation message (how to build/rebuild the index).</w:t>
      </w:r>
    </w:p>
    <w:p>
      <w:pPr>
        <w:pStyle w:val="Heading2"/>
      </w:pPr>
      <w:r>
        <w:t>2.3 Use coverage tooling as the debugging north star</w:t>
      </w:r>
    </w:p>
    <w:p>
      <w:pPr>
        <w:pStyle w:val="ListBullet"/>
      </w:pPr>
      <w:r>
        <w:t>Run retrieval coverage checks (earctl eval fr-coverage) on v2 datasets and treat missing-in-retrieval as the primary blocking issue before tuning prompts/models.</w:t>
      </w:r>
    </w:p>
    <w:p>
      <w:pPr>
        <w:pStyle w:val="ListBullet"/>
      </w:pPr>
      <w:r>
        <w:t>Adopt the Phase 1 acceptance criterion: missing-in-retrieval ≤ 10% (or document why it cannot be achieved with the current corpus).</w:t>
      </w:r>
    </w:p>
    <w:p>
      <w:pPr>
        <w:pStyle w:val="Heading1"/>
      </w:pPr>
      <w:r>
        <w:t>3. Knowledge Graph Boundary, Namespaces, and “KG Expansion”</w:t>
      </w:r>
    </w:p>
    <w:p>
      <w:r>
        <w:t>The review output highlights namespace fragmentation and a file-backed 'KG expansion' stub that limits true graph-based reasoning.</w:t>
      </w:r>
    </w:p>
    <w:p>
      <w:pPr>
        <w:pStyle w:val="Heading2"/>
      </w:pPr>
      <w:r>
        <w:t>3.1 Establish a canonical KG boundary and IRI strategy</w:t>
      </w:r>
    </w:p>
    <w:p>
      <w:pPr>
        <w:pStyle w:val="ListBullet"/>
      </w:pPr>
      <w:r>
        <w:t>Write a short “KG boundary” document that states which RDF/IRI space is canonical going forward (e.g., example.org/ear# vs ear.example.org/schema#) and how/where named graphs are versioned.</w:t>
      </w:r>
    </w:p>
    <w:p>
      <w:pPr>
        <w:pStyle w:val="ListBullet"/>
      </w:pPr>
      <w:r>
        <w:t>Create a one-time namespace migration plan and update dataset references to the canonical namespace to simplify grounding and citation alignment.</w:t>
      </w:r>
    </w:p>
    <w:p>
      <w:pPr>
        <w:pStyle w:val="Heading2"/>
      </w:pPr>
      <w:r>
        <w:t>3.2 Replace file-backed KG expansion with real Fuseki queries (when scaling capability)</w:t>
      </w:r>
    </w:p>
    <w:p>
      <w:pPr>
        <w:pStyle w:val="ListBullet"/>
      </w:pPr>
      <w:r>
        <w:t>Treat the current JSON sidecar (kg_expansion.json) as a temporary stub and plan to replace it with runtime Fuseki queries for deterministic subgraph expansion (as referenced by the TODO in pipeline.py).</w:t>
      </w:r>
    </w:p>
    <w:p>
      <w:pPr>
        <w:pStyle w:val="ListBullet"/>
      </w:pPr>
      <w:r>
        <w:t>When implemented, persist structured KG paths used by answers so explainability includes both section quotes and graph provenance.</w:t>
      </w:r>
    </w:p>
    <w:p>
      <w:pPr>
        <w:pStyle w:val="Heading1"/>
      </w:pPr>
      <w:r>
        <w:t>4. Grounded Answer Contract: Prompts, Parsing, and Enforcement</w:t>
      </w:r>
    </w:p>
    <w:p>
      <w:r>
        <w:t>The review output calls out that strict JSON prompts exist, but the surrounding system tolerates contract violations via silent fallbacks and heuristic label inference.</w:t>
      </w:r>
    </w:p>
    <w:p>
      <w:pPr>
        <w:pStyle w:val="Heading2"/>
      </w:pPr>
      <w:r>
        <w:t>4.1 Remove silent fallbacks and enforce a strict JSON schema</w:t>
      </w:r>
    </w:p>
    <w:p>
      <w:pPr>
        <w:pStyle w:val="ListBullet"/>
      </w:pPr>
      <w:r>
        <w:t>If JSON parsing fails, do not silently accept freeform text. Fail the item (or return an explicit structured error) so evaluation reflects true model/system performance.</w:t>
      </w:r>
    </w:p>
    <w:p>
      <w:pPr>
        <w:pStyle w:val="ListBullet"/>
      </w:pPr>
      <w:r>
        <w:t>Add a validator that enforces: fixed keys only, correct types, and no extra keys.</w:t>
      </w:r>
    </w:p>
    <w:p>
      <w:pPr>
        <w:pStyle w:val="Heading2"/>
      </w:pPr>
      <w:r>
        <w:t>4.2 Require machine-checkable citations with quotes (grounded answer contract)</w:t>
      </w:r>
    </w:p>
    <w:p>
      <w:pPr>
        <w:pStyle w:val="ListBullet"/>
      </w:pPr>
      <w:r>
        <w:t>Require citations[] objects with at least: {section_id, quote}.</w:t>
      </w:r>
    </w:p>
    <w:p>
      <w:pPr>
        <w:pStyle w:val="ListBullet"/>
      </w:pPr>
      <w:r>
        <w:t>Enforce: at least one citation quote must be a substring of provided retrieved context. If not, label must be unanswerable.</w:t>
      </w:r>
    </w:p>
    <w:p>
      <w:pPr>
        <w:pStyle w:val="ListBullet"/>
      </w:pPr>
      <w:r>
        <w:t>Persist citations[] and any quoted spans/doc-span identifiers in outputs for auditability.</w:t>
      </w:r>
    </w:p>
    <w:p>
      <w:pPr>
        <w:pStyle w:val="Heading2"/>
      </w:pPr>
      <w:r>
        <w:t>4.3 Strengthen refusal behavior (“I don’t know” contract)</w:t>
      </w:r>
    </w:p>
    <w:p>
      <w:pPr>
        <w:pStyle w:val="ListBullet"/>
      </w:pPr>
      <w:r>
        <w:t>Define unanswerable operationally as “no supporting quote for the key claim” and require a short refusal plus a retrieval-guidance hint (e.g., missing ECCN/destination/end-use).</w:t>
      </w:r>
    </w:p>
    <w:p>
      <w:pPr>
        <w:pStyle w:val="ListBullet"/>
      </w:pPr>
      <w:r>
        <w:t>Separate label decision from answer text: emit label first; constrain answer_text based on label (unanswerable must not assert a compliance outcome).</w:t>
      </w:r>
    </w:p>
    <w:p>
      <w:pPr>
        <w:pStyle w:val="ListBullet"/>
      </w:pPr>
      <w:r>
        <w:t>Add evidence_ok (true/false) with reasons; reject outputs where evidence_ok=false.</w:t>
      </w:r>
    </w:p>
    <w:p>
      <w:pPr>
        <w:pStyle w:val="ListBullet"/>
      </w:pPr>
      <w:r>
        <w:t>Add an Assumptions array; if non-empty, require unanswerable unless assumptions are directly supported by retrieved context.</w:t>
      </w:r>
    </w:p>
    <w:p>
      <w:pPr>
        <w:pStyle w:val="Heading1"/>
      </w:pPr>
      <w:r>
        <w:t>5. Evaluation Harness Upgrades and CI Gates</w:t>
      </w:r>
    </w:p>
    <w:p>
      <w:r>
        <w:t>You already have datasets, evidence validation, coverage checks, and grounding tooling. The biggest upgrades are citation correctness metrics, deterministic golden tests, and gating.</w:t>
      </w:r>
    </w:p>
    <w:p>
      <w:pPr>
        <w:pStyle w:val="Heading2"/>
      </w:pPr>
      <w:r>
        <w:t>5.1 Persist explainability artifacts per item</w:t>
      </w:r>
    </w:p>
    <w:p>
      <w:pPr>
        <w:pStyle w:val="ListBullet"/>
      </w:pPr>
      <w:r>
        <w:t>Store the model’s structured citations[] and justification (if requested) in the per-item eval outputs, not just used_sections.</w:t>
      </w:r>
    </w:p>
    <w:p>
      <w:pPr>
        <w:pStyle w:val="ListBullet"/>
      </w:pPr>
      <w:r>
        <w:t>Create a per-answer JSON artifact pack suitable for a UI: question, label, answer, citations, retrieved docs, trace_id.</w:t>
      </w:r>
    </w:p>
    <w:p>
      <w:pPr>
        <w:pStyle w:val="Heading2"/>
      </w:pPr>
      <w:r>
        <w:t>5.2 Add citation correctness metrics and regression suites</w:t>
      </w:r>
    </w:p>
    <w:p>
      <w:pPr>
        <w:pStyle w:val="ListBullet"/>
      </w:pPr>
      <w:r>
        <w:t>Compute citation precision/recall against evidence.doc_spans and expected sections referenced by datasets.</w:t>
      </w:r>
    </w:p>
    <w:p>
      <w:pPr>
        <w:pStyle w:val="ListBullet"/>
      </w:pPr>
      <w:r>
        <w:t>Add regression suites for known failures: label correct but expected section not retrieved; reserved section cited; out-of-scope must refuse; infra errors separated from model errors.</w:t>
      </w:r>
    </w:p>
    <w:p>
      <w:pPr>
        <w:pStyle w:val="Heading2"/>
      </w:pPr>
      <w:r>
        <w:t>5.3 Add deterministic golden tests to CI</w:t>
      </w:r>
    </w:p>
    <w:p>
      <w:pPr>
        <w:pStyle w:val="ListBullet"/>
      </w:pPr>
      <w:r>
        <w:t>Create a 10–20 case golden set executed in CI with a stubbed LLM that returns fixtures (no network) to gate retrieval/citation logic deterministically.</w:t>
      </w:r>
    </w:p>
    <w:p>
      <w:pPr>
        <w:pStyle w:val="ListBullet"/>
      </w:pPr>
      <w:r>
        <w:t>Adopt the Phase 2 acceptance criteria from the review output: unanswerable accuracy ≥ 0.9; grounding-contract pass rate ≥ 0.8 on the golden set; and 0 known-bad citations (precision=1.0).</w:t>
      </w:r>
    </w:p>
    <w:p>
      <w:pPr>
        <w:pStyle w:val="Heading1"/>
      </w:pPr>
      <w:r>
        <w:t>6. Windows Reliability: Fix Test Collection Failures and Make pytest Green</w:t>
      </w:r>
    </w:p>
    <w:p>
      <w:r>
        <w:t>The review output reports pytest collection failures on Windows due to torch import errors (WinError 126, shm.dll) in finetune-related tests.</w:t>
      </w:r>
    </w:p>
    <w:p>
      <w:pPr>
        <w:pStyle w:val="Heading2"/>
      </w:pPr>
      <w:r>
        <w:t>6.1 Make torch-dependent tests robust on Windows</w:t>
      </w:r>
    </w:p>
    <w:p>
      <w:pPr>
        <w:pStyle w:val="ListBullet"/>
      </w:pPr>
      <w:r>
        <w:t>Guard torch-dependent tests with broader skipping that covers both ImportError and OSError (to handle WinError 126).</w:t>
      </w:r>
    </w:p>
    <w:p>
      <w:pPr>
        <w:pStyle w:val="ListBullet"/>
      </w:pPr>
      <w:r>
        <w:t>Gate LoRA/finetune tests behind a marker enabled only in known-good GPU environments; keep the default Plus-account Windows dev loop green.</w:t>
      </w:r>
    </w:p>
    <w:p>
      <w:pPr>
        <w:pStyle w:val="Heading2"/>
      </w:pPr>
      <w:r>
        <w:t>6.2 Keep evaluation and retrieval tests network-free</w:t>
      </w:r>
    </w:p>
    <w:p>
      <w:pPr>
        <w:pStyle w:val="ListBullet"/>
      </w:pPr>
      <w:r>
        <w:t>Prefer deterministic fixtures and stubbed LLMs for CI and local Windows runs to avoid remote provider instability and context egress risks.</w:t>
      </w:r>
    </w:p>
    <w:p>
      <w:pPr>
        <w:pStyle w:val="Heading1"/>
      </w:pPr>
      <w:r>
        <w:t>7. Security and Compliance Controls for Remote LLM Usage</w:t>
      </w:r>
    </w:p>
    <w:p>
      <w:r>
        <w:t>Remote LLM calls are already gated off by default. The review output recommends making the policy explicit and auditable per answer.</w:t>
      </w:r>
    </w:p>
    <w:p>
      <w:pPr>
        <w:pStyle w:val="Heading2"/>
      </w:pPr>
      <w:r>
        <w:t>7.1 Make the remote-call policy explicit and auditable</w:t>
      </w:r>
    </w:p>
    <w:p>
      <w:pPr>
        <w:pStyle w:val="ListBullet"/>
      </w:pPr>
      <w:r>
        <w:t>Add a per-answer “data egress decision” record: provider, model, redaction mode, and context hashes.</w:t>
      </w:r>
    </w:p>
    <w:p>
      <w:pPr>
        <w:pStyle w:val="ListBullet"/>
      </w:pPr>
      <w:r>
        <w:t>Offer a default “no remote” deployment mode that is easy to verify through configuration and logs.</w:t>
      </w:r>
    </w:p>
    <w:p>
      <w:pPr>
        <w:pStyle w:val="Heading1"/>
      </w:pPr>
      <w:r>
        <w:t>8. Performance and Observability Improvements (Only Where Visible in the Review Output)</w:t>
      </w:r>
    </w:p>
    <w:p>
      <w:r>
        <w:t>The review output notes potential latency from loading heavy retrieval components and remote LLM calls, and recommends caching and retrieval-only debug paths.</w:t>
      </w:r>
    </w:p>
    <w:p>
      <w:pPr>
        <w:pStyle w:val="Heading2"/>
      </w:pPr>
      <w:r>
        <w:t>8.1 Reduce latency and improve debuggability</w:t>
      </w:r>
    </w:p>
    <w:p>
      <w:pPr>
        <w:pStyle w:val="ListBullet"/>
      </w:pPr>
      <w:r>
        <w:t>Warm the SentenceTransformer model at API startup to reduce first-query latency.</w:t>
      </w:r>
    </w:p>
    <w:p>
      <w:pPr>
        <w:pStyle w:val="ListBullet"/>
      </w:pPr>
      <w:r>
        <w:t>Cache embeddings where possible and add a “retrieval-only” fast path to debug grounding without LLM latency.</w:t>
      </w:r>
    </w:p>
    <w:p>
      <w:pPr>
        <w:pStyle w:val="ListBullet"/>
      </w:pPr>
      <w:r>
        <w:t>Track and report latency per stage (retrieval vs generation) using existing structured logging and redaction policies.</w:t>
      </w:r>
    </w:p>
    <w:p>
      <w:pPr>
        <w:pStyle w:val="Heading1"/>
      </w:pPr>
      <w:r>
        <w:t>9. Implementation Roadmap (Phased, with Acceptance Criteria)</w:t>
      </w:r>
    </w:p>
    <w:p>
      <w:r>
        <w:t>This roadmap preserves the review output’s sequencing: stabilize retrieval and test reliability first, then enforce groundedness and evaluation gates, then scale to graph-based reasoning.</w:t>
      </w:r>
    </w:p>
    <w:p>
      <w:pPr>
        <w:pStyle w:val="Heading2"/>
      </w:pPr>
      <w:r>
        <w:t>9.1 Phase 1: Stabilize (stop bleeding)</w:t>
      </w:r>
    </w:p>
    <w:p>
      <w:pPr>
        <w:pStyle w:val="ListBullet"/>
      </w:pPr>
      <w:r>
        <w:t>Deliverables: authoritative retrieval corpus + index builder; fail-fast on missing index; Windows test robustness.</w:t>
      </w:r>
    </w:p>
    <w:p>
      <w:pPr>
        <w:pStyle w:val="ListBullet"/>
      </w:pPr>
      <w:r>
        <w:t>Done means: missing-in-retrieval ≤ 10% (or documented limitation); RAG eval fails clearly when index missing; pytest -q green on a clean Windows environment without GPU deps.</w:t>
      </w:r>
    </w:p>
    <w:p>
      <w:pPr>
        <w:pStyle w:val="Heading2"/>
      </w:pPr>
      <w:r>
        <w:t>9.2 Phase 2: Prove correctness (grounded, auditable answers)</w:t>
      </w:r>
    </w:p>
    <w:p>
      <w:pPr>
        <w:pStyle w:val="ListBullet"/>
      </w:pPr>
      <w:r>
        <w:t>Deliverables: grounded answer contract (citations + quotes) with strict validator; persisted explainability artifacts; new citation correctness metrics; golden set gates in CI.</w:t>
      </w:r>
    </w:p>
    <w:p>
      <w:pPr>
        <w:pStyle w:val="ListBullet"/>
      </w:pPr>
      <w:r>
        <w:t>Done means: grounding-contract pass rate ≥ 0.8 on golden set; 0 hallucinated citations on golden set (precision=1.0).</w:t>
      </w:r>
    </w:p>
    <w:p>
      <w:pPr>
        <w:pStyle w:val="Heading2"/>
      </w:pPr>
      <w:r>
        <w:t>9.3 Phase 3: Scale capability (GraphRAG and real compliance reasoning)</w:t>
      </w:r>
    </w:p>
    <w:p>
      <w:pPr>
        <w:pStyle w:val="ListBullet"/>
      </w:pPr>
      <w:r>
        <w:t>Deliverables: replace file-based KG expansion with real Fuseki queries; return structured KG paths; add temporal/version handling if in scope; add human-in-the-loop measurement harness.</w:t>
      </w:r>
    </w:p>
    <w:p>
      <w:pPr>
        <w:pStyle w:val="ListBullet"/>
      </w:pPr>
      <w:r>
        <w:t>Done means: measurable lift in multi-hop tasks vs FAISS-only retrieval (ablation); defensible trace per answer: section quotes + KG path + provenance hash.</w:t>
      </w:r>
    </w:p>
    <w:p>
      <w:pPr>
        <w:pStyle w:val="Heading2"/>
      </w:pPr>
      <w:r>
        <w:t>9.4 Quick wins and “do not do yet”</w:t>
      </w:r>
    </w:p>
    <w:p>
      <w:pPr>
        <w:pStyle w:val="ListBullet"/>
      </w:pPr>
      <w:r>
        <w:t>Quick wins (48 hours): index-missing explicit error; persist citations/justification; tighten prompt contract + validator; run fr-coverage on v2; fix torch test skipping.</w:t>
      </w:r>
    </w:p>
    <w:p>
      <w:pPr>
        <w:pStyle w:val="ListBullet"/>
      </w:pPr>
      <w:r>
        <w:t>Do not do yet: train bigger models or multi-agent orchestration before retrieval+grounding is reliable; build GUI before answer JSON contract and eval gates stabilize; build a full policy reasoning engine before unifying KG namespaces.</w:t>
      </w:r>
    </w:p>
    <w:p>
      <w:r>
        <w:br w:type="page"/>
      </w:r>
    </w:p>
    <w:p>
      <w:pPr>
        <w:pStyle w:val="Heading1"/>
      </w:pPr>
      <w:r>
        <w:t>Appendix. Top Maintainer Questions to De-risk the Next Sprint</w:t>
      </w:r>
    </w:p>
    <w:p>
      <w:pPr>
        <w:pStyle w:val="ListBullet"/>
      </w:pPr>
      <w:r>
        <w:t>Which RDF/IRI space is canonical going forward, or are multiple named graphs intended?</w:t>
      </w:r>
    </w:p>
    <w:p>
      <w:pPr>
        <w:pStyle w:val="ListBullet"/>
      </w:pPr>
      <w:r>
        <w:t>What is the authoritative source of truth for section-level text, and how should stable section IDs be mapped?</w:t>
      </w:r>
    </w:p>
    <w:p>
      <w:pPr>
        <w:pStyle w:val="ListBullet"/>
      </w:pPr>
      <w:r>
        <w:t>What is the target unit of retrieval (section, subsection, paragraph, sentence, obligation node)?</w:t>
      </w:r>
    </w:p>
    <w:p>
      <w:pPr>
        <w:pStyle w:val="ListBullet"/>
      </w:pPr>
      <w:r>
        <w:t>What is the required security posture for LLM calls: can any context leave the machine, or must everything be air-gapped?</w:t>
      </w:r>
    </w:p>
    <w:p>
      <w:pPr>
        <w:pStyle w:val="ListBullet"/>
      </w:pPr>
      <w:r>
        <w:t>What is the product output contract: label-only, label+citations, or full structured trace?</w:t>
      </w:r>
    </w:p>
    <w:p>
      <w:pPr>
        <w:pStyle w:val="ListBullet"/>
      </w:pPr>
      <w:r>
        <w:t>What should “unanswerable” mean operationally (insufficient evidence, out-of-scope, missing user inputs, consult counsel)?</w:t>
      </w:r>
    </w:p>
    <w:p>
      <w:pPr>
        <w:pStyle w:val="ListBullet"/>
      </w:pPr>
      <w:r>
        <w:t>Which metric is the go/no-go: label correctness, groundedness/citation correctness, or human time saved (and thresholds)?</w:t>
      </w:r>
    </w:p>
    <w:p>
      <w:pPr>
        <w:pStyle w:val="ListBullet"/>
      </w:pPr>
      <w:r>
        <w:t>What is Fuseki’s intended runtime role: subgraph expansion, offline materialization, or external serving only?</w:t>
      </w:r>
    </w:p>
    <w:p>
      <w:pPr>
        <w:pStyle w:val="ListBullet"/>
      </w:pPr>
      <w:r>
        <w:t>Should CI gate on retrieval coverage/grounding deterministically, or only on schema/determinism?</w:t>
      </w:r>
    </w:p>
    <w:p>
      <w:pPr>
        <w:pStyle w:val="ListBullet"/>
      </w:pPr>
      <w:r>
        <w:t>Which deployments matter most: Windows desktop operator tool, containerized service, or both (and offline mode expectations)?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