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A14F" w14:textId="77777777" w:rsidR="00F31097" w:rsidRDefault="00000000">
      <w:pPr>
        <w:pStyle w:val="Heading1"/>
      </w:pPr>
      <w:bookmarkStart w:id="0" w:name="header"/>
      <w:bookmarkStart w:id="1" w:name="Xa77209640ace192dd89725ed7a9ce2bf06d1f05"/>
      <w:bookmarkStart w:id="2" w:name="content"/>
      <w:bookmarkEnd w:id="0"/>
      <w:r>
        <w:t>Explainable Regulatory LLMs: Current Landscape and Strategic Roadmap</w:t>
      </w:r>
    </w:p>
    <w:p w14:paraId="134707A1" w14:textId="77777777" w:rsidR="00F31097" w:rsidRDefault="00000000">
      <w:pPr>
        <w:pStyle w:val="Heading2"/>
      </w:pPr>
      <w:bookmarkStart w:id="3" w:name="X36bab5332889295470963f27ed63e5756759148"/>
      <w:r>
        <w:t>Ongoing Relevance of Explainable Regulatory LLMs</w:t>
      </w:r>
    </w:p>
    <w:p w14:paraId="26FC5A3F" w14:textId="77777777" w:rsidR="00F31097" w:rsidRDefault="00000000">
      <w:pPr>
        <w:pStyle w:val="FirstParagraph"/>
      </w:pPr>
      <w:r>
        <w:rPr>
          <w:b/>
          <w:bCs/>
        </w:rPr>
        <w:t>Continued Importance:</w:t>
      </w:r>
      <w:r>
        <w:t xml:space="preserve"> The intersection of large language models (LLMs) with regulatory compliance remains a vibrant research area in 2025. Organizations face </w:t>
      </w:r>
      <w:r>
        <w:rPr>
          <w:i/>
          <w:iCs/>
        </w:rPr>
        <w:t>“huge amounts of constantly evolving legal documents”</w:t>
      </w:r>
      <w:r>
        <w:t xml:space="preserve"> and need AI assistance to parse and apply complex regulations</w:t>
      </w:r>
      <w:hyperlink r:id="rId5" w:anchor=":~:text=Regulatory%20compliance%20is%20a%20major,ensure%20compliance%20across%20multiple%20jurisdictions">
        <w:r>
          <w:rPr>
            <w:rStyle w:val="Hyperlink"/>
          </w:rPr>
          <w:t>[1]</w:t>
        </w:r>
      </w:hyperlink>
      <w:r>
        <w:t xml:space="preserve">. Combining knowledge graphs (KGs) with LLMs has gained traction as a way to provide </w:t>
      </w:r>
      <w:r>
        <w:rPr>
          <w:i/>
          <w:iCs/>
        </w:rPr>
        <w:t>“accurate, explainable guidance”</w:t>
      </w:r>
      <w:r>
        <w:t xml:space="preserve"> in this high-stakes domain</w:t>
      </w:r>
      <w:hyperlink r:id="rId6" w:anchor=":~:text=Knowledge%20graphs%20combined%20with%20LLMs,guidance%20that%20eliminates%20hallucination%20risks">
        <w:r>
          <w:rPr>
            <w:rStyle w:val="Hyperlink"/>
          </w:rPr>
          <w:t>[2]</w:t>
        </w:r>
      </w:hyperlink>
      <w:r>
        <w:t xml:space="preserve">. This directly aligns with our project’s goal of an </w:t>
      </w:r>
      <w:r>
        <w:rPr>
          <w:b/>
          <w:bCs/>
        </w:rPr>
        <w:t>explainable regulatory LLM</w:t>
      </w:r>
      <w:r>
        <w:t xml:space="preserve">. The focus on explainability and trustworthiness is not only academically relevant – it is increasingly mandated by policy. For example, the EU AI Act (effective 2025) emphasizes </w:t>
      </w:r>
      <w:r>
        <w:rPr>
          <w:i/>
          <w:iCs/>
        </w:rPr>
        <w:t>“traceability and explainability”</w:t>
      </w:r>
      <w:r>
        <w:t xml:space="preserve"> for high-risk AI systems, placing responsibility on designers to provide transparent, accountable AI decisions</w:t>
      </w:r>
      <w:hyperlink r:id="rId7" w:anchor=":~:text=The%20EU%20AI%20Act%20emphasises,that%20allows%20for%20appropriate%20traceability">
        <w:r>
          <w:rPr>
            <w:rStyle w:val="Hyperlink"/>
          </w:rPr>
          <w:t>[3]</w:t>
        </w:r>
      </w:hyperlink>
      <w:r>
        <w:t xml:space="preserve">. In the U.S., NIST and other bodies likewise urge </w:t>
      </w:r>
      <w:r>
        <w:rPr>
          <w:b/>
          <w:bCs/>
        </w:rPr>
        <w:t>trustworthy AI</w:t>
      </w:r>
      <w:r>
        <w:t xml:space="preserve"> practices in regulated sectors. Clearly, an LLM solution for export control compliance that can </w:t>
      </w:r>
      <w:r>
        <w:rPr>
          <w:b/>
          <w:bCs/>
        </w:rPr>
        <w:t>explain its reasoning and ground its answers in regulations</w:t>
      </w:r>
      <w:r>
        <w:t xml:space="preserve"> addresses both a practical industry need and emerging legal requirements.</w:t>
      </w:r>
    </w:p>
    <w:p w14:paraId="3A1EE38D" w14:textId="77777777" w:rsidR="00F31097" w:rsidRDefault="00000000">
      <w:pPr>
        <w:pStyle w:val="BodyText"/>
      </w:pPr>
      <w:r>
        <w:rPr>
          <w:b/>
          <w:bCs/>
        </w:rPr>
        <w:t>Evolving Research Question:</w:t>
      </w:r>
      <w:r>
        <w:t xml:space="preserve"> Our original question – can a Retrieval-Augmented Generation (RAG) LLM grounded in a knowledge graph achieve ~90% accuracy on export-compliance QA and cut human review time by 50% – remains well-motivated. In fact, recent industry commentary underscores that the aim is </w:t>
      </w:r>
      <w:r>
        <w:rPr>
          <w:i/>
          <w:iCs/>
        </w:rPr>
        <w:t>“not to replace humans with AI, but to cut research time, reduce errors and omissions, and leave legal interpretation to lawyers”</w:t>
      </w:r>
      <w:r>
        <w:t>, using AI to handle the repetitive analysis faster</w:t>
      </w:r>
      <w:hyperlink r:id="rId8" w:anchor=":~:text=The%20first%20type%20of%20persona,they%20are%20best%20at%20doing">
        <w:r>
          <w:rPr>
            <w:rStyle w:val="Hyperlink"/>
          </w:rPr>
          <w:t>[4]</w:t>
        </w:r>
      </w:hyperlink>
      <w:r>
        <w:t xml:space="preserve">. Achieving high accuracy and efficiency in compliance QA is still a key benchmark for success. What has evolved is </w:t>
      </w:r>
      <w:r>
        <w:rPr>
          <w:b/>
          <w:bCs/>
        </w:rPr>
        <w:t>how</w:t>
      </w:r>
      <w:r>
        <w:t xml:space="preserve"> the community approaches this problem: with more specialized models, integrated knowledge bases, and rigorous evaluation of trust. Our project’s multi-phase pipeline (corpus → KG → fine-tuned LLM → RAG → evaluation) aligns well with state-of-the-art approaches, which we detail next.</w:t>
      </w:r>
    </w:p>
    <w:p w14:paraId="4E0C68B2" w14:textId="77777777" w:rsidR="00F31097" w:rsidRDefault="00000000">
      <w:pPr>
        <w:pStyle w:val="Heading2"/>
      </w:pPr>
      <w:bookmarkStart w:id="4" w:name="X871655a2f760f65dba6802a1936e2614dae2ef4"/>
      <w:bookmarkEnd w:id="3"/>
      <w:r>
        <w:t>Current Research Trends and Shifts in the Landscape</w:t>
      </w:r>
    </w:p>
    <w:p w14:paraId="4D1951A6" w14:textId="77777777" w:rsidR="00F31097" w:rsidRDefault="00000000">
      <w:pPr>
        <w:pStyle w:val="Heading3"/>
      </w:pPr>
      <w:bookmarkStart w:id="5" w:name="X5eacd22415aecee2ae704ec8fa2837e0faeaa75"/>
      <w:r>
        <w:t>Domain-Specific LLMs for Legal/Regulatory QA</w:t>
      </w:r>
    </w:p>
    <w:p w14:paraId="5F5E371A" w14:textId="77777777" w:rsidR="00F31097" w:rsidRDefault="00000000">
      <w:pPr>
        <w:pStyle w:val="FirstParagraph"/>
      </w:pPr>
      <w:r>
        <w:t xml:space="preserve">The past two years have seen a surge of </w:t>
      </w:r>
      <w:r>
        <w:rPr>
          <w:b/>
          <w:bCs/>
        </w:rPr>
        <w:t>legal-domain LLMs</w:t>
      </w:r>
      <w:r>
        <w:t xml:space="preserve"> and benchmarks. General models like GPT-4 demonstrated near-human performance on some legal tasks in 2023, but recent work focuses on </w:t>
      </w:r>
      <w:r>
        <w:rPr>
          <w:i/>
          <w:iCs/>
        </w:rPr>
        <w:t>open</w:t>
      </w:r>
      <w:r>
        <w:t xml:space="preserve">, specialized models fine-tuned on legal text. For instance, </w:t>
      </w:r>
      <w:r>
        <w:rPr>
          <w:i/>
          <w:iCs/>
        </w:rPr>
        <w:t>SaulLM-7B</w:t>
      </w:r>
      <w:r>
        <w:t xml:space="preserve"> and </w:t>
      </w:r>
      <w:r>
        <w:rPr>
          <w:i/>
          <w:iCs/>
        </w:rPr>
        <w:t>Lawma-8B</w:t>
      </w:r>
      <w:r>
        <w:t xml:space="preserve"> (2024) are new domain-trained LLMs that </w:t>
      </w:r>
      <w:r>
        <w:rPr>
          <w:i/>
          <w:iCs/>
        </w:rPr>
        <w:t>“show benefits across [legal] analysis, classification, and generation”</w:t>
      </w:r>
      <w:hyperlink r:id="rId9" w:anchor=":~:text=LLMs%20have%20been%20used%20to,align%20snippets%20to%20articles%20and">
        <w:r>
          <w:rPr>
            <w:rStyle w:val="Hyperlink"/>
          </w:rPr>
          <w:t>[5]</w:t>
        </w:r>
      </w:hyperlink>
      <w:hyperlink r:id="rId10" w:anchor=":~:text=specialized%20legal%20LLMs%20%28SaulLM,based">
        <w:r>
          <w:rPr>
            <w:rStyle w:val="Hyperlink"/>
          </w:rPr>
          <w:t>[6]</w:t>
        </w:r>
      </w:hyperlink>
      <w:r>
        <w:t xml:space="preserve">. These models were trained on large legal corpora (cases, statutes, regulations) to better grasp legal language nuances. Their emergence suggests that starting from a </w:t>
      </w:r>
      <w:r>
        <w:rPr>
          <w:b/>
          <w:bCs/>
        </w:rPr>
        <w:t>legal-pretrained LLM</w:t>
      </w:r>
      <w:r>
        <w:t xml:space="preserve"> can give a strong foundation for compliance tasks. This is an update to our plan: rather than using an </w:t>
      </w:r>
      <w:r>
        <w:lastRenderedPageBreak/>
        <w:t>older LegalBERT (which is not generative), we could leverage a modern legal LLM or fine-tune a strong base model (e.g. LLaMA-2 or Falcon) on export control texts. Recent studies confirm the efficacy of QLoRA fine-tuning for domain adaptation – e.g. a 2024 legal NLP study found that a 7B model (Falcon) fine-tuned via QLoRA outperformed larger models on legal violation identification</w:t>
      </w:r>
      <w:hyperlink r:id="rId11" w:anchor=":~:text=prior%20to%20fine,of%20performance%20of%20the%20models">
        <w:r>
          <w:rPr>
            <w:rStyle w:val="Hyperlink"/>
          </w:rPr>
          <w:t>[7]</w:t>
        </w:r>
      </w:hyperlink>
      <w:hyperlink r:id="rId12" w:anchor=":~:text=%28Bernsohn%20et%20al,better%20than%20SOTA%20models%20like">
        <w:r>
          <w:rPr>
            <w:rStyle w:val="Hyperlink"/>
          </w:rPr>
          <w:t>[8]</w:t>
        </w:r>
      </w:hyperlink>
      <w:r>
        <w:t xml:space="preserve">. In short, the trend is toward </w:t>
      </w:r>
      <w:r>
        <w:rPr>
          <w:b/>
          <w:bCs/>
        </w:rPr>
        <w:t>smaller, domain-optimized LLMs</w:t>
      </w:r>
      <w:r>
        <w:t xml:space="preserve"> that achieve robust performance with efficient tuning. For our project, this means prioritizing a solid domain-specific model backbone (possibly starting with an open 7–13B model with legal/regulatory training) and using QLoRA to inject export control expertise.</w:t>
      </w:r>
    </w:p>
    <w:p w14:paraId="3C74CC91" w14:textId="77777777" w:rsidR="00F31097" w:rsidRDefault="00000000">
      <w:pPr>
        <w:pStyle w:val="Heading3"/>
      </w:pPr>
      <w:bookmarkStart w:id="6" w:name="Xd7a3fdb1049710ae8a9764bc27127ac5de8e687"/>
      <w:bookmarkEnd w:id="5"/>
      <w:r>
        <w:t>Retrieval-Augmented Generation with Knowledge Graphs</w:t>
      </w:r>
    </w:p>
    <w:p w14:paraId="67D8B4A2" w14:textId="77777777" w:rsidR="00F31097" w:rsidRDefault="00000000">
      <w:pPr>
        <w:pStyle w:val="FirstParagraph"/>
      </w:pPr>
      <w:r>
        <w:rPr>
          <w:b/>
          <w:bCs/>
        </w:rPr>
        <w:t>RAG for legal QA</w:t>
      </w:r>
      <w:r>
        <w:t xml:space="preserve"> is now a standard approach to improve factual accuracy and reduce hallucinations. The new frontier is </w:t>
      </w:r>
      <w:r>
        <w:rPr>
          <w:b/>
          <w:bCs/>
        </w:rPr>
        <w:t>Graph-augmented RAG (GraphRAG)</w:t>
      </w:r>
      <w:r>
        <w:t>, which integrates knowledge graphs into the retrieval process. This trend is highly pertinent to export compliance, where rules and definitions form a network of interconnected provisions. Recent systems demonstrate that KGs can provide multi-hop reasoning context to LLMs. For example, the GraphRAG framework by Edge et al. (2024) builds an entity graph from documents and pre-computes summaries for communities of nodes</w:t>
      </w:r>
      <w:hyperlink r:id="rId13" w:anchor=":~:text=A%20growing%20body%20of%20work,conditions%20the%20aggregation%20on%20graph">
        <w:r>
          <w:rPr>
            <w:rStyle w:val="Hyperlink"/>
          </w:rPr>
          <w:t>[9]</w:t>
        </w:r>
      </w:hyperlink>
      <w:r>
        <w:t xml:space="preserve">. Other variants like </w:t>
      </w:r>
      <w:r>
        <w:rPr>
          <w:i/>
          <w:iCs/>
        </w:rPr>
        <w:t>HippoRAG</w:t>
      </w:r>
      <w:r>
        <w:t xml:space="preserve"> and </w:t>
      </w:r>
      <w:r>
        <w:rPr>
          <w:i/>
          <w:iCs/>
        </w:rPr>
        <w:t>G-Retriever</w:t>
      </w:r>
      <w:r>
        <w:t xml:space="preserve"> similarly use KGs to navigate complex references (e.g. cross-referenced laws)</w:t>
      </w:r>
      <w:hyperlink r:id="rId14" w:anchor=":~:text=A%20growing%20body%20of%20work,based%20reasoning%C2%A0%28Wen">
        <w:r>
          <w:rPr>
            <w:rStyle w:val="Hyperlink"/>
          </w:rPr>
          <w:t>[10]</w:t>
        </w:r>
      </w:hyperlink>
      <w:r>
        <w:t xml:space="preserve">. In the regulatory domain, a 2025 prototype called </w:t>
      </w:r>
      <w:r>
        <w:rPr>
          <w:b/>
          <w:bCs/>
        </w:rPr>
        <w:t>GraphCompliance</w:t>
      </w:r>
      <w:r>
        <w:t xml:space="preserve"> encodes entire regulations as </w:t>
      </w:r>
      <w:r>
        <w:rPr>
          <w:i/>
          <w:iCs/>
        </w:rPr>
        <w:t>“policy graphs”</w:t>
      </w:r>
      <w:r>
        <w:t xml:space="preserve"> of interconnected obligations, and real-world scenarios as </w:t>
      </w:r>
      <w:r>
        <w:rPr>
          <w:i/>
          <w:iCs/>
        </w:rPr>
        <w:t>“context graphs,”</w:t>
      </w:r>
      <w:r>
        <w:t xml:space="preserve"> then uses a deterministic graph traversal before querying an LLM</w:t>
      </w:r>
      <w:hyperlink r:id="rId15" w:anchor=":~:text=This%20section%20presents%20the%20three,procedures%20appears%20in%20Appendix%C2%A0%2026">
        <w:r>
          <w:rPr>
            <w:rStyle w:val="Hyperlink"/>
          </w:rPr>
          <w:t>[11]</w:t>
        </w:r>
      </w:hyperlink>
      <w:hyperlink r:id="rId16" w:anchor=":~:text=listwise%20LLM%20judgment%20using%20an,results%20at%20the%20article%20level">
        <w:r>
          <w:rPr>
            <w:rStyle w:val="Hyperlink"/>
          </w:rPr>
          <w:t>[12]</w:t>
        </w:r>
      </w:hyperlink>
      <w:r>
        <w:t>. This approach effectively narrows the LLM’s focus to the relevant clauses and handles cross-article logic (exceptions, scope conditions) via graph rules</w:t>
      </w:r>
      <w:hyperlink r:id="rId17" w:anchor=":~:text=combines%20an%20LLM%20,guided">
        <w:r>
          <w:rPr>
            <w:rStyle w:val="Hyperlink"/>
          </w:rPr>
          <w:t>[13]</w:t>
        </w:r>
      </w:hyperlink>
      <w:hyperlink r:id="rId18" w:anchor=":~:text=DPAs%C2%A0%28Hassani%2C%202024%29,before%20the%20LLM%E2%80%99s%20semantic%20judgment">
        <w:r>
          <w:rPr>
            <w:rStyle w:val="Hyperlink"/>
          </w:rPr>
          <w:t>[14]</w:t>
        </w:r>
      </w:hyperlink>
      <w:r>
        <w:t xml:space="preserve">. The key takeaway is that </w:t>
      </w:r>
      <w:r>
        <w:rPr>
          <w:b/>
          <w:bCs/>
        </w:rPr>
        <w:t>knowledge graphs are seen as critical for organizing regulatory knowledge</w:t>
      </w:r>
      <w:r>
        <w:t xml:space="preserve"> and enabling reliable multi-step QA. Our plan to construct an Apache Jena KG of EAR/BIS rules is thus in step with current research. We should ensure our KG captures not just simple triples, but also the structure of the regulations (sections, definitions, cross-references), similar to GraphCompliance’s approach of encoding premises and conditions</w:t>
      </w:r>
      <w:hyperlink r:id="rId19" w:anchor=":~:text=First%2C%20the%20regulatory%20text%20is,permissions%20addressed%20to%20a%20role">
        <w:r>
          <w:rPr>
            <w:rStyle w:val="Hyperlink"/>
          </w:rPr>
          <w:t>[15]</w:t>
        </w:r>
      </w:hyperlink>
      <w:hyperlink r:id="rId20" w:anchor=":~:text=bearing%20actor%20%28e,once%2C%20offline%2C%20by%20an%20LLM">
        <w:r>
          <w:rPr>
            <w:rStyle w:val="Hyperlink"/>
          </w:rPr>
          <w:t>[16]</w:t>
        </w:r>
      </w:hyperlink>
      <w:r>
        <w:t xml:space="preserve">. By leveraging GraphRAG techniques, our RAG pipeline can retrieve not just raw text but a subgraph of pertinent facts, improving both accuracy and transparency. Notably, practitioners report that </w:t>
      </w:r>
      <w:r>
        <w:rPr>
          <w:i/>
          <w:iCs/>
        </w:rPr>
        <w:t>“knowledge graphs combined with LLMs… eliminat[e] hallucination risks”</w:t>
      </w:r>
      <w:r>
        <w:t xml:space="preserve"> in compliance applications</w:t>
      </w:r>
      <w:hyperlink r:id="rId21" w:anchor=":~:text=Knowledge%20graphs%20combined%20with%20LLMs,guidance%20that%20eliminates%20hallucination%20risks">
        <w:r>
          <w:rPr>
            <w:rStyle w:val="Hyperlink"/>
          </w:rPr>
          <w:t>[2]</w:t>
        </w:r>
      </w:hyperlink>
      <w:r>
        <w:t>, a significant claim we can put to test in export control QA.</w:t>
      </w:r>
    </w:p>
    <w:p w14:paraId="7F96A282" w14:textId="77777777" w:rsidR="00F31097" w:rsidRDefault="00000000">
      <w:pPr>
        <w:pStyle w:val="Heading3"/>
      </w:pPr>
      <w:bookmarkStart w:id="7" w:name="Xaf5dacf3d019efc2aa743dfc076cecc19b85e17"/>
      <w:bookmarkEnd w:id="6"/>
      <w:r>
        <w:t>Explainability Expectations and Trustworthy AI</w:t>
      </w:r>
    </w:p>
    <w:p w14:paraId="50E55880" w14:textId="77777777" w:rsidR="00F31097" w:rsidRDefault="00000000">
      <w:pPr>
        <w:pStyle w:val="FirstParagraph"/>
      </w:pPr>
      <w:r>
        <w:rPr>
          <w:b/>
          <w:bCs/>
        </w:rPr>
        <w:t>Explainability</w:t>
      </w:r>
      <w:r>
        <w:t xml:space="preserve"> has moved to the forefront of LLM deployment in legal settings. Regulators and compliance officers explicitly demand AI explanations that demonstrate </w:t>
      </w:r>
      <w:r>
        <w:rPr>
          <w:i/>
          <w:iCs/>
        </w:rPr>
        <w:t>“adherence to governance frameworks”</w:t>
      </w:r>
      <w:hyperlink r:id="rId22" w:anchor=":~:text=considerations%20to%20ensure%20responsible%20AI,explanations%20to%20these%20diverse%20users">
        <w:r>
          <w:rPr>
            <w:rStyle w:val="Hyperlink"/>
          </w:rPr>
          <w:t>[17]</w:t>
        </w:r>
      </w:hyperlink>
      <w:r>
        <w:t xml:space="preserve">. This means our system’s value will be judged not only on accuracy, but on how well it can justify its answers (e.g. citing the export regulation paragraph or policy reasoning behind a decision). Recent research is actively exploring ways to make LLMs’ reasoning more transparent. One promising approach is augmenting LLMs with knowledge graph-based explanations. Dehghani et al. (2025) introduced </w:t>
      </w:r>
      <w:r>
        <w:rPr>
          <w:b/>
          <w:bCs/>
        </w:rPr>
        <w:t>KG-SMILE</w:t>
      </w:r>
      <w:r>
        <w:t xml:space="preserve">, a method that perturbs the KG input to an LLM and identifies which </w:t>
      </w:r>
      <w:r>
        <w:lastRenderedPageBreak/>
        <w:t>entities/relations most influence the answer</w:t>
      </w:r>
      <w:hyperlink r:id="rId23" w:anchor=":~:text=component,influential%20to%20generated%20outputs%2C%20thereby">
        <w:r>
          <w:rPr>
            <w:rStyle w:val="Hyperlink"/>
          </w:rPr>
          <w:t>[18]</w:t>
        </w:r>
      </w:hyperlink>
      <w:hyperlink r:id="rId24" w:anchor=":~:text=match%20at%20L111%20relations%20most,12">
        <w:r>
          <w:rPr>
            <w:rStyle w:val="Hyperlink"/>
          </w:rPr>
          <w:t>[19]</w:t>
        </w:r>
      </w:hyperlink>
      <w:r>
        <w:t xml:space="preserve">. Their goal was to enable GraphRAG systems to </w:t>
      </w:r>
      <w:r>
        <w:rPr>
          <w:i/>
          <w:iCs/>
        </w:rPr>
        <w:t>“not only produce an answer but also explain why that answer was generated”</w:t>
      </w:r>
      <w:r>
        <w:t xml:space="preserve">, a feature noted as </w:t>
      </w:r>
      <w:r>
        <w:rPr>
          <w:i/>
          <w:iCs/>
        </w:rPr>
        <w:t>“essential for building trust in high-stakes domains such as healthcare and law”</w:t>
      </w:r>
      <w:hyperlink r:id="rId25" w:anchor=":~:text=match%20at%20L111%20relations%20most,12">
        <w:r>
          <w:rPr>
            <w:rStyle w:val="Hyperlink"/>
          </w:rPr>
          <w:t>[19]</w:t>
        </w:r>
      </w:hyperlink>
      <w:r>
        <w:t xml:space="preserve">. This reflects a broader trend: </w:t>
      </w:r>
      <w:r>
        <w:rPr>
          <w:b/>
          <w:bCs/>
        </w:rPr>
        <w:t>post-hoc explainability techniques for LLM+KG pipelines</w:t>
      </w:r>
      <w:r>
        <w:t>, measuring attributes like fidelity, consistency, and stability of explanations</w:t>
      </w:r>
      <w:hyperlink r:id="rId26" w:anchor=":~:text=making%20RAG%20more%20transparent,to%20balance%20model%20effectiveness%20with">
        <w:r>
          <w:rPr>
            <w:rStyle w:val="Hyperlink"/>
          </w:rPr>
          <w:t>[20]</w:t>
        </w:r>
      </w:hyperlink>
      <w:hyperlink r:id="rId27" w:anchor=":~:text=The%20goal%20of%20this%20study,13%2C%2014%2C%2015">
        <w:r>
          <w:rPr>
            <w:rStyle w:val="Hyperlink"/>
          </w:rPr>
          <w:t>[21]</w:t>
        </w:r>
      </w:hyperlink>
      <w:r>
        <w:t>. We should consider incorporating similar techniques – for example, after our LLM answers a compliance question using KG context, the system could highlight which KG triples or documents were most pivotal in its reasoning. Even simpler, ensuring the model provides source citations (as in retrieval-augmented prompting) is now a baseline expectation for trustworthy output.</w:t>
      </w:r>
    </w:p>
    <w:p w14:paraId="09810956" w14:textId="77777777" w:rsidR="00F31097" w:rsidRDefault="00000000">
      <w:pPr>
        <w:pStyle w:val="BodyText"/>
      </w:pPr>
      <w:r>
        <w:t xml:space="preserve">Another dimension of trustworthiness is </w:t>
      </w:r>
      <w:r>
        <w:rPr>
          <w:b/>
          <w:bCs/>
        </w:rPr>
        <w:t>groundedness</w:t>
      </w:r>
      <w:r>
        <w:t xml:space="preserve">, meaning the LLM’s answers should stay faithful to the evidence. In legal QA, this has become such a priority that new benchmarks emerged to quantify it. Trautmann et al. (2024) developed a benchmark for </w:t>
      </w:r>
      <w:r>
        <w:rPr>
          <w:i/>
          <w:iCs/>
        </w:rPr>
        <w:t>“measuring the groundedness of legal question-answering systems,”</w:t>
      </w:r>
      <w:r>
        <w:t xml:space="preserve"> using similarity metrics and inference models to check if model-generated answers align with provided context</w:t>
      </w:r>
      <w:hyperlink r:id="rId28" w:anchor=":~:text=In%20high,and%20corresponding%20responses%20from%20retrieval">
        <w:r>
          <w:rPr>
            <w:rStyle w:val="Hyperlink"/>
          </w:rPr>
          <w:t>[22]</w:t>
        </w:r>
      </w:hyperlink>
      <w:hyperlink r:id="rId29" w:anchor=":~:text=specifically%20for%20legal%20queries%20and,generative%20AI%20in%20legal%20settings">
        <w:r>
          <w:rPr>
            <w:rStyle w:val="Hyperlink"/>
          </w:rPr>
          <w:t>[23]</w:t>
        </w:r>
      </w:hyperlink>
      <w:r>
        <w:t>. Their best methods achieved a macro F1 ≈ 0.80 in classifying answers as grounded or not</w:t>
      </w:r>
      <w:hyperlink r:id="rId30" w:anchor=":~:text=of%20AI,in%20groundedness%20classification%20of%20generated">
        <w:r>
          <w:rPr>
            <w:rStyle w:val="Hyperlink"/>
          </w:rPr>
          <w:t>[24]</w:t>
        </w:r>
      </w:hyperlink>
      <w:hyperlink r:id="rId31" w:anchor=":~:text=results%20indicate%20potential%20in%20groundedness,generative%20AI%20in%20legal%20settings">
        <w:r>
          <w:rPr>
            <w:rStyle w:val="Hyperlink"/>
          </w:rPr>
          <w:t>[25]</w:t>
        </w:r>
      </w:hyperlink>
      <w:r>
        <w:t>, illustrating both the progress and the room for improvement in ensuring LLM responses stick to the source. We can leverage such metrics in our evaluation phase – essentially asking, for each answer, did the model correctly utilize the regulatory text (or KG) to support its conclusion? High groundedness will be crucial for user trust, since a compliance error can have serious consequences.</w:t>
      </w:r>
    </w:p>
    <w:p w14:paraId="364FCBC2" w14:textId="77777777" w:rsidR="00F31097" w:rsidRDefault="00000000">
      <w:pPr>
        <w:pStyle w:val="BodyText"/>
      </w:pPr>
      <w:r>
        <w:t xml:space="preserve">Finally, </w:t>
      </w:r>
      <w:r>
        <w:rPr>
          <w:b/>
          <w:bCs/>
        </w:rPr>
        <w:t>evaluation practices</w:t>
      </w:r>
      <w:r>
        <w:t xml:space="preserve"> themselves have shifted. There is growing scrutiny on using LLMs as evaluators of other LLM outputs (the so-called “LLM-as-a-judge” approach). A recent meta-evaluation called </w:t>
      </w:r>
      <w:r>
        <w:rPr>
          <w:b/>
          <w:bCs/>
        </w:rPr>
        <w:t>GroUSE</w:t>
      </w:r>
      <w:r>
        <w:t xml:space="preserve"> (Müller et al., 2025) revealed that automated RAG evaluation pipelines often </w:t>
      </w:r>
      <w:r>
        <w:rPr>
          <w:i/>
          <w:iCs/>
        </w:rPr>
        <w:t>“overlook important failure modes, even when using GPT-4 as a judge.”</w:t>
      </w:r>
      <w:hyperlink r:id="rId32" w:anchor=":~:text=bases,closed%20models%20perform%20well%20on">
        <w:r>
          <w:rPr>
            <w:rStyle w:val="Hyperlink"/>
          </w:rPr>
          <w:t>[26]</w:t>
        </w:r>
      </w:hyperlink>
      <w:hyperlink r:id="rId33" w:anchor=":~:text=evaluation%20benchmark%20of%20144%20unit,supplemented%20with%20evaluations%20on%20unit">
        <w:r>
          <w:rPr>
            <w:rStyle w:val="Hyperlink"/>
          </w:rPr>
          <w:t>[27]</w:t>
        </w:r>
      </w:hyperlink>
      <w:r>
        <w:t xml:space="preserve">. In other words, just because an answer passes superficial checks (or gets a high score from a generic metric) doesn’t mean it’s truly reliable. GroUSE identified seven specific failure modes in grounded QA, suggesting we should incorporate targeted tests – for example, checking if the model sometimes cites irrelevant sources, or misses a necessary regulation clause. This reinforces that our evaluation must go beyond raw accuracy: we will include </w:t>
      </w:r>
      <w:r>
        <w:rPr>
          <w:b/>
          <w:bCs/>
        </w:rPr>
        <w:t>groundedness checks, factual consistency verification, and possibly human expert review</w:t>
      </w:r>
      <w:r>
        <w:t xml:space="preserve"> on a sample of outputs to catch subtle errors. The landscape’s message is clear: </w:t>
      </w:r>
      <w:r>
        <w:rPr>
          <w:i/>
          <w:iCs/>
        </w:rPr>
        <w:t>trustworthy AI</w:t>
      </w:r>
      <w:r>
        <w:t xml:space="preserve"> in regulated domains requires rigorous validation of both answers and explanations. Our project should thus prioritize metrics like compliance correctness, explanation fidelity, and user-oriented trust measures (e.g. does the user feel more confident and faster with the tool?).</w:t>
      </w:r>
    </w:p>
    <w:p w14:paraId="2E48AF10" w14:textId="77777777" w:rsidR="00F31097" w:rsidRDefault="00000000">
      <w:pPr>
        <w:pStyle w:val="Heading2"/>
      </w:pPr>
      <w:bookmarkStart w:id="8" w:name="X2db4b47e4fa765a8fb1cb932e749c63778cdd8d"/>
      <w:bookmarkEnd w:id="4"/>
      <w:bookmarkEnd w:id="7"/>
      <w:r>
        <w:t>Gaps and Challenges (Opportunities &amp; Pitfalls)</w:t>
      </w:r>
    </w:p>
    <w:p w14:paraId="3570CDA2" w14:textId="77777777" w:rsidR="00F31097" w:rsidRDefault="00000000">
      <w:pPr>
        <w:pStyle w:val="FirstParagraph"/>
      </w:pPr>
      <w:r>
        <w:t xml:space="preserve">Despite the progress, there are notable </w:t>
      </w:r>
      <w:r>
        <w:rPr>
          <w:b/>
          <w:bCs/>
        </w:rPr>
        <w:t>gaps</w:t>
      </w:r>
      <w:r>
        <w:t xml:space="preserve"> in the current landscape that our research can target:</w:t>
      </w:r>
    </w:p>
    <w:p w14:paraId="438D8B01" w14:textId="77777777" w:rsidR="00F31097" w:rsidRDefault="00000000">
      <w:pPr>
        <w:numPr>
          <w:ilvl w:val="0"/>
          <w:numId w:val="2"/>
        </w:numPr>
      </w:pPr>
      <w:r>
        <w:rPr>
          <w:b/>
          <w:bCs/>
        </w:rPr>
        <w:lastRenderedPageBreak/>
        <w:t>Comprehensive Compliance Reasoning:</w:t>
      </w:r>
      <w:r>
        <w:t xml:space="preserve"> Many existing “regulatory LLM” efforts have focused on narrow tasks like QA or summarization of legal texts. Few systems perform full </w:t>
      </w:r>
      <w:r>
        <w:rPr>
          <w:b/>
          <w:bCs/>
        </w:rPr>
        <w:t>regulation-wide compliance checking</w:t>
      </w:r>
      <w:r>
        <w:t xml:space="preserve"> with explicit violation detection</w:t>
      </w:r>
      <w:hyperlink r:id="rId34" w:anchor=":~:text=explicit%20violation%20attribution%E2%80%94remains%20scarce,specific">
        <w:r>
          <w:rPr>
            <w:rStyle w:val="Hyperlink"/>
          </w:rPr>
          <w:t>[28]</w:t>
        </w:r>
      </w:hyperlink>
      <w:r>
        <w:t xml:space="preserve">. This indicates a gap in connecting QA capabilities with the </w:t>
      </w:r>
      <w:r>
        <w:rPr>
          <w:i/>
          <w:iCs/>
        </w:rPr>
        <w:t>structured logic</w:t>
      </w:r>
      <w:r>
        <w:t xml:space="preserve"> of regulations. Our KG approach can fill this gap by mapping rules and exceptions in a way the LLM can systematically traverse. We should avoid limiting ourselves to superficial Q&amp;A; instead, aim for the model to handle multi-step compliance reasoning (e.g. determining if an export is allowed </w:t>
      </w:r>
      <w:r>
        <w:rPr>
          <w:i/>
          <w:iCs/>
        </w:rPr>
        <w:t>and</w:t>
      </w:r>
      <w:r>
        <w:t xml:space="preserve"> explaining which clause exempts or forbids it).</w:t>
      </w:r>
    </w:p>
    <w:p w14:paraId="281A8653" w14:textId="57938ECE" w:rsidR="00F31097" w:rsidRDefault="00000000">
      <w:pPr>
        <w:numPr>
          <w:ilvl w:val="0"/>
          <w:numId w:val="2"/>
        </w:numPr>
      </w:pPr>
      <w:r>
        <w:rPr>
          <w:b/>
          <w:bCs/>
        </w:rPr>
        <w:t>Explainability Techniques Are Emerging, Not Mature:</w:t>
      </w:r>
      <w:r>
        <w:t xml:space="preserve"> While methods like KG-SMILE are promising, explainable LLM usage in practice is still in early stages</w:t>
      </w:r>
      <w:hyperlink r:id="rId35" w:anchor=":~:text=match%20at%20L72%20Retrieval,LLMs">
        <w:r>
          <w:rPr>
            <w:rStyle w:val="Hyperlink"/>
          </w:rPr>
          <w:t>[29]</w:t>
        </w:r>
      </w:hyperlink>
      <w:hyperlink r:id="rId36" w:anchor=":~:text=relations%20most%20influential%20to%20each,12">
        <w:r>
          <w:rPr>
            <w:rStyle w:val="Hyperlink"/>
          </w:rPr>
          <w:t>[30]</w:t>
        </w:r>
      </w:hyperlink>
      <w:r>
        <w:t xml:space="preserve">. There is no one-size explanation approach; this area is not yet saturated. A challenge (and research contribution) for us is to develop explanations that are </w:t>
      </w:r>
      <w:r>
        <w:rPr>
          <w:b/>
          <w:bCs/>
        </w:rPr>
        <w:t>meaningful to end-users (compliance officers)</w:t>
      </w:r>
      <w:r>
        <w:t xml:space="preserve">. We should be cautious not to overload users with technical attributions. Instead, focus on intuitive explanations – for example, highlighting the specific regulation text and any prior case or precedent the model considered. The gap here is balancing </w:t>
      </w:r>
      <w:r>
        <w:rPr>
          <w:b/>
          <w:bCs/>
        </w:rPr>
        <w:t>faithfulness</w:t>
      </w:r>
      <w:r>
        <w:t xml:space="preserve"> (the explanation reflects the true model reasoning) and </w:t>
      </w:r>
      <w:r>
        <w:rPr>
          <w:b/>
          <w:bCs/>
        </w:rPr>
        <w:t>usability</w:t>
      </w:r>
      <w:r>
        <w:t xml:space="preserve"> (the explanation is understandable)</w:t>
      </w:r>
      <w:hyperlink r:id="rId37" w:anchor=":~:text=considerations%20to%20ensure%20responsible%20AI,explanations%20to%20these%20diverse%20users">
        <w:r>
          <w:rPr>
            <w:rStyle w:val="Hyperlink"/>
          </w:rPr>
          <w:t>[17]</w:t>
        </w:r>
      </w:hyperlink>
      <w:hyperlink r:id="rId38" w:anchor=":~:text=Evaluation%20Metrics%20for%20Explainability%20Evaluating,Plausibility%20focuses%20on">
        <w:r>
          <w:rPr>
            <w:rStyle w:val="Hyperlink"/>
          </w:rPr>
          <w:t>[31]</w:t>
        </w:r>
      </w:hyperlink>
      <w:r>
        <w:t>. This balance will be a key research question for us.</w:t>
      </w:r>
      <w:r w:rsidR="007400CD">
        <w:t xml:space="preserve"> This could be in the output reports and integrated into a user-facing GUI.</w:t>
      </w:r>
    </w:p>
    <w:p w14:paraId="1C9FD347" w14:textId="77777777" w:rsidR="00F31097" w:rsidRDefault="00000000">
      <w:pPr>
        <w:numPr>
          <w:ilvl w:val="0"/>
          <w:numId w:val="2"/>
        </w:numPr>
      </w:pPr>
      <w:r>
        <w:rPr>
          <w:b/>
          <w:bCs/>
        </w:rPr>
        <w:t>Robustness and Coverage:</w:t>
      </w:r>
      <w:r>
        <w:t xml:space="preserve"> Our target of 90% accuracy is ambitious, and current literature suggests that even state-of-the-art models can struggle with corner cases in legal text. A persistent gap is how to handle </w:t>
      </w:r>
      <w:r>
        <w:rPr>
          <w:b/>
          <w:bCs/>
        </w:rPr>
        <w:t>edge cases and updates</w:t>
      </w:r>
      <w:r>
        <w:t xml:space="preserve"> – e.g. a subtle clause change in EAR, or an unusual product classification question. We must ensure our corpus stays updated (perhaps including the latest “2025–2026 export enforcement guidance”) and that the system can gracefully handle unknowns (by deferring to human or stating uncertainty, rather than guessing incorrectly). Avoiding hallucinations or false certainty is critical in compliance, so we might incorporate conservative generation strategies (e.g. the LLM should refrain from answering if not confident or not grounded in retrieved data).</w:t>
      </w:r>
    </w:p>
    <w:p w14:paraId="3A791C51" w14:textId="77777777" w:rsidR="00F31097" w:rsidRDefault="00000000">
      <w:pPr>
        <w:numPr>
          <w:ilvl w:val="0"/>
          <w:numId w:val="2"/>
        </w:numPr>
      </w:pPr>
      <w:r>
        <w:rPr>
          <w:b/>
          <w:bCs/>
        </w:rPr>
        <w:t>Evaluation and Human-in-the-Loop:</w:t>
      </w:r>
      <w:r>
        <w:t xml:space="preserve"> As noted, evaluating a compliance QA system is tricky. A gap in many research projects so far is </w:t>
      </w:r>
      <w:r>
        <w:rPr>
          <w:b/>
          <w:bCs/>
        </w:rPr>
        <w:t>real-world user evaluation</w:t>
      </w:r>
      <w:r>
        <w:t xml:space="preserve"> – measuring how the AI affects human workflow. It’s one thing to score accuracy on a test set; it’s another to show that a compliance officer actually completes reviews in 50% less time with the AI’s help. This human factor evaluation is often missing (or oversimplified) in current literature, so it’s an area we should focus on. We’ll need to design a user study or simulation to quantify time savings and error reduction in practice. Ensuring grounded answers (per NLLP 2024 metrics) and reliable evaluator models (per GroUSE findings) are part of this, but ultimately a </w:t>
      </w:r>
      <w:r>
        <w:rPr>
          <w:i/>
          <w:iCs/>
        </w:rPr>
        <w:t>human</w:t>
      </w:r>
      <w:r>
        <w:t xml:space="preserve"> judge of the system’s utility is the gold standard.</w:t>
      </w:r>
    </w:p>
    <w:p w14:paraId="53401AE1" w14:textId="77777777" w:rsidR="00F31097" w:rsidRDefault="00000000">
      <w:pPr>
        <w:pStyle w:val="FirstParagraph"/>
      </w:pPr>
      <w:r>
        <w:lastRenderedPageBreak/>
        <w:t xml:space="preserve">Meanwhile, some </w:t>
      </w:r>
      <w:r>
        <w:rPr>
          <w:b/>
          <w:bCs/>
        </w:rPr>
        <w:t>areas are becoming crowded or less novel</w:t>
      </w:r>
      <w:r>
        <w:t xml:space="preserve">, suggesting where we should </w:t>
      </w:r>
      <w:r>
        <w:rPr>
          <w:b/>
          <w:bCs/>
        </w:rPr>
        <w:t>avoid spending too much effort</w:t>
      </w:r>
      <w:r>
        <w:t>:</w:t>
      </w:r>
    </w:p>
    <w:p w14:paraId="5D540034" w14:textId="77777777" w:rsidR="00F31097" w:rsidRDefault="00000000">
      <w:pPr>
        <w:numPr>
          <w:ilvl w:val="0"/>
          <w:numId w:val="3"/>
        </w:numPr>
      </w:pPr>
      <w:r>
        <w:rPr>
          <w:i/>
          <w:iCs/>
        </w:rPr>
        <w:t>Generic Legal QA without Novelty:</w:t>
      </w:r>
      <w:r>
        <w:t xml:space="preserve"> Simply fine-tuning an LLM on legal Q&amp;A or doing a basic RAG is now commonplace. Many benchmarks (e.g. LexGLUE, LegalBench) have spurred numerous Q&amp;A models. We need to differentiate by focusing on </w:t>
      </w:r>
      <w:r>
        <w:rPr>
          <w:b/>
          <w:bCs/>
        </w:rPr>
        <w:t>export control as a domain</w:t>
      </w:r>
      <w:r>
        <w:t xml:space="preserve"> and the integration of KG-based reasoning. Avoid rehashing generic ChatGPT-vs-lawyer style evaluations – the novelty lies in grounded, explainable compliance answers, not just any legal answer.</w:t>
      </w:r>
    </w:p>
    <w:p w14:paraId="7A98BC41" w14:textId="77777777" w:rsidR="00F31097" w:rsidRDefault="00000000">
      <w:pPr>
        <w:numPr>
          <w:ilvl w:val="0"/>
          <w:numId w:val="3"/>
        </w:numPr>
      </w:pPr>
      <w:r>
        <w:rPr>
          <w:i/>
          <w:iCs/>
        </w:rPr>
        <w:t>Basic Citation Addition:</w:t>
      </w:r>
      <w:r>
        <w:t xml:space="preserve"> Having the LLM cite sources is expected now for trustworthy outputs. While we will certainly include this, it’s not a publishable innovation by itself. We should go beyond, e.g. by evaluating the </w:t>
      </w:r>
      <w:r>
        <w:rPr>
          <w:i/>
          <w:iCs/>
        </w:rPr>
        <w:t>quality</w:t>
      </w:r>
      <w:r>
        <w:t xml:space="preserve"> of citations or implementing deeper explanations (like tracing how a particular regulation clause influenced the answer). In short, we won’t hang our hat solely on “our LLM outputs cite the regulations” – that’s necessary but no longer sufficient to impress reviewers or users.</w:t>
      </w:r>
    </w:p>
    <w:p w14:paraId="507B02FF" w14:textId="77777777" w:rsidR="00F31097" w:rsidRDefault="00000000">
      <w:pPr>
        <w:numPr>
          <w:ilvl w:val="0"/>
          <w:numId w:val="3"/>
        </w:numPr>
      </w:pPr>
      <w:r>
        <w:rPr>
          <w:i/>
          <w:iCs/>
        </w:rPr>
        <w:t>Overemphasis on Model Size:</w:t>
      </w:r>
      <w:r>
        <w:t xml:space="preserve"> Recent studies (e.g. LegalEval-Q) indicate that beyond a certain point (around 14B parameters), larger model size yields diminishing returns on legal tasks</w:t>
      </w:r>
      <w:hyperlink r:id="rId39" w:anchor=":~:text=Our%20analysis%20identifies%20three%20key,LLMs%20but%20also%20uncovers%20fundamental">
        <w:r>
          <w:rPr>
            <w:rStyle w:val="Hyperlink"/>
          </w:rPr>
          <w:t>[32]</w:t>
        </w:r>
      </w:hyperlink>
      <w:hyperlink r:id="rId40" w:anchor=":~:text=14%20billion%20parameters%2C%20with%20only,Code%20and%20models%20are">
        <w:r>
          <w:rPr>
            <w:rStyle w:val="Hyperlink"/>
          </w:rPr>
          <w:t>[33]</w:t>
        </w:r>
      </w:hyperlink>
      <w:r>
        <w:t>. Instead of racing for the biggest model, the field is shifting toward data quality and efficient fine-tuning. We should avoid overspending effort on scaling up model size or training from scratch. QLoRA on a good base, plus high-quality knowledge integration, is the pragmatic approach favored in 2025.</w:t>
      </w:r>
    </w:p>
    <w:p w14:paraId="1A2ED45E" w14:textId="77777777" w:rsidR="00F31097" w:rsidRDefault="00000000">
      <w:pPr>
        <w:pStyle w:val="FirstParagraph"/>
      </w:pPr>
      <w:r>
        <w:t>By targeting the above gaps and steering clear of oversaturated tricks, we position our research to make a fresh contribution.</w:t>
      </w:r>
    </w:p>
    <w:p w14:paraId="1195EAED" w14:textId="77777777" w:rsidR="00F31097" w:rsidRDefault="00000000">
      <w:pPr>
        <w:pStyle w:val="Heading2"/>
      </w:pPr>
      <w:bookmarkStart w:id="9" w:name="updated-research-focus-and-questions"/>
      <w:bookmarkEnd w:id="8"/>
      <w:r>
        <w:t>Updated Research Focus and Questions</w:t>
      </w:r>
    </w:p>
    <w:p w14:paraId="3F62323B" w14:textId="77777777" w:rsidR="00F31097" w:rsidRDefault="00000000">
      <w:pPr>
        <w:pStyle w:val="FirstParagraph"/>
      </w:pPr>
      <w:r>
        <w:t xml:space="preserve">Given the current landscape, we recommend </w:t>
      </w:r>
      <w:r>
        <w:rPr>
          <w:b/>
          <w:bCs/>
        </w:rPr>
        <w:t>refining the research framing</w:t>
      </w:r>
      <w:r>
        <w:t xml:space="preserve"> to emphasize not just accuracy and efficiency, but also groundedness, explainability, and compliance trust. The core question can be expanded into a few key sub-questions:</w:t>
      </w:r>
    </w:p>
    <w:p w14:paraId="352DDAC0" w14:textId="77777777" w:rsidR="00F31097" w:rsidRDefault="00000000">
      <w:pPr>
        <w:numPr>
          <w:ilvl w:val="0"/>
          <w:numId w:val="4"/>
        </w:numPr>
      </w:pPr>
      <w:r>
        <w:rPr>
          <w:b/>
          <w:bCs/>
        </w:rPr>
        <w:t>Primary Efficacy Goal:</w:t>
      </w:r>
      <w:r>
        <w:t xml:space="preserve"> </w:t>
      </w:r>
      <w:r>
        <w:rPr>
          <w:i/>
          <w:iCs/>
        </w:rPr>
        <w:t>Can our KG-augmented RAG LLM achieve expert-level performance on export compliance Q&amp;A?</w:t>
      </w:r>
      <w:r>
        <w:t xml:space="preserve"> – This still entails the ~90% accuracy target, but we will measure performance not only in simple accuracy terms, but also in </w:t>
      </w:r>
      <w:r>
        <w:rPr>
          <w:b/>
          <w:bCs/>
        </w:rPr>
        <w:t>grounded accuracy</w:t>
      </w:r>
      <w:r>
        <w:t xml:space="preserve"> (answers supported by correct regulatory references). Success means the AI answers are both correct and verifiably derived from the regulations (ideally with an evidence overlap score ≈1.0 on a benchmark</w:t>
      </w:r>
      <w:hyperlink r:id="rId41" w:anchor=":~:text=,reference%20answer%20ar%20from%20LLMgen">
        <w:r>
          <w:rPr>
            <w:rStyle w:val="Hyperlink"/>
          </w:rPr>
          <w:t>[34]</w:t>
        </w:r>
      </w:hyperlink>
      <w:hyperlink r:id="rId42" w:anchor=":~:text=Once%20the%20system%20retrieves%20relevant,model%20LLMeval%20or%20a%20domain">
        <w:r>
          <w:rPr>
            <w:rStyle w:val="Hyperlink"/>
          </w:rPr>
          <w:t>[35]</w:t>
        </w:r>
      </w:hyperlink>
      <w:r>
        <w:t>).</w:t>
      </w:r>
    </w:p>
    <w:p w14:paraId="3B2DBF02" w14:textId="77777777" w:rsidR="00F31097" w:rsidRDefault="00000000">
      <w:pPr>
        <w:numPr>
          <w:ilvl w:val="0"/>
          <w:numId w:val="4"/>
        </w:numPr>
      </w:pPr>
      <w:r>
        <w:rPr>
          <w:b/>
          <w:bCs/>
        </w:rPr>
        <w:t>Efficiency and Human-in-the-Loop:</w:t>
      </w:r>
      <w:r>
        <w:t xml:space="preserve"> </w:t>
      </w:r>
      <w:r>
        <w:rPr>
          <w:i/>
          <w:iCs/>
        </w:rPr>
        <w:t>Does the system demonstrably reduce human review time by around 50%, without sacrificing quality?</w:t>
      </w:r>
      <w:r>
        <w:t xml:space="preserve"> – This addresses the original efficiency claim. We will conduct timed evaluations or user studies to compare compliance review workflows </w:t>
      </w:r>
      <w:r>
        <w:rPr>
          <w:b/>
          <w:bCs/>
        </w:rPr>
        <w:t>with vs. without the AI assistant</w:t>
      </w:r>
      <w:r>
        <w:t xml:space="preserve">. The updated </w:t>
      </w:r>
      <w:r>
        <w:lastRenderedPageBreak/>
        <w:t xml:space="preserve">framing here is to ensure that any time savings do not come at the cost of errors slipping through. A related question: </w:t>
      </w:r>
      <w:r>
        <w:rPr>
          <w:i/>
          <w:iCs/>
        </w:rPr>
        <w:t>How do users (compliance officers) interact with the explanations and answers?</w:t>
      </w:r>
      <w:r>
        <w:t xml:space="preserve"> If the AI can shorten document search and provide immediate rationale, we expect significant time reduction. We’ll document usability issues as part of this sub-question (e.g. if reviewers spend extra time double-checking AI citations, that’s counterproductive and we’d adjust the approach).</w:t>
      </w:r>
    </w:p>
    <w:p w14:paraId="65057F99" w14:textId="77777777" w:rsidR="00F31097" w:rsidRDefault="00000000">
      <w:pPr>
        <w:numPr>
          <w:ilvl w:val="0"/>
          <w:numId w:val="4"/>
        </w:numPr>
      </w:pPr>
      <w:r>
        <w:rPr>
          <w:b/>
          <w:bCs/>
        </w:rPr>
        <w:t>Explainability and Trust:</w:t>
      </w:r>
      <w:r>
        <w:t xml:space="preserve"> </w:t>
      </w:r>
      <w:r>
        <w:rPr>
          <w:i/>
          <w:iCs/>
        </w:rPr>
        <w:t>What explainability features most enhance user trust in AI-driven compliance, and how effective are they?</w:t>
      </w:r>
      <w:r>
        <w:t xml:space="preserve"> – Here we investigate which forms of explanation (knowledge graph traces, relevant law excerpts, risk scores, etc.) best convince a user that the answer is reliable. We can frame this as comparing variants of our system: e.g. </w:t>
      </w:r>
      <w:r>
        <w:rPr>
          <w:i/>
          <w:iCs/>
        </w:rPr>
        <w:t>LLM w/ text retrieval vs. LLM w/ KG retrieval vs. LLM w/ KG retrieval + explanation module.</w:t>
      </w:r>
      <w:r>
        <w:t xml:space="preserve"> We will measure </w:t>
      </w:r>
      <w:r>
        <w:rPr>
          <w:b/>
          <w:bCs/>
        </w:rPr>
        <w:t>user trust and understanding</w:t>
      </w:r>
      <w:r>
        <w:t xml:space="preserve">, perhaps via a survey or by the correctness of decisions users make with the AI’s explanation. This sub-question recognizes that explainability itself can be evaluated – e.g. through </w:t>
      </w:r>
      <w:r>
        <w:rPr>
          <w:i/>
          <w:iCs/>
        </w:rPr>
        <w:t>faithfulness metrics</w:t>
      </w:r>
      <w:r>
        <w:t xml:space="preserve"> or simply user preference. It aligns with the current emphasis that explanations should be </w:t>
      </w:r>
      <w:r>
        <w:rPr>
          <w:i/>
          <w:iCs/>
        </w:rPr>
        <w:t>faithful and actionable</w:t>
      </w:r>
      <w:r>
        <w:t xml:space="preserve"> in regulated domains</w:t>
      </w:r>
      <w:hyperlink r:id="rId43" w:anchor=":~:text=Evaluation%20Metrics%20for%20Explainability%20Evaluating,Plausibility%20focuses%20on">
        <w:r>
          <w:rPr>
            <w:rStyle w:val="Hyperlink"/>
          </w:rPr>
          <w:t>[31]</w:t>
        </w:r>
      </w:hyperlink>
      <w:hyperlink r:id="rId44" w:anchor=":~:text=commonly%20assessed%20through%20human%20judgment,Jin%2C%202025%5D.%20Comprehensiveness">
        <w:r>
          <w:rPr>
            <w:rStyle w:val="Hyperlink"/>
          </w:rPr>
          <w:t>[36]</w:t>
        </w:r>
      </w:hyperlink>
      <w:r>
        <w:t>.</w:t>
      </w:r>
    </w:p>
    <w:p w14:paraId="1EFD028D" w14:textId="77777777" w:rsidR="00F31097" w:rsidRDefault="00000000">
      <w:pPr>
        <w:numPr>
          <w:ilvl w:val="0"/>
          <w:numId w:val="4"/>
        </w:numPr>
      </w:pPr>
      <w:r>
        <w:rPr>
          <w:b/>
          <w:bCs/>
        </w:rPr>
        <w:t>Robustness and Compliance Alignment:</w:t>
      </w:r>
      <w:r>
        <w:t xml:space="preserve"> </w:t>
      </w:r>
      <w:r>
        <w:rPr>
          <w:i/>
          <w:iCs/>
        </w:rPr>
        <w:t>Can the system maintain compliance with policy changes and avoid critical failures?</w:t>
      </w:r>
      <w:r>
        <w:t xml:space="preserve"> – In the dynamic regulatory environment (export rules can change with geopolitical events), we might ask how the approach can adapt. While this may be beyond a single research paper’s scope, we can include a sub-experiment: feed the system a slightly updated regulation or a hypothetically new rule and see if it handles it (perhaps via updating the KG). Also, we will deliberately test some </w:t>
      </w:r>
      <w:r>
        <w:rPr>
          <w:b/>
          <w:bCs/>
        </w:rPr>
        <w:t>corner cases</w:t>
      </w:r>
      <w:r>
        <w:t xml:space="preserve"> (the “failure modes” from GroUSE) to ensure the system doesn’t produce ungrounded or biased answers. For example, if asked an irrelevant or trick question outside its knowledge, does it appropriately defer? Our framing should explicitly cover </w:t>
      </w:r>
      <w:r>
        <w:rPr>
          <w:b/>
          <w:bCs/>
        </w:rPr>
        <w:t>trustworthy AI concerns</w:t>
      </w:r>
      <w:r>
        <w:t xml:space="preserve"> like avoiding unauthorized advice or biased outputs.</w:t>
      </w:r>
    </w:p>
    <w:p w14:paraId="6B579943" w14:textId="77777777" w:rsidR="00F31097" w:rsidRDefault="00000000">
      <w:pPr>
        <w:pStyle w:val="FirstParagraph"/>
      </w:pPr>
      <w:r>
        <w:t xml:space="preserve">By addressing these refined questions, we modernize the project to meet </w:t>
      </w:r>
      <w:r>
        <w:rPr>
          <w:b/>
          <w:bCs/>
        </w:rPr>
        <w:t>2025 expectations</w:t>
      </w:r>
      <w:r>
        <w:t xml:space="preserve">. The narrative becomes: </w:t>
      </w:r>
      <w:r>
        <w:rPr>
          <w:i/>
          <w:iCs/>
        </w:rPr>
        <w:t>We aim to build a regulatory compliance assistant that is not only accurate and efficient, but also transparent, robust, and aligned with emerging AI governance standards.</w:t>
      </w:r>
      <w:r>
        <w:t xml:space="preserve"> This broadened scope will appeal to both technical audiences (who value the KG+LLM innovation and new metrics) and compliance professionals (who care about reliability and real-world utility).</w:t>
      </w:r>
    </w:p>
    <w:p w14:paraId="1A9F8878" w14:textId="77777777" w:rsidR="00F31097" w:rsidRDefault="00000000">
      <w:pPr>
        <w:pStyle w:val="Heading2"/>
      </w:pPr>
      <w:bookmarkStart w:id="10" w:name="Xac131de5f04e8392d126ac66ab27ec443e0a5c9"/>
      <w:bookmarkEnd w:id="9"/>
      <w:r>
        <w:t>Publication Plan: Target Venues and Rationale</w:t>
      </w:r>
    </w:p>
    <w:p w14:paraId="75431113" w14:textId="77777777" w:rsidR="00F31097" w:rsidRDefault="00000000">
      <w:pPr>
        <w:pStyle w:val="FirstParagraph"/>
      </w:pPr>
      <w:r>
        <w:t>For disseminating this research, we will target venues that appreciate the intersection of AI, law/regulation, and safety/trust:</w:t>
      </w:r>
    </w:p>
    <w:p w14:paraId="28F2E98F" w14:textId="77777777" w:rsidR="00F31097" w:rsidRDefault="00000000">
      <w:pPr>
        <w:numPr>
          <w:ilvl w:val="0"/>
          <w:numId w:val="5"/>
        </w:numPr>
      </w:pPr>
      <w:r>
        <w:rPr>
          <w:b/>
          <w:bCs/>
          <w:i/>
          <w:iCs/>
        </w:rPr>
        <w:lastRenderedPageBreak/>
        <w:t>Artificial Intelligence and Law</w:t>
      </w:r>
      <w:r>
        <w:t xml:space="preserve"> (Springer journal) – A specialized, peer-reviewed journal focused on AI applications in legal contexts. Our work fits squarely into its scope, as we are applying NLP/ML techniques to legal/regulatory reasoning. This journal will value our contribution to explainable legal AI, and the audience includes both AI researchers and legal scholars. A recent trend in the journal is towards empirical evaluations of legal AI systems, which aligns with our comprehensive benchmarking approach. We anticipate that a solid journal article here can thoroughly document the multi-phase methodology and results.</w:t>
      </w:r>
    </w:p>
    <w:p w14:paraId="09F6DCE8" w14:textId="77777777" w:rsidR="00F31097" w:rsidRDefault="00000000">
      <w:pPr>
        <w:numPr>
          <w:ilvl w:val="0"/>
          <w:numId w:val="5"/>
        </w:numPr>
      </w:pPr>
      <w:r>
        <w:rPr>
          <w:b/>
          <w:bCs/>
          <w:i/>
          <w:iCs/>
        </w:rPr>
        <w:t>Safety Science</w:t>
      </w:r>
      <w:r>
        <w:t xml:space="preserve"> (Elsevier journal) – While not purely an AI journal, Safety Science is known for research on risk management, compliance, and the human factors of safety-critical systems. Our project touches on organizational compliance processes (e.g. ensuring export control laws are followed is a form of risk mitigation). By framing the LLM assistant as a </w:t>
      </w:r>
      <w:r>
        <w:rPr>
          <w:i/>
          <w:iCs/>
        </w:rPr>
        <w:t>decision-support tool to reduce compliance risk and workload</w:t>
      </w:r>
      <w:r>
        <w:t>, we can target a Safety Science audience interested in how AI improves safety and compliance outcomes. This venue is appropriate if we emphasize use cases like preventing regulatory violations (which tie into operational safety and security). It’s not a high-impact AI journal, but it provides an interdisciplinary platform where our explainable, trustworthy approach will be seen as crucial for adoption in practice.</w:t>
      </w:r>
    </w:p>
    <w:p w14:paraId="5E856E78" w14:textId="77777777" w:rsidR="00F31097" w:rsidRDefault="00000000">
      <w:pPr>
        <w:numPr>
          <w:ilvl w:val="0"/>
          <w:numId w:val="5"/>
        </w:numPr>
      </w:pPr>
      <w:r>
        <w:rPr>
          <w:b/>
          <w:bCs/>
          <w:i/>
          <w:iCs/>
        </w:rPr>
        <w:t>(Alternate/Substitute) ACL Workshop on Legal NLP (NLLP) or ICAIL</w:t>
      </w:r>
      <w:r>
        <w:t xml:space="preserve"> – As intermediate or secondary outlets, we can consider the </w:t>
      </w:r>
      <w:r>
        <w:rPr>
          <w:b/>
          <w:bCs/>
        </w:rPr>
        <w:t>Natural Legal Language Processing Workshop (NLLP)</w:t>
      </w:r>
      <w:r>
        <w:t xml:space="preserve"> at ACL or the </w:t>
      </w:r>
      <w:r>
        <w:rPr>
          <w:b/>
          <w:bCs/>
        </w:rPr>
        <w:t>International Conference on AI and Law (ICAIL)</w:t>
      </w:r>
      <w:r>
        <w:t>. NLLP (e.g. 2024 edition) has showcased work on groundedness in legal QA</w:t>
      </w:r>
      <w:hyperlink r:id="rId45" w:anchor=":~:text=In%20high,created%20grounding%20classification%20corpus%2C%20designed">
        <w:r>
          <w:rPr>
            <w:rStyle w:val="Hyperlink"/>
          </w:rPr>
          <w:t>[37]</w:t>
        </w:r>
      </w:hyperlink>
      <w:r>
        <w:t>, which is very relevant to our focus. A workshop paper in 2025 could allow us to get feedback on early results (for instance, presenting our KG construction or a pilot study on accuracy). ICAIL (2025 or 2027) is a premier conference for legal AI; a submission there would reach experts in legal reasoning and could highlight the novel integration of knowledge graphs with LLM reasoning. While conferences are shorter format, they help establish credibility and get prompt peer feedback. For final archival publication, however, a journal (as above) will allow us to present the full pipeline and evaluation in depth.</w:t>
      </w:r>
    </w:p>
    <w:p w14:paraId="3FEBE8A8" w14:textId="77777777" w:rsidR="00F31097" w:rsidRDefault="00000000">
      <w:pPr>
        <w:pStyle w:val="FirstParagraph"/>
      </w:pPr>
      <w:r>
        <w:t>Each of these venues offers a chance to reach the right audience: AI &amp; Law for technical legal AI researchers, Safety Science for compliance and safety experts, and NLLP/ICAIL for the cutting-edge legal AI community. We will tailor the emphasis accordingly (technical methods vs. use-case impact) depending on the venue. Importantly, none of these are so high-impact as to be unrealistic; they are achievable targets given a solid piece of work.</w:t>
      </w:r>
    </w:p>
    <w:p w14:paraId="5849408F" w14:textId="77777777" w:rsidR="00F31097" w:rsidRDefault="00000000">
      <w:pPr>
        <w:pStyle w:val="Heading2"/>
      </w:pPr>
      <w:bookmarkStart w:id="11" w:name="revised-work-plan-through-q4-2026"/>
      <w:bookmarkEnd w:id="10"/>
      <w:r>
        <w:t>Revised Work Plan Through Q4 2026</w:t>
      </w:r>
    </w:p>
    <w:p w14:paraId="0D3E8B63" w14:textId="77777777" w:rsidR="00F31097" w:rsidRDefault="00000000">
      <w:pPr>
        <w:pStyle w:val="FirstParagraph"/>
      </w:pPr>
      <w:r>
        <w:t>To execute the project aligned with current insights, we propose the following phased plan (with indicative timeline):</w:t>
      </w:r>
    </w:p>
    <w:p w14:paraId="33761BD9" w14:textId="77777777" w:rsidR="00F31097" w:rsidRDefault="00000000">
      <w:pPr>
        <w:numPr>
          <w:ilvl w:val="0"/>
          <w:numId w:val="6"/>
        </w:numPr>
      </w:pPr>
      <w:r>
        <w:rPr>
          <w:b/>
          <w:bCs/>
        </w:rPr>
        <w:lastRenderedPageBreak/>
        <w:t>Corpus Expansion and Curation (Q1 2026):</w:t>
      </w:r>
      <w:r>
        <w:t xml:space="preserve"> Compile and update the export control documents (EAR, BIS guidelines, possibly ITAR if relevant, and any “NSF compliance” data available). Ensure </w:t>
      </w:r>
      <w:r>
        <w:rPr>
          <w:i/>
          <w:iCs/>
        </w:rPr>
        <w:t>comprehensiveness and currency</w:t>
      </w:r>
      <w:r>
        <w:t xml:space="preserve"> – incorporate 2025 updates to regulations or sanctions lists. This phase involves data cleansing and schema design for the knowledge graph. </w:t>
      </w:r>
      <w:r>
        <w:rPr>
          <w:i/>
          <w:iCs/>
        </w:rPr>
        <w:t>Outcome:</w:t>
      </w:r>
      <w:r>
        <w:t xml:space="preserve"> a well-structured text corpus and initial ontology (key entities like product categories, license types, regulatory sections). We might use NLP to extract entity-relations (e.g. “technology X is controlled under category Y”) as a precursor to KG building.</w:t>
      </w:r>
    </w:p>
    <w:p w14:paraId="5517273A" w14:textId="77777777" w:rsidR="00F31097" w:rsidRDefault="00000000">
      <w:pPr>
        <w:numPr>
          <w:ilvl w:val="0"/>
          <w:numId w:val="6"/>
        </w:numPr>
      </w:pPr>
      <w:r>
        <w:rPr>
          <w:b/>
          <w:bCs/>
        </w:rPr>
        <w:t>Knowledge Graph Construction in Jena (Q2 2026):</w:t>
      </w:r>
      <w:r>
        <w:t xml:space="preserve"> Build the knowledge graph using Apache Jena or an appropriate RDF store. The KG will represent regulatory knowledge: each rule or section becomes nodes and relationships (e.g. “LicenseException ⟶ requires ⟶ Criteria”). We will follow approaches like GraphCompliance to encode not just factual triples but the logic structure – e.g. linking definitions to terms, linking exceptions to general rules</w:t>
      </w:r>
      <w:hyperlink r:id="rId46" w:anchor=":~:text=First%2C%20the%20regulatory%20text%20is,permissions%20addressed%20to%20a%20role">
        <w:r>
          <w:rPr>
            <w:rStyle w:val="Hyperlink"/>
          </w:rPr>
          <w:t>[15]</w:t>
        </w:r>
      </w:hyperlink>
      <w:hyperlink r:id="rId47" w:anchor=":~:text=bearing%20actor%20%28e,once%2C%20offline%2C%20by%20an%20LLM">
        <w:r>
          <w:rPr>
            <w:rStyle w:val="Hyperlink"/>
          </w:rPr>
          <w:t>[16]</w:t>
        </w:r>
      </w:hyperlink>
      <w:r>
        <w:t xml:space="preserve">. We will also populate the KG with any historical enforcement data or policy interpretations if available, to enrich context. During this phase, we’ll develop SPARQL queries or graph traversal methods to retrieve relevant subgraphs given a query (this will feed into RAG later). </w:t>
      </w:r>
      <w:r>
        <w:rPr>
          <w:i/>
          <w:iCs/>
        </w:rPr>
        <w:t>Outcome:</w:t>
      </w:r>
      <w:r>
        <w:t xml:space="preserve"> an operational KG with an API to fetch supporting knowledge for a compliance question. We will likely iterate on the KG schema with domain expert input for accuracy.</w:t>
      </w:r>
    </w:p>
    <w:p w14:paraId="7448BC46" w14:textId="77777777" w:rsidR="00F31097" w:rsidRDefault="00000000">
      <w:pPr>
        <w:numPr>
          <w:ilvl w:val="0"/>
          <w:numId w:val="6"/>
        </w:numPr>
      </w:pPr>
      <w:r>
        <w:rPr>
          <w:b/>
          <w:bCs/>
        </w:rPr>
        <w:t>Model Fine-Tuning with QLoRA (Q3 2026):</w:t>
      </w:r>
      <w:r>
        <w:t xml:space="preserve"> Fine-tune our LLM on the domain. By this time, we anticipate using a model in the 7B–13B range that has a strong base (possibly a successor of LLaMA or an open legal model like SaulLM). Using QLoRA, we’ll train the model on curated Q&amp;A pairs about the regulations. These Q&amp;A might come from existing FAQs, expert-crafted questions, or even synthetically generated ones (with GPT-4’s help, carefully validated). The fine-tuning will focus on the </w:t>
      </w:r>
      <w:r>
        <w:rPr>
          <w:i/>
          <w:iCs/>
        </w:rPr>
        <w:t>instruction-following format</w:t>
      </w:r>
      <w:r>
        <w:t xml:space="preserve">: the model should accept questions about export compliance and respond with helpful, correct answers that reference the regulations. We’ll evaluate the fine-tuned model on a validation set for accuracy. If available, we may incorporate a legal benchmark like portions of the </w:t>
      </w:r>
      <w:r>
        <w:rPr>
          <w:b/>
          <w:bCs/>
        </w:rPr>
        <w:t>LexGLUE or other regulatory QA dataset</w:t>
      </w:r>
      <w:r>
        <w:t xml:space="preserve"> for comparison. </w:t>
      </w:r>
      <w:r>
        <w:rPr>
          <w:i/>
          <w:iCs/>
        </w:rPr>
        <w:t>Outcome:</w:t>
      </w:r>
      <w:r>
        <w:t xml:space="preserve"> a LegalBERT-derived (or Llama-derived) LLM that is domain-tuned and ready for retrieval augmentation. Initial benchmarks (latency, accuracy without retrieval) will be recorded as a baseline.</w:t>
      </w:r>
    </w:p>
    <w:p w14:paraId="256BD253" w14:textId="77777777" w:rsidR="00F31097" w:rsidRDefault="00000000">
      <w:pPr>
        <w:numPr>
          <w:ilvl w:val="0"/>
          <w:numId w:val="6"/>
        </w:numPr>
      </w:pPr>
      <w:r>
        <w:rPr>
          <w:b/>
          <w:bCs/>
        </w:rPr>
        <w:t>RAG Integration and Prototype (Q3–Q4 2026):</w:t>
      </w:r>
      <w:r>
        <w:t xml:space="preserve"> Integrate the KG and LLM into a unified Retrieval-Augmented Generation pipeline. This involves: (a) a retriever component that given a user question, uses the KG (and possibly a text index) to fetch relevant snippets/triples, (b) a composer that formats the retrieved knowledge plus question into a prompt for the LLM (e.g. “Context: [KG triples/docs]; Question: …”), and (c) the LLM generating an answer that cites the context. We will experiment with GraphRAG-style retrieval: e.g. retrieving a subgraph around key entities in the question</w:t>
      </w:r>
      <w:hyperlink r:id="rId48" w:anchor=":~:text=Representative%20systems%20include%20GraphRAG%2C%20which,Beyond%20these%2C%20KG">
        <w:r>
          <w:rPr>
            <w:rStyle w:val="Hyperlink"/>
          </w:rPr>
          <w:t>[38]</w:t>
        </w:r>
      </w:hyperlink>
      <w:r>
        <w:t xml:space="preserve">. Apache Jena can be used to query the KG for any rule or definition that </w:t>
      </w:r>
      <w:r>
        <w:lastRenderedPageBreak/>
        <w:t xml:space="preserve">matches the query’s terms (like “dual-use item definition” or specific ECCN categories). We’ll likely implement a hybrid: KG retrieval for structured info and vector-based text retrieval for any unstructured explanation parts. During this phase, we also implement </w:t>
      </w:r>
      <w:r>
        <w:rPr>
          <w:b/>
          <w:bCs/>
        </w:rPr>
        <w:t>explainability features</w:t>
      </w:r>
      <w:r>
        <w:t xml:space="preserve">: for instance, track which triples were used and present them as an explanation, or use the KG-SMILE perturbation approach to rank influential facts for the answer. We will test the prototype system on various question types (eligibility for export, classification of an item, sanction applicability, etc.) to verify that it produces grounded answers. </w:t>
      </w:r>
      <w:r>
        <w:rPr>
          <w:i/>
          <w:iCs/>
        </w:rPr>
        <w:t>Outcome:</w:t>
      </w:r>
      <w:r>
        <w:t xml:space="preserve"> a working end-to-end </w:t>
      </w:r>
      <w:r>
        <w:rPr>
          <w:b/>
          <w:bCs/>
        </w:rPr>
        <w:t>Explainable Compliance QA system</w:t>
      </w:r>
      <w:r>
        <w:t>. We will measure its latency (response time) given the multi-step process, aiming for acceptable performance (e.g. a few seconds per complex query, as per our benchmarking requirement (1)). Any latency or integration issues will be profiled and optimized here (for instance, caching certain KG queries or using efficient embeddings for retrieval).</w:t>
      </w:r>
    </w:p>
    <w:p w14:paraId="34708E99" w14:textId="77777777" w:rsidR="00F31097" w:rsidRDefault="00000000">
      <w:pPr>
        <w:numPr>
          <w:ilvl w:val="0"/>
          <w:numId w:val="6"/>
        </w:numPr>
      </w:pPr>
      <w:r>
        <w:rPr>
          <w:b/>
          <w:bCs/>
        </w:rPr>
        <w:t>Evaluation and Iteration (Q4 2026):</w:t>
      </w:r>
      <w:r>
        <w:t xml:space="preserve"> Rigorously evaluate the system on effectiveness, efficiency, and trust criteria. We will use a held-out set of Q&amp;A (some from real compliance scenarios if possible) to measure accuracy. Additionally, we’ll apply the </w:t>
      </w:r>
      <w:r>
        <w:rPr>
          <w:b/>
          <w:bCs/>
        </w:rPr>
        <w:t>groundedness benchmark</w:t>
      </w:r>
      <w:r>
        <w:t xml:space="preserve"> by Trautmann et al. to our answers – computing how often the model’s answers stay within the support of provided documents</w:t>
      </w:r>
      <w:hyperlink r:id="rId49" w:anchor=":~:text=In%20high,created%20grounding%20classification%20corpus%2C%20designed">
        <w:r>
          <w:rPr>
            <w:rStyle w:val="Hyperlink"/>
          </w:rPr>
          <w:t>[37]</w:t>
        </w:r>
      </w:hyperlink>
      <w:hyperlink r:id="rId50" w:anchor=":~:text=specifically%20for%20legal%20queries%20and,generative%20AI%20in%20legal%20settings">
        <w:r>
          <w:rPr>
            <w:rStyle w:val="Hyperlink"/>
          </w:rPr>
          <w:t>[23]</w:t>
        </w:r>
      </w:hyperlink>
      <w:r>
        <w:t xml:space="preserve">. We will also adopt compliance-specific metrics: e.g. measuring if the correct regulatory citation is present in the answer (a custom metric for “compliance groundedness”). The </w:t>
      </w:r>
      <w:r>
        <w:rPr>
          <w:b/>
          <w:bCs/>
        </w:rPr>
        <w:t>GroUSE unit tests</w:t>
      </w:r>
      <w:r>
        <w:t xml:space="preserve"> for evaluators can guide us in constructing stress-test queries to reveal failure modes (like irrelevant context retrieval or missed edge conditions)</w:t>
      </w:r>
      <w:hyperlink r:id="rId51" w:anchor=":~:text=bases,closed%20models%20perform%20well%20on">
        <w:r>
          <w:rPr>
            <w:rStyle w:val="Hyperlink"/>
          </w:rPr>
          <w:t>[26]</w:t>
        </w:r>
      </w:hyperlink>
      <w:hyperlink r:id="rId52" w:anchor=":~:text=evaluation%20benchmark%20of%20144%20unit,supplemented%20with%20evaluations%20on%20unit">
        <w:r>
          <w:rPr>
            <w:rStyle w:val="Hyperlink"/>
          </w:rPr>
          <w:t>[27]</w:t>
        </w:r>
      </w:hyperlink>
      <w:r>
        <w:t xml:space="preserve">. Crucially, this phase includes a </w:t>
      </w:r>
      <w:r>
        <w:rPr>
          <w:b/>
          <w:bCs/>
        </w:rPr>
        <w:t>human factors evaluation</w:t>
      </w:r>
      <w:r>
        <w:t xml:space="preserve">: we plan a small user study with compliance professionals or proxies. They will be asked to complete tasks (like determine license requirements for a sample export scenario) with the AI’s assistance and without it, measuring time and accuracy. We will gather subjective feedback on whether the explanations were sufficient and how much trust they have in the answers. If the system falls short of targets – e.g. only 80% accuracy or minimal time savings – we will iterate: analyzing errors to decide if we need more training data, better KG coverage, or interface improvements. </w:t>
      </w:r>
      <w:r>
        <w:rPr>
          <w:i/>
          <w:iCs/>
        </w:rPr>
        <w:t>Outcome:</w:t>
      </w:r>
      <w:r>
        <w:t xml:space="preserve"> a comprehensive evaluation report. We expect, based on literature, to demonstrate significant improvements: prior work achieved ~80% macro-F1 in detecting grounded answers</w:t>
      </w:r>
      <w:hyperlink r:id="rId53" w:anchor=":~:text=results%20indicate%20potential%20in%20groundedness,generative%20AI%20in%20legal%20settings">
        <w:r>
          <w:rPr>
            <w:rStyle w:val="Hyperlink"/>
          </w:rPr>
          <w:t>[25]</w:t>
        </w:r>
      </w:hyperlink>
      <w:r>
        <w:t>, so our goal of near-90% accuracy with grounded justifications is ambitious but within reach if our retrieval is effective. Similarly, we anticipate noticeable reduction in human effort; even a 30–40% time reduction with no loss of correctness would be a valuable result, though our aim is 50%.</w:t>
      </w:r>
    </w:p>
    <w:p w14:paraId="5D1B5241" w14:textId="77777777" w:rsidR="00F31097" w:rsidRDefault="00000000">
      <w:pPr>
        <w:numPr>
          <w:ilvl w:val="0"/>
          <w:numId w:val="6"/>
        </w:numPr>
      </w:pPr>
      <w:r>
        <w:rPr>
          <w:b/>
          <w:bCs/>
        </w:rPr>
        <w:t>Dissemination (Q4 2026):</w:t>
      </w:r>
      <w:r>
        <w:t xml:space="preserve"> With results in hand, we will prepare our publications. We will target one of the journals mentioned (e.g. </w:t>
      </w:r>
      <w:r>
        <w:rPr>
          <w:b/>
          <w:bCs/>
        </w:rPr>
        <w:t>AI and Law</w:t>
      </w:r>
      <w:r>
        <w:t xml:space="preserve"> for a technical paper). The paper will highlight our novel pipeline and the empirical gains: e.g. </w:t>
      </w:r>
      <w:r>
        <w:rPr>
          <w:i/>
          <w:iCs/>
        </w:rPr>
        <w:t>“Graph-augmented LLM achieves X% accuracy, Y% groundedness, reducing review time by Z% in export compliance tasks.”</w:t>
      </w:r>
      <w:r>
        <w:t xml:space="preserve"> We will also emphasize the explainability aspect, </w:t>
      </w:r>
      <w:r>
        <w:lastRenderedPageBreak/>
        <w:t xml:space="preserve">possibly including case studies from our user evaluation showing how the system’s explanations helped a user find the correct answer faster. If timing aligns, we may also submit a shorter version to </w:t>
      </w:r>
      <w:r>
        <w:rPr>
          <w:b/>
          <w:bCs/>
        </w:rPr>
        <w:t>NLLP 2026 workshop</w:t>
      </w:r>
      <w:r>
        <w:t xml:space="preserve"> to connect with the legal NLP community earlier. By the end of 2026, the goal is to have the system and results ready for deployment or further operational trial, and the research findings documented for the community.</w:t>
      </w:r>
    </w:p>
    <w:p w14:paraId="7C2F7D2C" w14:textId="77777777" w:rsidR="00F31097" w:rsidRDefault="00000000">
      <w:pPr>
        <w:pStyle w:val="FirstParagraph"/>
      </w:pPr>
      <w:r>
        <w:t>Throughout these phases, we will remain adaptable to new developments. For example, if in mid-2026 a breakthrough open-source 20B model with vastly superior legal reasoning appears, we can integrate it via QLoRA. Or if new regulatory guidelines for AI (e.g. a US AI risk management framework update) demand specific audit logs, we will incorporate those requirements (our KG-backed explanations could serve as audit logs of the AI’s decision path). By following this phased plan, we ensure steady progress on each component and alignment with cutting-edge research at every step.</w:t>
      </w:r>
    </w:p>
    <w:p w14:paraId="44E200F6" w14:textId="77777777" w:rsidR="00F31097" w:rsidRDefault="00000000">
      <w:pPr>
        <w:pStyle w:val="BodyText"/>
      </w:pPr>
      <w:r>
        <w:rPr>
          <w:b/>
          <w:bCs/>
        </w:rPr>
        <w:t>In summary</w:t>
      </w:r>
      <w:r>
        <w:t>, the project “Explainable Regulatory LLMs” is not only still relevant – it sits at the confluence of several actively evolving research threads: domain-specific LLM fine-tuning, knowledge-enhanced generation, and trustworthy AI for high-stakes use. By updating our focus to include the latest benchmarks (like groundedness evaluation</w:t>
      </w:r>
      <w:hyperlink r:id="rId54" w:anchor=":~:text=In%20high,created%20grounding%20classification%20corpus%2C%20designed">
        <w:r>
          <w:rPr>
            <w:rStyle w:val="Hyperlink"/>
          </w:rPr>
          <w:t>[37]</w:t>
        </w:r>
      </w:hyperlink>
      <w:r>
        <w:t xml:space="preserve">) and by emphasizing explainability features, we future-proof the research and enhance its impact. The revised plan sets clear priorities (accuracy with accountability) and a feasible timeline to deliver a state-of-the-art compliance QA system by Q4 2026. With careful execution, this work can lead to publishable insights and a practical tool that meaningfully reduces the burden of export compliance review while satisfying the stringent demands for </w:t>
      </w:r>
      <w:r>
        <w:rPr>
          <w:b/>
          <w:bCs/>
        </w:rPr>
        <w:t>transparency and trust in AI</w:t>
      </w:r>
      <w:hyperlink r:id="rId55" w:anchor=":~:text=The%20EU%20AI%20Act%20emphasises,that%20allows%20for%20appropriate%20traceability">
        <w:r>
          <w:rPr>
            <w:rStyle w:val="Hyperlink"/>
          </w:rPr>
          <w:t>[3]</w:t>
        </w:r>
      </w:hyperlink>
      <w:r>
        <w:t>.</w:t>
      </w:r>
    </w:p>
    <w:p w14:paraId="2D4BC080" w14:textId="77777777" w:rsidR="00F31097" w:rsidRDefault="00000000">
      <w:pPr>
        <w:pStyle w:val="BodyText"/>
      </w:pPr>
      <w:r>
        <w:rPr>
          <w:b/>
          <w:bCs/>
        </w:rPr>
        <w:t>Sources:</w:t>
      </w:r>
    </w:p>
    <w:p w14:paraId="4E24ADE4" w14:textId="77777777" w:rsidR="00F31097" w:rsidRDefault="00000000">
      <w:pPr>
        <w:numPr>
          <w:ilvl w:val="0"/>
          <w:numId w:val="7"/>
        </w:numPr>
      </w:pPr>
      <w:r>
        <w:t xml:space="preserve">Dehghani, Z. et al. (2025). </w:t>
      </w:r>
      <w:r>
        <w:rPr>
          <w:i/>
          <w:iCs/>
        </w:rPr>
        <w:t>Explainable Knowledge Graph Retrieval-Augmented Generation (KG-RAG) with KG-SMILE</w:t>
      </w:r>
      <w:r>
        <w:t xml:space="preserve">. – Highlights the use of knowledge graphs to provide </w:t>
      </w:r>
      <w:r>
        <w:rPr>
          <w:b/>
          <w:bCs/>
        </w:rPr>
        <w:t>transparent, human-aligned explanations</w:t>
      </w:r>
      <w:r>
        <w:t xml:space="preserve"> for GraphRAG outputs</w:t>
      </w:r>
      <w:hyperlink r:id="rId56" w:anchor=":~:text=match%20at%20L111%20relations%20most,12">
        <w:r>
          <w:rPr>
            <w:rStyle w:val="Hyperlink"/>
          </w:rPr>
          <w:t>[19]</w:t>
        </w:r>
      </w:hyperlink>
      <w:hyperlink r:id="rId57" w:anchor=":~:text=relations%20most%20influential%20to%20each,12">
        <w:r>
          <w:rPr>
            <w:rStyle w:val="Hyperlink"/>
          </w:rPr>
          <w:t>[30]</w:t>
        </w:r>
      </w:hyperlink>
      <w:r>
        <w:t>.</w:t>
      </w:r>
    </w:p>
    <w:p w14:paraId="702FD0ED" w14:textId="77777777" w:rsidR="00F31097" w:rsidRDefault="00000000">
      <w:pPr>
        <w:numPr>
          <w:ilvl w:val="0"/>
          <w:numId w:val="7"/>
        </w:numPr>
      </w:pPr>
      <w:r>
        <w:t xml:space="preserve">Trautmann, D. et al. (2024). </w:t>
      </w:r>
      <w:r>
        <w:rPr>
          <w:i/>
          <w:iCs/>
        </w:rPr>
        <w:t>Measuring the Groundedness of Legal QA Systems</w:t>
      </w:r>
      <w:r>
        <w:t xml:space="preserve">. In </w:t>
      </w:r>
      <w:r>
        <w:rPr>
          <w:b/>
          <w:bCs/>
        </w:rPr>
        <w:t>Proc. NLLP 2024</w:t>
      </w:r>
      <w:r>
        <w:t xml:space="preserve">. – Proposes methods to evaluate whether AI answers are well-founded on provided legal texts, achieving up to </w:t>
      </w:r>
      <w:r>
        <w:rPr>
          <w:b/>
          <w:bCs/>
        </w:rPr>
        <w:t>80% macro-F1</w:t>
      </w:r>
      <w:r>
        <w:t xml:space="preserve"> in groundedness classification</w:t>
      </w:r>
      <w:hyperlink r:id="rId58" w:anchor=":~:text=In%20high,created%20grounding%20classification%20corpus%2C%20designed">
        <w:r>
          <w:rPr>
            <w:rStyle w:val="Hyperlink"/>
          </w:rPr>
          <w:t>[37]</w:t>
        </w:r>
      </w:hyperlink>
      <w:hyperlink r:id="rId59" w:anchor=":~:text=specifically%20for%20legal%20queries%20and,generative%20AI%20in%20legal%20settings">
        <w:r>
          <w:rPr>
            <w:rStyle w:val="Hyperlink"/>
          </w:rPr>
          <w:t>[23]</w:t>
        </w:r>
      </w:hyperlink>
      <w:r>
        <w:t>.</w:t>
      </w:r>
    </w:p>
    <w:p w14:paraId="756F10C7" w14:textId="77777777" w:rsidR="00F31097" w:rsidRDefault="00000000">
      <w:pPr>
        <w:numPr>
          <w:ilvl w:val="0"/>
          <w:numId w:val="7"/>
        </w:numPr>
      </w:pPr>
      <w:r>
        <w:t xml:space="preserve">Müller, S. et al. (2025). </w:t>
      </w:r>
      <w:r>
        <w:rPr>
          <w:i/>
          <w:iCs/>
        </w:rPr>
        <w:t>GroUSE: A Benchmark to Evaluate Evaluators in Grounded QA</w:t>
      </w:r>
      <w:r>
        <w:t xml:space="preserve">. In </w:t>
      </w:r>
      <w:r>
        <w:rPr>
          <w:b/>
          <w:bCs/>
        </w:rPr>
        <w:t>Proc. COLING 2025</w:t>
      </w:r>
      <w:r>
        <w:t xml:space="preserve">. – Introduces a unit-test suite revealing that even GPT-4-based evaluators miss certain failure modes in RAG systems, underscoring the need for </w:t>
      </w:r>
      <w:r>
        <w:rPr>
          <w:b/>
          <w:bCs/>
        </w:rPr>
        <w:t>fine-grained evaluation criteria</w:t>
      </w:r>
      <w:hyperlink r:id="rId60" w:anchor=":~:text=bases,closed%20models%20perform%20well%20on">
        <w:r>
          <w:rPr>
            <w:rStyle w:val="Hyperlink"/>
          </w:rPr>
          <w:t>[26]</w:t>
        </w:r>
      </w:hyperlink>
      <w:hyperlink r:id="rId61" w:anchor=":~:text=evaluation%20benchmark%20of%20144%20unit,supplemented%20with%20evaluations%20on%20unit">
        <w:r>
          <w:rPr>
            <w:rStyle w:val="Hyperlink"/>
          </w:rPr>
          <w:t>[27]</w:t>
        </w:r>
      </w:hyperlink>
      <w:r>
        <w:t>.</w:t>
      </w:r>
    </w:p>
    <w:p w14:paraId="40E385B9" w14:textId="77777777" w:rsidR="00F31097" w:rsidRDefault="00000000">
      <w:pPr>
        <w:numPr>
          <w:ilvl w:val="0"/>
          <w:numId w:val="7"/>
        </w:numPr>
      </w:pPr>
      <w:r>
        <w:t xml:space="preserve">Agarwal, B. et al. (2025). </w:t>
      </w:r>
      <w:r>
        <w:rPr>
          <w:i/>
          <w:iCs/>
        </w:rPr>
        <w:t>RAGulating Compliance: A Multi-Agent Knowledge Graph for Regulatory QA</w:t>
      </w:r>
      <w:r>
        <w:t xml:space="preserve">. – Demonstrates a framework integrating KGs with multi-agent retrieval for regulatory Q&amp;A, emphasizing </w:t>
      </w:r>
      <w:r>
        <w:rPr>
          <w:b/>
          <w:bCs/>
        </w:rPr>
        <w:t>triplet-based fact retrieval</w:t>
      </w:r>
      <w:r>
        <w:t xml:space="preserve"> for precise </w:t>
      </w:r>
      <w:r>
        <w:lastRenderedPageBreak/>
        <w:t>answers (evaluation methods include overlap of retrieved sections with ground truth)</w:t>
      </w:r>
      <w:hyperlink r:id="rId62" w:anchor=":~:text=,reference%20answer%20ar%20from%20LLMgen">
        <w:r>
          <w:rPr>
            <w:rStyle w:val="Hyperlink"/>
          </w:rPr>
          <w:t>[34]</w:t>
        </w:r>
      </w:hyperlink>
      <w:hyperlink r:id="rId63" w:anchor=":~:text=Once%20the%20system%20retrieves%20relevant,model%20LLMeval%20or%20a%20domain">
        <w:r>
          <w:rPr>
            <w:rStyle w:val="Hyperlink"/>
          </w:rPr>
          <w:t>[35]</w:t>
        </w:r>
      </w:hyperlink>
      <w:r>
        <w:t>.</w:t>
      </w:r>
    </w:p>
    <w:p w14:paraId="738DE58B" w14:textId="77777777" w:rsidR="00F31097" w:rsidRDefault="00000000">
      <w:pPr>
        <w:numPr>
          <w:ilvl w:val="0"/>
          <w:numId w:val="7"/>
        </w:numPr>
      </w:pPr>
      <w:r>
        <w:t xml:space="preserve">Popov, P. (2025). </w:t>
      </w:r>
      <w:r>
        <w:rPr>
          <w:i/>
          <w:iCs/>
        </w:rPr>
        <w:t>The Advantages of GraphRAG for Enhanced Regulatory Compliance</w:t>
      </w:r>
      <w:r>
        <w:t xml:space="preserve">. </w:t>
      </w:r>
      <w:r>
        <w:rPr>
          <w:b/>
          <w:bCs/>
        </w:rPr>
        <w:t>Graphwise AI Blog</w:t>
      </w:r>
      <w:r>
        <w:t xml:space="preserve">. – Industry perspective explaining that </w:t>
      </w:r>
      <w:r>
        <w:rPr>
          <w:b/>
          <w:bCs/>
        </w:rPr>
        <w:t>knowledge graphs + LLMs</w:t>
      </w:r>
      <w:r>
        <w:t xml:space="preserve"> can </w:t>
      </w:r>
      <w:r>
        <w:rPr>
          <w:i/>
          <w:iCs/>
        </w:rPr>
        <w:t>“provide contextual insights and explainable compliance guidance”</w:t>
      </w:r>
      <w:r>
        <w:t>, helping cut research time for legal professionals</w:t>
      </w:r>
      <w:hyperlink r:id="rId64" w:anchor=":~:text=Knowledge%20graphs%20combined%20with%20LLMs,guidance%20that%20eliminates%20hallucination%20risks">
        <w:r>
          <w:rPr>
            <w:rStyle w:val="Hyperlink"/>
          </w:rPr>
          <w:t>[2]</w:t>
        </w:r>
      </w:hyperlink>
      <w:hyperlink r:id="rId65" w:anchor=":~:text=The%20first%20type%20of%20persona,they%20are%20best%20at%20doing">
        <w:r>
          <w:rPr>
            <w:rStyle w:val="Hyperlink"/>
          </w:rPr>
          <w:t>[4]</w:t>
        </w:r>
      </w:hyperlink>
      <w:r>
        <w:t>.</w:t>
      </w:r>
    </w:p>
    <w:p w14:paraId="25ABEF72" w14:textId="77777777" w:rsidR="00F31097" w:rsidRDefault="00000000">
      <w:pPr>
        <w:numPr>
          <w:ilvl w:val="0"/>
          <w:numId w:val="7"/>
        </w:numPr>
      </w:pPr>
      <w:r>
        <w:t xml:space="preserve">Li, Y. &amp; Wu, G. (2025). </w:t>
      </w:r>
      <w:r>
        <w:rPr>
          <w:i/>
          <w:iCs/>
        </w:rPr>
        <w:t>LegalEval-Q: Benchmarking Quality of LLM-Generated Legal Text</w:t>
      </w:r>
      <w:r>
        <w:t xml:space="preserve">. arXiv preprint. – Finds that beyond factual accuracy, </w:t>
      </w:r>
      <w:r>
        <w:rPr>
          <w:b/>
          <w:bCs/>
        </w:rPr>
        <w:t>clarity and coherence</w:t>
      </w:r>
      <w:r>
        <w:t xml:space="preserve"> are often overlooked in legal AI outputs, and notes that model quality plateaued around 14B parameters, suggesting efficient fine-tuning and evaluation of linguistic quality are key</w:t>
      </w:r>
      <w:hyperlink r:id="rId66" w:anchor=":~:text=Our%20analysis%20identifies%20three%20key,LLMs%20but%20also%20uncovers%20fundamental">
        <w:r>
          <w:rPr>
            <w:rStyle w:val="Hyperlink"/>
          </w:rPr>
          <w:t>[32]</w:t>
        </w:r>
      </w:hyperlink>
      <w:hyperlink r:id="rId67" w:anchor=":~:text=Current%20evaluation%20benchmarks%20primarily%20assess,stylistic%20inconsistencies%2C%20or%20impaired%20readability">
        <w:r>
          <w:rPr>
            <w:rStyle w:val="Hyperlink"/>
          </w:rPr>
          <w:t>[39]</w:t>
        </w:r>
      </w:hyperlink>
      <w:r>
        <w:t>.</w:t>
      </w:r>
    </w:p>
    <w:p w14:paraId="500DBC42" w14:textId="77777777" w:rsidR="00F31097" w:rsidRDefault="00000000">
      <w:pPr>
        <w:numPr>
          <w:ilvl w:val="0"/>
          <w:numId w:val="7"/>
        </w:numPr>
      </w:pPr>
      <w:r>
        <w:t xml:space="preserve">Colombo, G. et al. (2024). </w:t>
      </w:r>
      <w:r>
        <w:rPr>
          <w:i/>
          <w:iCs/>
        </w:rPr>
        <w:t>SaulLM-7B: A Pioneering Large Language Model for Law</w:t>
      </w:r>
      <w:r>
        <w:t xml:space="preserve">. arXiv preprint. – Introduces a 7B-parameter legal-focused LLM trained on 30B tokens of legal text, showing </w:t>
      </w:r>
      <w:r>
        <w:rPr>
          <w:b/>
          <w:bCs/>
        </w:rPr>
        <w:t>improved legal text comprehension and generation</w:t>
      </w:r>
      <w:r>
        <w:t xml:space="preserve"> capabilities, exemplifying the trend of domain-specific models.</w:t>
      </w:r>
    </w:p>
    <w:p w14:paraId="39FC13A2" w14:textId="77777777" w:rsidR="00F31097" w:rsidRDefault="00000000">
      <w:pPr>
        <w:numPr>
          <w:ilvl w:val="0"/>
          <w:numId w:val="7"/>
        </w:numPr>
      </w:pPr>
      <w:r>
        <w:t xml:space="preserve">Dominguez-Olmedo, R. et al. (2024). </w:t>
      </w:r>
      <w:r>
        <w:rPr>
          <w:i/>
          <w:iCs/>
        </w:rPr>
        <w:t>Lawma-8B: An 8B Legal Domain LLM</w:t>
      </w:r>
      <w:r>
        <w:t>. – (Referenced in GraphCompliance) Another example of a specialized legal LLM, used in evaluations which indicate that such models assist in legal analysis but do not by themselves perform full compliance checking</w:t>
      </w:r>
      <w:hyperlink r:id="rId68" w:anchor=":~:text=explicit%20violation%20attribution%E2%80%94remains%20scarce,specific">
        <w:r>
          <w:rPr>
            <w:rStyle w:val="Hyperlink"/>
          </w:rPr>
          <w:t>[28]</w:t>
        </w:r>
      </w:hyperlink>
      <w:r>
        <w:t>.</w:t>
      </w:r>
    </w:p>
    <w:p w14:paraId="1689F7A9" w14:textId="77777777" w:rsidR="00F31097" w:rsidRDefault="00000000">
      <w:pPr>
        <w:numPr>
          <w:ilvl w:val="0"/>
          <w:numId w:val="7"/>
        </w:numPr>
      </w:pPr>
      <w:r>
        <w:t xml:space="preserve">Garza, P. et al. (2024). </w:t>
      </w:r>
      <w:r>
        <w:rPr>
          <w:i/>
          <w:iCs/>
        </w:rPr>
        <w:t>PrivComp-KG: LLM+KG for GDPR Compliance</w:t>
      </w:r>
      <w:r>
        <w:t>. – Combines an LLM with a GDPR knowledge graph to align answers with legal articles and even execute rule-checks (using semantic web rules), highlighting a viable approach for our export control scenario</w:t>
      </w:r>
      <w:hyperlink r:id="rId69" w:anchor=":~:text=et%C2%A0al,i%29%20adopting">
        <w:r>
          <w:rPr>
            <w:rStyle w:val="Hyperlink"/>
          </w:rPr>
          <w:t>[40]</w:t>
        </w:r>
      </w:hyperlink>
      <w:r>
        <w:t>.</w:t>
      </w:r>
    </w:p>
    <w:p w14:paraId="45EEBEA6" w14:textId="77777777" w:rsidR="00F31097" w:rsidRDefault="00000000">
      <w:pPr>
        <w:numPr>
          <w:ilvl w:val="0"/>
          <w:numId w:val="7"/>
        </w:numPr>
      </w:pPr>
      <w:r>
        <w:t xml:space="preserve">Protiviti (2025). </w:t>
      </w:r>
      <w:r>
        <w:rPr>
          <w:i/>
          <w:iCs/>
        </w:rPr>
        <w:t>Guide to the EU AI Act: Regulations, Compliance and Best Practices</w:t>
      </w:r>
      <w:r>
        <w:t xml:space="preserve">. – Explains how the EU AI Act enforces </w:t>
      </w:r>
      <w:r>
        <w:rPr>
          <w:b/>
          <w:bCs/>
        </w:rPr>
        <w:t>transparency and explainability</w:t>
      </w:r>
      <w:r>
        <w:t xml:space="preserve"> for AI, requiring appropriate traceability in high-risk systems</w:t>
      </w:r>
      <w:hyperlink r:id="rId70" w:anchor=":~:text=The%20EU%20AI%20Act%20emphasises,that%20allows%20for%20appropriate%20traceability">
        <w:r>
          <w:rPr>
            <w:rStyle w:val="Hyperlink"/>
          </w:rPr>
          <w:t>[3]</w:t>
        </w:r>
      </w:hyperlink>
      <w:r>
        <w:t>, reinforcing the importance of our explainability efforts for regulatory AI systems.</w:t>
      </w:r>
    </w:p>
    <w:bookmarkEnd w:id="1"/>
    <w:bookmarkEnd w:id="2"/>
    <w:bookmarkEnd w:id="11"/>
    <w:p w14:paraId="7314BF3E" w14:textId="77777777" w:rsidR="00F31097" w:rsidRDefault="00000000">
      <w:r>
        <w:pict w14:anchorId="216A5053">
          <v:rect id="_x0000_i1025" style="width:0;height:1.5pt" o:hralign="center" o:hrstd="t" o:hr="t"/>
        </w:pict>
      </w:r>
    </w:p>
    <w:bookmarkStart w:id="12" w:name="citations"/>
    <w:p w14:paraId="7DF99EA9" w14:textId="77777777" w:rsidR="00F31097" w:rsidRDefault="00000000">
      <w:pPr>
        <w:pStyle w:val="FirstParagraph"/>
      </w:pPr>
      <w:r>
        <w:fldChar w:fldCharType="begin"/>
      </w:r>
      <w:r>
        <w:instrText>HYPERLINK "https://graphwise.ai/blog/the-advantages-of-graphrag-for-enhanced-regulatory-compliance-and-understanding/" \l ":~:text=Regulatory%20compliance%20is%20a%20major,ensure%20compliance%20across%20multiple%20jurisdictions" \h</w:instrText>
      </w:r>
      <w:r>
        <w:fldChar w:fldCharType="separate"/>
      </w:r>
      <w:r>
        <w:rPr>
          <w:rStyle w:val="Hyperlink"/>
        </w:rPr>
        <w:t>[1]</w:t>
      </w:r>
      <w:r>
        <w:fldChar w:fldCharType="end"/>
      </w:r>
      <w:r>
        <w:t xml:space="preserve"> </w:t>
      </w:r>
      <w:hyperlink r:id="rId71" w:anchor=":~:text=Knowledge%20graphs%20combined%20with%20LLMs,guidance%20that%20eliminates%20hallucination%20risks">
        <w:r>
          <w:rPr>
            <w:rStyle w:val="Hyperlink"/>
          </w:rPr>
          <w:t>[2]</w:t>
        </w:r>
      </w:hyperlink>
      <w:r>
        <w:t xml:space="preserve"> </w:t>
      </w:r>
      <w:hyperlink r:id="rId72" w:anchor=":~:text=The%20first%20type%20of%20persona,they%20are%20best%20at%20doing">
        <w:r>
          <w:rPr>
            <w:rStyle w:val="Hyperlink"/>
          </w:rPr>
          <w:t>[4]</w:t>
        </w:r>
      </w:hyperlink>
      <w:r>
        <w:t xml:space="preserve"> GraphRAG for Regulatory Compliance and Understanding</w:t>
      </w:r>
    </w:p>
    <w:p w14:paraId="6C48C462" w14:textId="77777777" w:rsidR="00F31097" w:rsidRDefault="00000000">
      <w:pPr>
        <w:pStyle w:val="BodyText"/>
      </w:pPr>
      <w:hyperlink r:id="rId73">
        <w:r>
          <w:rPr>
            <w:rStyle w:val="Hyperlink"/>
          </w:rPr>
          <w:t>https://graphwise.ai/blog/the-advantages-of-graphrag-for-enhanced-regulatory-compliance-and-understanding/</w:t>
        </w:r>
      </w:hyperlink>
    </w:p>
    <w:p w14:paraId="3EA2E1B5" w14:textId="77777777" w:rsidR="00F31097" w:rsidRDefault="00000000">
      <w:pPr>
        <w:pStyle w:val="BodyText"/>
      </w:pPr>
      <w:hyperlink r:id="rId74" w:anchor=":~:text=The%20EU%20AI%20Act%20emphasises,that%20allows%20for%20appropriate%20traceability">
        <w:r>
          <w:rPr>
            <w:rStyle w:val="Hyperlink"/>
          </w:rPr>
          <w:t>[3]</w:t>
        </w:r>
      </w:hyperlink>
      <w:r>
        <w:t xml:space="preserve"> protiviti.com</w:t>
      </w:r>
    </w:p>
    <w:p w14:paraId="09B9AB35" w14:textId="77777777" w:rsidR="00F31097" w:rsidRDefault="00000000">
      <w:pPr>
        <w:pStyle w:val="BodyText"/>
      </w:pPr>
      <w:hyperlink r:id="rId75">
        <w:r>
          <w:rPr>
            <w:rStyle w:val="Hyperlink"/>
          </w:rPr>
          <w:t>https://www.protiviti.com/sites/default/files/2025-02/protiviti-whitepaper-eu-ai-act-faq-global.pdf</w:t>
        </w:r>
      </w:hyperlink>
    </w:p>
    <w:p w14:paraId="32E9CA8D" w14:textId="77777777" w:rsidR="00F31097" w:rsidRDefault="00000000">
      <w:pPr>
        <w:pStyle w:val="BodyText"/>
      </w:pPr>
      <w:hyperlink r:id="rId76" w:anchor=":~:text=LLMs%20have%20been%20used%20to,align%20snippets%20to%20articles%20and">
        <w:r>
          <w:rPr>
            <w:rStyle w:val="Hyperlink"/>
          </w:rPr>
          <w:t>[5]</w:t>
        </w:r>
      </w:hyperlink>
      <w:r>
        <w:t xml:space="preserve"> </w:t>
      </w:r>
      <w:hyperlink r:id="rId77" w:anchor=":~:text=specialized%20legal%20LLMs%20%28SaulLM,based">
        <w:r>
          <w:rPr>
            <w:rStyle w:val="Hyperlink"/>
          </w:rPr>
          <w:t>[6]</w:t>
        </w:r>
      </w:hyperlink>
      <w:r>
        <w:t xml:space="preserve"> </w:t>
      </w:r>
      <w:hyperlink r:id="rId78" w:anchor=":~:text=A%20growing%20body%20of%20work,conditions%20the%20aggregation%20on%20graph">
        <w:r>
          <w:rPr>
            <w:rStyle w:val="Hyperlink"/>
          </w:rPr>
          <w:t>[9]</w:t>
        </w:r>
      </w:hyperlink>
      <w:r>
        <w:t xml:space="preserve"> </w:t>
      </w:r>
      <w:hyperlink r:id="rId79" w:anchor=":~:text=A%20growing%20body%20of%20work,based%20reasoning%C2%A0%28Wen">
        <w:r>
          <w:rPr>
            <w:rStyle w:val="Hyperlink"/>
          </w:rPr>
          <w:t>[10]</w:t>
        </w:r>
      </w:hyperlink>
      <w:r>
        <w:t xml:space="preserve"> </w:t>
      </w:r>
      <w:hyperlink r:id="rId80" w:anchor=":~:text=This%20section%20presents%20the%20three,procedures%20appears%20in%20Appendix%C2%A0%2026">
        <w:r>
          <w:rPr>
            <w:rStyle w:val="Hyperlink"/>
          </w:rPr>
          <w:t>[11]</w:t>
        </w:r>
      </w:hyperlink>
      <w:r>
        <w:t xml:space="preserve"> </w:t>
      </w:r>
      <w:hyperlink r:id="rId81" w:anchor=":~:text=listwise%20LLM%20judgment%20using%20an,results%20at%20the%20article%20level">
        <w:r>
          <w:rPr>
            <w:rStyle w:val="Hyperlink"/>
          </w:rPr>
          <w:t>[12]</w:t>
        </w:r>
      </w:hyperlink>
      <w:r>
        <w:t xml:space="preserve"> </w:t>
      </w:r>
      <w:hyperlink r:id="rId82" w:anchor=":~:text=combines%20an%20LLM%20,guided">
        <w:r>
          <w:rPr>
            <w:rStyle w:val="Hyperlink"/>
          </w:rPr>
          <w:t>[13]</w:t>
        </w:r>
      </w:hyperlink>
      <w:r>
        <w:t xml:space="preserve"> </w:t>
      </w:r>
      <w:hyperlink r:id="rId83" w:anchor=":~:text=DPAs%C2%A0%28Hassani%2C%202024%29,before%20the%20LLM%E2%80%99s%20semantic%20judgment">
        <w:r>
          <w:rPr>
            <w:rStyle w:val="Hyperlink"/>
          </w:rPr>
          <w:t>[14]</w:t>
        </w:r>
      </w:hyperlink>
      <w:r>
        <w:t xml:space="preserve"> </w:t>
      </w:r>
      <w:hyperlink r:id="rId84" w:anchor=":~:text=First%2C%20the%20regulatory%20text%20is,permissions%20addressed%20to%20a%20role">
        <w:r>
          <w:rPr>
            <w:rStyle w:val="Hyperlink"/>
          </w:rPr>
          <w:t>[15]</w:t>
        </w:r>
      </w:hyperlink>
      <w:r>
        <w:t xml:space="preserve"> </w:t>
      </w:r>
      <w:hyperlink r:id="rId85" w:anchor=":~:text=bearing%20actor%20%28e,once%2C%20offline%2C%20by%20an%20LLM">
        <w:r>
          <w:rPr>
            <w:rStyle w:val="Hyperlink"/>
          </w:rPr>
          <w:t>[16]</w:t>
        </w:r>
      </w:hyperlink>
      <w:r>
        <w:t xml:space="preserve"> </w:t>
      </w:r>
      <w:hyperlink r:id="rId86" w:anchor=":~:text=explicit%20violation%20attribution%E2%80%94remains%20scarce,specific">
        <w:r>
          <w:rPr>
            <w:rStyle w:val="Hyperlink"/>
          </w:rPr>
          <w:t>[28]</w:t>
        </w:r>
      </w:hyperlink>
      <w:r>
        <w:t xml:space="preserve"> </w:t>
      </w:r>
      <w:hyperlink r:id="rId87" w:anchor=":~:text=Representative%20systems%20include%20GraphRAG%2C%20which,Beyond%20these%2C%20KG">
        <w:r>
          <w:rPr>
            <w:rStyle w:val="Hyperlink"/>
          </w:rPr>
          <w:t>[38]</w:t>
        </w:r>
      </w:hyperlink>
      <w:r>
        <w:t xml:space="preserve"> </w:t>
      </w:r>
      <w:hyperlink r:id="rId88" w:anchor=":~:text=et%C2%A0al,i%29%20adopting">
        <w:r>
          <w:rPr>
            <w:rStyle w:val="Hyperlink"/>
          </w:rPr>
          <w:t>[40]</w:t>
        </w:r>
      </w:hyperlink>
      <w:r>
        <w:t xml:space="preserve"> GraphCompliance: Aligning Policy and Context Graphs for LLM-Based Regulatory Compliance</w:t>
      </w:r>
    </w:p>
    <w:p w14:paraId="4E0C42D6" w14:textId="77777777" w:rsidR="00F31097" w:rsidRDefault="00000000">
      <w:pPr>
        <w:pStyle w:val="BodyText"/>
      </w:pPr>
      <w:hyperlink r:id="rId89">
        <w:r>
          <w:rPr>
            <w:rStyle w:val="Hyperlink"/>
          </w:rPr>
          <w:t>https://arxiv.org/html/2510.26309v1</w:t>
        </w:r>
      </w:hyperlink>
    </w:p>
    <w:p w14:paraId="476CEDC0" w14:textId="77777777" w:rsidR="00F31097" w:rsidRDefault="00000000">
      <w:pPr>
        <w:pStyle w:val="BodyText"/>
      </w:pPr>
      <w:hyperlink r:id="rId90" w:anchor=":~:text=prior%20to%20fine,of%20performance%20of%20the%20models">
        <w:r>
          <w:rPr>
            <w:rStyle w:val="Hyperlink"/>
          </w:rPr>
          <w:t>[7]</w:t>
        </w:r>
      </w:hyperlink>
      <w:r>
        <w:t xml:space="preserve"> </w:t>
      </w:r>
      <w:hyperlink r:id="rId91" w:anchor=":~:text=%28Bernsohn%20et%20al,better%20than%20SOTA%20models%20like">
        <w:r>
          <w:rPr>
            <w:rStyle w:val="Hyperlink"/>
          </w:rPr>
          <w:t>[8]</w:t>
        </w:r>
      </w:hyperlink>
      <w:r>
        <w:t xml:space="preserve"> aclanthology.org</w:t>
      </w:r>
    </w:p>
    <w:p w14:paraId="38E9A8B4" w14:textId="77777777" w:rsidR="00F31097" w:rsidRDefault="00000000">
      <w:pPr>
        <w:pStyle w:val="BodyText"/>
      </w:pPr>
      <w:hyperlink r:id="rId92">
        <w:r>
          <w:rPr>
            <w:rStyle w:val="Hyperlink"/>
          </w:rPr>
          <w:t>https://aclanthology.org/2024.nllp-1.31.pdf</w:t>
        </w:r>
      </w:hyperlink>
    </w:p>
    <w:p w14:paraId="76F9E5F1" w14:textId="77777777" w:rsidR="00F31097" w:rsidRDefault="00000000">
      <w:pPr>
        <w:pStyle w:val="BodyText"/>
      </w:pPr>
      <w:hyperlink r:id="rId93" w:anchor=":~:text=considerations%20to%20ensure%20responsible%20AI,explanations%20to%20these%20diverse%20users">
        <w:r>
          <w:rPr>
            <w:rStyle w:val="Hyperlink"/>
          </w:rPr>
          <w:t>[17]</w:t>
        </w:r>
      </w:hyperlink>
      <w:r>
        <w:t xml:space="preserve"> </w:t>
      </w:r>
      <w:hyperlink r:id="rId94" w:anchor=":~:text=Evaluation%20Metrics%20for%20Explainability%20Evaluating,Plausibility%20focuses%20on">
        <w:r>
          <w:rPr>
            <w:rStyle w:val="Hyperlink"/>
          </w:rPr>
          <w:t>[31]</w:t>
        </w:r>
      </w:hyperlink>
      <w:r>
        <w:t xml:space="preserve"> </w:t>
      </w:r>
      <w:hyperlink r:id="rId95" w:anchor=":~:text=commonly%20assessed%20through%20human%20judgment,Jin%2C%202025%5D.%20Comprehensiveness">
        <w:r>
          <w:rPr>
            <w:rStyle w:val="Hyperlink"/>
          </w:rPr>
          <w:t>[36]</w:t>
        </w:r>
      </w:hyperlink>
      <w:r>
        <w:t xml:space="preserve"> openresearch-repository.anu.edu.au</w:t>
      </w:r>
    </w:p>
    <w:p w14:paraId="6BF7459C" w14:textId="77777777" w:rsidR="00F31097" w:rsidRDefault="00000000">
      <w:pPr>
        <w:pStyle w:val="BodyText"/>
      </w:pPr>
      <w:hyperlink r:id="rId96">
        <w:r>
          <w:rPr>
            <w:rStyle w:val="Hyperlink"/>
          </w:rPr>
          <w:t>https://openresearch-repository.anu.edu.au/bitstreams/e0e3c0e0-d549-4bee-af1d-6c9ebe58dbf2/download</w:t>
        </w:r>
      </w:hyperlink>
    </w:p>
    <w:p w14:paraId="083663A4" w14:textId="77777777" w:rsidR="00F31097" w:rsidRDefault="00000000">
      <w:pPr>
        <w:pStyle w:val="BodyText"/>
      </w:pPr>
      <w:hyperlink r:id="rId97" w:anchor=":~:text=component,influential%20to%20generated%20outputs%2C%20thereby">
        <w:r>
          <w:rPr>
            <w:rStyle w:val="Hyperlink"/>
          </w:rPr>
          <w:t>[18]</w:t>
        </w:r>
      </w:hyperlink>
      <w:r>
        <w:t xml:space="preserve"> </w:t>
      </w:r>
      <w:hyperlink r:id="rId98" w:anchor=":~:text=match%20at%20L111%20relations%20most,12">
        <w:r>
          <w:rPr>
            <w:rStyle w:val="Hyperlink"/>
          </w:rPr>
          <w:t>[19]</w:t>
        </w:r>
      </w:hyperlink>
      <w:r>
        <w:t xml:space="preserve"> </w:t>
      </w:r>
      <w:hyperlink r:id="rId99" w:anchor=":~:text=making%20RAG%20more%20transparent,to%20balance%20model%20effectiveness%20with">
        <w:r>
          <w:rPr>
            <w:rStyle w:val="Hyperlink"/>
          </w:rPr>
          <w:t>[20]</w:t>
        </w:r>
      </w:hyperlink>
      <w:r>
        <w:t xml:space="preserve"> </w:t>
      </w:r>
      <w:hyperlink r:id="rId100" w:anchor=":~:text=The%20goal%20of%20this%20study,13%2C%2014%2C%2015">
        <w:r>
          <w:rPr>
            <w:rStyle w:val="Hyperlink"/>
          </w:rPr>
          <w:t>[21]</w:t>
        </w:r>
      </w:hyperlink>
      <w:r>
        <w:t xml:space="preserve"> </w:t>
      </w:r>
      <w:hyperlink r:id="rId101" w:anchor=":~:text=match%20at%20L72%20Retrieval,LLMs">
        <w:r>
          <w:rPr>
            <w:rStyle w:val="Hyperlink"/>
          </w:rPr>
          <w:t>[29]</w:t>
        </w:r>
      </w:hyperlink>
      <w:r>
        <w:t xml:space="preserve"> </w:t>
      </w:r>
      <w:hyperlink r:id="rId102" w:anchor=":~:text=relations%20most%20influential%20to%20each,12">
        <w:r>
          <w:rPr>
            <w:rStyle w:val="Hyperlink"/>
          </w:rPr>
          <w:t>[30]</w:t>
        </w:r>
      </w:hyperlink>
      <w:r>
        <w:t xml:space="preserve"> Explainable Knowledge Graph Retrieval-Augmented Generation (KG-RAG) with KG-SMILE</w:t>
      </w:r>
    </w:p>
    <w:p w14:paraId="299948B2" w14:textId="77777777" w:rsidR="00F31097" w:rsidRDefault="00000000">
      <w:pPr>
        <w:pStyle w:val="BodyText"/>
      </w:pPr>
      <w:hyperlink r:id="rId103">
        <w:r>
          <w:rPr>
            <w:rStyle w:val="Hyperlink"/>
          </w:rPr>
          <w:t>https://arxiv.org/html/2509.03626v1</w:t>
        </w:r>
      </w:hyperlink>
    </w:p>
    <w:p w14:paraId="78869E64" w14:textId="77777777" w:rsidR="00F31097" w:rsidRDefault="00000000">
      <w:pPr>
        <w:pStyle w:val="BodyText"/>
      </w:pPr>
      <w:hyperlink r:id="rId104" w:anchor=":~:text=In%20high,and%20corresponding%20responses%20from%20retrieval">
        <w:r>
          <w:rPr>
            <w:rStyle w:val="Hyperlink"/>
          </w:rPr>
          <w:t>[22]</w:t>
        </w:r>
      </w:hyperlink>
      <w:r>
        <w:t xml:space="preserve"> </w:t>
      </w:r>
      <w:hyperlink r:id="rId105" w:anchor=":~:text=specifically%20for%20legal%20queries%20and,generative%20AI%20in%20legal%20settings">
        <w:r>
          <w:rPr>
            <w:rStyle w:val="Hyperlink"/>
          </w:rPr>
          <w:t>[23]</w:t>
        </w:r>
      </w:hyperlink>
      <w:r>
        <w:t xml:space="preserve"> </w:t>
      </w:r>
      <w:hyperlink r:id="rId106" w:anchor=":~:text=of%20AI,in%20groundedness%20classification%20of%20generated">
        <w:r>
          <w:rPr>
            <w:rStyle w:val="Hyperlink"/>
          </w:rPr>
          <w:t>[24]</w:t>
        </w:r>
      </w:hyperlink>
      <w:r>
        <w:t xml:space="preserve"> </w:t>
      </w:r>
      <w:hyperlink r:id="rId107" w:anchor=":~:text=results%20indicate%20potential%20in%20groundedness,generative%20AI%20in%20legal%20settings">
        <w:r>
          <w:rPr>
            <w:rStyle w:val="Hyperlink"/>
          </w:rPr>
          <w:t>[25]</w:t>
        </w:r>
      </w:hyperlink>
      <w:r>
        <w:t xml:space="preserve"> </w:t>
      </w:r>
      <w:hyperlink r:id="rId108" w:anchor=":~:text=In%20high,created%20grounding%20classification%20corpus%2C%20designed">
        <w:r>
          <w:rPr>
            <w:rStyle w:val="Hyperlink"/>
          </w:rPr>
          <w:t>[37]</w:t>
        </w:r>
      </w:hyperlink>
      <w:r>
        <w:t xml:space="preserve"> Measuring the Groundedness of Legal Question-Answering Systems - ACL Anthology</w:t>
      </w:r>
    </w:p>
    <w:p w14:paraId="5F775857" w14:textId="77777777" w:rsidR="00F31097" w:rsidRDefault="00000000">
      <w:pPr>
        <w:pStyle w:val="BodyText"/>
      </w:pPr>
      <w:hyperlink r:id="rId109">
        <w:r>
          <w:rPr>
            <w:rStyle w:val="Hyperlink"/>
          </w:rPr>
          <w:t>https://aclanthology.org/2024.nllp-1.14/</w:t>
        </w:r>
      </w:hyperlink>
    </w:p>
    <w:p w14:paraId="0084DEBF" w14:textId="77777777" w:rsidR="00F31097" w:rsidRDefault="00000000">
      <w:pPr>
        <w:pStyle w:val="BodyText"/>
      </w:pPr>
      <w:hyperlink r:id="rId110" w:anchor=":~:text=bases,closed%20models%20perform%20well%20on">
        <w:r>
          <w:rPr>
            <w:rStyle w:val="Hyperlink"/>
          </w:rPr>
          <w:t>[26]</w:t>
        </w:r>
      </w:hyperlink>
      <w:r>
        <w:t xml:space="preserve"> </w:t>
      </w:r>
      <w:hyperlink r:id="rId111" w:anchor=":~:text=evaluation%20benchmark%20of%20144%20unit,supplemented%20with%20evaluations%20on%20unit">
        <w:r>
          <w:rPr>
            <w:rStyle w:val="Hyperlink"/>
          </w:rPr>
          <w:t>[27]</w:t>
        </w:r>
      </w:hyperlink>
      <w:r>
        <w:t xml:space="preserve"> [2409.06595] GroUSE: A Benchmark to Evaluate Evaluators in Grounded Question Answering</w:t>
      </w:r>
    </w:p>
    <w:p w14:paraId="0461F066" w14:textId="77777777" w:rsidR="00F31097" w:rsidRDefault="00000000">
      <w:pPr>
        <w:pStyle w:val="BodyText"/>
      </w:pPr>
      <w:hyperlink r:id="rId112">
        <w:r>
          <w:rPr>
            <w:rStyle w:val="Hyperlink"/>
          </w:rPr>
          <w:t>https://arxiv.org/abs/2409.06595</w:t>
        </w:r>
      </w:hyperlink>
    </w:p>
    <w:p w14:paraId="3C503693" w14:textId="77777777" w:rsidR="00F31097" w:rsidRDefault="00000000">
      <w:pPr>
        <w:pStyle w:val="BodyText"/>
      </w:pPr>
      <w:hyperlink r:id="rId113" w:anchor=":~:text=Our%20analysis%20identifies%20three%20key,LLMs%20but%20also%20uncovers%20fundamental">
        <w:r>
          <w:rPr>
            <w:rStyle w:val="Hyperlink"/>
          </w:rPr>
          <w:t>[32]</w:t>
        </w:r>
      </w:hyperlink>
      <w:r>
        <w:t xml:space="preserve"> </w:t>
      </w:r>
      <w:hyperlink r:id="rId114" w:anchor=":~:text=14%20billion%20parameters%2C%20with%20only,Code%20and%20models%20are">
        <w:r>
          <w:rPr>
            <w:rStyle w:val="Hyperlink"/>
          </w:rPr>
          <w:t>[33]</w:t>
        </w:r>
      </w:hyperlink>
      <w:r>
        <w:t xml:space="preserve"> </w:t>
      </w:r>
      <w:hyperlink r:id="rId115" w:anchor=":~:text=Current%20evaluation%20benchmarks%20primarily%20assess,stylistic%20inconsistencies%2C%20or%20impaired%20readability">
        <w:r>
          <w:rPr>
            <w:rStyle w:val="Hyperlink"/>
          </w:rPr>
          <w:t>[39]</w:t>
        </w:r>
      </w:hyperlink>
      <w:r>
        <w:t xml:space="preserve"> LegalEval-Q: A New Benchmark for The Quality Evaluation of LLM-Generated Legal Text</w:t>
      </w:r>
    </w:p>
    <w:p w14:paraId="6C4A693E" w14:textId="77777777" w:rsidR="00F31097" w:rsidRDefault="00000000">
      <w:pPr>
        <w:pStyle w:val="BodyText"/>
      </w:pPr>
      <w:hyperlink r:id="rId116">
        <w:r>
          <w:rPr>
            <w:rStyle w:val="Hyperlink"/>
          </w:rPr>
          <w:t>https://arxiv.org/html/2505.24826v1</w:t>
        </w:r>
      </w:hyperlink>
    </w:p>
    <w:p w14:paraId="7DB4672E" w14:textId="77777777" w:rsidR="00F31097" w:rsidRDefault="00000000">
      <w:pPr>
        <w:pStyle w:val="BodyText"/>
      </w:pPr>
      <w:hyperlink r:id="rId117" w:anchor=":~:text=,reference%20answer%20ar%20from%20LLMgen">
        <w:r>
          <w:rPr>
            <w:rStyle w:val="Hyperlink"/>
          </w:rPr>
          <w:t>[34]</w:t>
        </w:r>
      </w:hyperlink>
      <w:r>
        <w:t xml:space="preserve"> </w:t>
      </w:r>
      <w:hyperlink r:id="rId118" w:anchor=":~:text=Once%20the%20system%20retrieves%20relevant,model%20LLMeval%20or%20a%20domain">
        <w:r>
          <w:rPr>
            <w:rStyle w:val="Hyperlink"/>
          </w:rPr>
          <w:t>[35]</w:t>
        </w:r>
      </w:hyperlink>
      <w:r>
        <w:t xml:space="preserve"> RAGulating Compliance: A Multi-Agent Knowledge Graph for Regulatory QA</w:t>
      </w:r>
    </w:p>
    <w:p w14:paraId="0CE75310" w14:textId="77777777" w:rsidR="00F31097" w:rsidRDefault="00000000">
      <w:pPr>
        <w:pStyle w:val="BodyText"/>
      </w:pPr>
      <w:hyperlink r:id="rId119">
        <w:r>
          <w:rPr>
            <w:rStyle w:val="Hyperlink"/>
          </w:rPr>
          <w:t>https://web3.arxiv.org/pdf/2508.09893</w:t>
        </w:r>
      </w:hyperlink>
      <w:bookmarkEnd w:id="12"/>
    </w:p>
    <w:sectPr w:rsidR="00F310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2EDE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5E3A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3366D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36441967">
    <w:abstractNumId w:val="0"/>
  </w:num>
  <w:num w:numId="2" w16cid:durableId="1524439025">
    <w:abstractNumId w:val="1"/>
  </w:num>
  <w:num w:numId="3" w16cid:durableId="756243371">
    <w:abstractNumId w:val="1"/>
  </w:num>
  <w:num w:numId="4" w16cid:durableId="1588540017">
    <w:abstractNumId w:val="1"/>
  </w:num>
  <w:num w:numId="5" w16cid:durableId="1972830709">
    <w:abstractNumId w:val="1"/>
  </w:num>
  <w:num w:numId="6" w16cid:durableId="2020614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4729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31097"/>
    <w:rsid w:val="007400CD"/>
    <w:rsid w:val="009B617D"/>
    <w:rsid w:val="00F31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9A14"/>
  <w15:docId w15:val="{3C4B4881-58F8-4DC5-A52A-67C94E7A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509.03626v1" TargetMode="External"/><Relationship Id="rId117" Type="http://schemas.openxmlformats.org/officeDocument/2006/relationships/hyperlink" Target="https://web3.arxiv.org/pdf/2508.09893" TargetMode="External"/><Relationship Id="rId21" Type="http://schemas.openxmlformats.org/officeDocument/2006/relationships/hyperlink" Target="https://graphwise.ai/blog/the-advantages-of-graphrag-for-enhanced-regulatory-compliance-and-understanding/" TargetMode="External"/><Relationship Id="rId42" Type="http://schemas.openxmlformats.org/officeDocument/2006/relationships/hyperlink" Target="https://web3.arxiv.org/pdf/2508.09893" TargetMode="External"/><Relationship Id="rId47" Type="http://schemas.openxmlformats.org/officeDocument/2006/relationships/hyperlink" Target="https://arxiv.org/html/2510.26309v1" TargetMode="External"/><Relationship Id="rId63" Type="http://schemas.openxmlformats.org/officeDocument/2006/relationships/hyperlink" Target="https://web3.arxiv.org/pdf/2508.09893" TargetMode="External"/><Relationship Id="rId68" Type="http://schemas.openxmlformats.org/officeDocument/2006/relationships/hyperlink" Target="https://arxiv.org/html/2510.26309v1" TargetMode="External"/><Relationship Id="rId84" Type="http://schemas.openxmlformats.org/officeDocument/2006/relationships/hyperlink" Target="https://arxiv.org/html/2510.26309v1" TargetMode="External"/><Relationship Id="rId89" Type="http://schemas.openxmlformats.org/officeDocument/2006/relationships/hyperlink" Target="https://arxiv.org/html/2510.26309v1" TargetMode="External"/><Relationship Id="rId112" Type="http://schemas.openxmlformats.org/officeDocument/2006/relationships/hyperlink" Target="https://arxiv.org/abs/2409.06595" TargetMode="External"/><Relationship Id="rId16" Type="http://schemas.openxmlformats.org/officeDocument/2006/relationships/hyperlink" Target="https://arxiv.org/html/2510.26309v1" TargetMode="External"/><Relationship Id="rId107" Type="http://schemas.openxmlformats.org/officeDocument/2006/relationships/hyperlink" Target="https://aclanthology.org/2024.nllp-1.14/" TargetMode="External"/><Relationship Id="rId11" Type="http://schemas.openxmlformats.org/officeDocument/2006/relationships/hyperlink" Target="https://aclanthology.org/2024.nllp-1.31.pdf" TargetMode="External"/><Relationship Id="rId32" Type="http://schemas.openxmlformats.org/officeDocument/2006/relationships/hyperlink" Target="https://arxiv.org/abs/2409.06595" TargetMode="External"/><Relationship Id="rId37" Type="http://schemas.openxmlformats.org/officeDocument/2006/relationships/hyperlink" Target="https://openresearch-repository.anu.edu.au/bitstreams/e0e3c0e0-d549-4bee-af1d-6c9ebe58dbf2/download" TargetMode="External"/><Relationship Id="rId53" Type="http://schemas.openxmlformats.org/officeDocument/2006/relationships/hyperlink" Target="https://aclanthology.org/2024.nllp-1.14/" TargetMode="External"/><Relationship Id="rId58" Type="http://schemas.openxmlformats.org/officeDocument/2006/relationships/hyperlink" Target="https://aclanthology.org/2024.nllp-1.14/" TargetMode="External"/><Relationship Id="rId74" Type="http://schemas.openxmlformats.org/officeDocument/2006/relationships/hyperlink" Target="https://www.protiviti.com/sites/default/files/2025-02/protiviti-whitepaper-eu-ai-act-faq-global.pdf" TargetMode="External"/><Relationship Id="rId79" Type="http://schemas.openxmlformats.org/officeDocument/2006/relationships/hyperlink" Target="https://arxiv.org/html/2510.26309v1" TargetMode="External"/><Relationship Id="rId102" Type="http://schemas.openxmlformats.org/officeDocument/2006/relationships/hyperlink" Target="https://arxiv.org/html/2509.03626v1" TargetMode="External"/><Relationship Id="rId5" Type="http://schemas.openxmlformats.org/officeDocument/2006/relationships/hyperlink" Target="https://graphwise.ai/blog/the-advantages-of-graphrag-for-enhanced-regulatory-compliance-and-understanding/" TargetMode="External"/><Relationship Id="rId90" Type="http://schemas.openxmlformats.org/officeDocument/2006/relationships/hyperlink" Target="https://aclanthology.org/2024.nllp-1.31.pdf" TargetMode="External"/><Relationship Id="rId95" Type="http://schemas.openxmlformats.org/officeDocument/2006/relationships/hyperlink" Target="https://openresearch-repository.anu.edu.au/bitstreams/e0e3c0e0-d549-4bee-af1d-6c9ebe58dbf2/download" TargetMode="External"/><Relationship Id="rId22" Type="http://schemas.openxmlformats.org/officeDocument/2006/relationships/hyperlink" Target="https://openresearch-repository.anu.edu.au/bitstreams/e0e3c0e0-d549-4bee-af1d-6c9ebe58dbf2/download" TargetMode="External"/><Relationship Id="rId27" Type="http://schemas.openxmlformats.org/officeDocument/2006/relationships/hyperlink" Target="https://arxiv.org/html/2509.03626v1" TargetMode="External"/><Relationship Id="rId43" Type="http://schemas.openxmlformats.org/officeDocument/2006/relationships/hyperlink" Target="https://openresearch-repository.anu.edu.au/bitstreams/e0e3c0e0-d549-4bee-af1d-6c9ebe58dbf2/download" TargetMode="External"/><Relationship Id="rId48" Type="http://schemas.openxmlformats.org/officeDocument/2006/relationships/hyperlink" Target="https://arxiv.org/html/2510.26309v1" TargetMode="External"/><Relationship Id="rId64" Type="http://schemas.openxmlformats.org/officeDocument/2006/relationships/hyperlink" Target="https://graphwise.ai/blog/the-advantages-of-graphrag-for-enhanced-regulatory-compliance-and-understanding/" TargetMode="External"/><Relationship Id="rId69" Type="http://schemas.openxmlformats.org/officeDocument/2006/relationships/hyperlink" Target="https://arxiv.org/html/2510.26309v1" TargetMode="External"/><Relationship Id="rId113" Type="http://schemas.openxmlformats.org/officeDocument/2006/relationships/hyperlink" Target="https://arxiv.org/html/2505.24826v1" TargetMode="External"/><Relationship Id="rId118" Type="http://schemas.openxmlformats.org/officeDocument/2006/relationships/hyperlink" Target="https://web3.arxiv.org/pdf/2508.09893" TargetMode="External"/><Relationship Id="rId80" Type="http://schemas.openxmlformats.org/officeDocument/2006/relationships/hyperlink" Target="https://arxiv.org/html/2510.26309v1" TargetMode="External"/><Relationship Id="rId85" Type="http://schemas.openxmlformats.org/officeDocument/2006/relationships/hyperlink" Target="https://arxiv.org/html/2510.26309v1" TargetMode="External"/><Relationship Id="rId12" Type="http://schemas.openxmlformats.org/officeDocument/2006/relationships/hyperlink" Target="https://aclanthology.org/2024.nllp-1.31.pdf" TargetMode="External"/><Relationship Id="rId17" Type="http://schemas.openxmlformats.org/officeDocument/2006/relationships/hyperlink" Target="https://arxiv.org/html/2510.26309v1" TargetMode="External"/><Relationship Id="rId33" Type="http://schemas.openxmlformats.org/officeDocument/2006/relationships/hyperlink" Target="https://arxiv.org/abs/2409.06595" TargetMode="External"/><Relationship Id="rId38" Type="http://schemas.openxmlformats.org/officeDocument/2006/relationships/hyperlink" Target="https://openresearch-repository.anu.edu.au/bitstreams/e0e3c0e0-d549-4bee-af1d-6c9ebe58dbf2/download" TargetMode="External"/><Relationship Id="rId59" Type="http://schemas.openxmlformats.org/officeDocument/2006/relationships/hyperlink" Target="https://aclanthology.org/2024.nllp-1.14/" TargetMode="External"/><Relationship Id="rId103" Type="http://schemas.openxmlformats.org/officeDocument/2006/relationships/hyperlink" Target="https://arxiv.org/html/2509.03626v1" TargetMode="External"/><Relationship Id="rId108" Type="http://schemas.openxmlformats.org/officeDocument/2006/relationships/hyperlink" Target="https://aclanthology.org/2024.nllp-1.14/" TargetMode="External"/><Relationship Id="rId54" Type="http://schemas.openxmlformats.org/officeDocument/2006/relationships/hyperlink" Target="https://aclanthology.org/2024.nllp-1.14/" TargetMode="External"/><Relationship Id="rId70" Type="http://schemas.openxmlformats.org/officeDocument/2006/relationships/hyperlink" Target="https://www.protiviti.com/sites/default/files/2025-02/protiviti-whitepaper-eu-ai-act-faq-global.pdf" TargetMode="External"/><Relationship Id="rId75" Type="http://schemas.openxmlformats.org/officeDocument/2006/relationships/hyperlink" Target="https://www.protiviti.com/sites/default/files/2025-02/protiviti-whitepaper-eu-ai-act-faq-global.pdf" TargetMode="External"/><Relationship Id="rId91" Type="http://schemas.openxmlformats.org/officeDocument/2006/relationships/hyperlink" Target="https://aclanthology.org/2024.nllp-1.31.pdf" TargetMode="External"/><Relationship Id="rId96" Type="http://schemas.openxmlformats.org/officeDocument/2006/relationships/hyperlink" Target="https://openresearch-repository.anu.edu.au/bitstreams/e0e3c0e0-d549-4bee-af1d-6c9ebe58dbf2/download" TargetMode="External"/><Relationship Id="rId1" Type="http://schemas.openxmlformats.org/officeDocument/2006/relationships/numbering" Target="numbering.xml"/><Relationship Id="rId6" Type="http://schemas.openxmlformats.org/officeDocument/2006/relationships/hyperlink" Target="https://graphwise.ai/blog/the-advantages-of-graphrag-for-enhanced-regulatory-compliance-and-understanding/" TargetMode="External"/><Relationship Id="rId23" Type="http://schemas.openxmlformats.org/officeDocument/2006/relationships/hyperlink" Target="https://arxiv.org/html/2509.03626v1" TargetMode="External"/><Relationship Id="rId28" Type="http://schemas.openxmlformats.org/officeDocument/2006/relationships/hyperlink" Target="https://aclanthology.org/2024.nllp-1.14/" TargetMode="External"/><Relationship Id="rId49" Type="http://schemas.openxmlformats.org/officeDocument/2006/relationships/hyperlink" Target="https://aclanthology.org/2024.nllp-1.14/" TargetMode="External"/><Relationship Id="rId114" Type="http://schemas.openxmlformats.org/officeDocument/2006/relationships/hyperlink" Target="https://arxiv.org/html/2505.24826v1" TargetMode="External"/><Relationship Id="rId119" Type="http://schemas.openxmlformats.org/officeDocument/2006/relationships/hyperlink" Target="https://web3.arxiv.org/pdf/2508.09893" TargetMode="External"/><Relationship Id="rId44" Type="http://schemas.openxmlformats.org/officeDocument/2006/relationships/hyperlink" Target="https://openresearch-repository.anu.edu.au/bitstreams/e0e3c0e0-d549-4bee-af1d-6c9ebe58dbf2/download" TargetMode="External"/><Relationship Id="rId60" Type="http://schemas.openxmlformats.org/officeDocument/2006/relationships/hyperlink" Target="https://arxiv.org/abs/2409.06595" TargetMode="External"/><Relationship Id="rId65" Type="http://schemas.openxmlformats.org/officeDocument/2006/relationships/hyperlink" Target="https://graphwise.ai/blog/the-advantages-of-graphrag-for-enhanced-regulatory-compliance-and-understanding/" TargetMode="External"/><Relationship Id="rId81" Type="http://schemas.openxmlformats.org/officeDocument/2006/relationships/hyperlink" Target="https://arxiv.org/html/2510.26309v1" TargetMode="External"/><Relationship Id="rId86" Type="http://schemas.openxmlformats.org/officeDocument/2006/relationships/hyperlink" Target="https://arxiv.org/html/2510.26309v1" TargetMode="External"/><Relationship Id="rId4" Type="http://schemas.openxmlformats.org/officeDocument/2006/relationships/webSettings" Target="webSettings.xml"/><Relationship Id="rId9" Type="http://schemas.openxmlformats.org/officeDocument/2006/relationships/hyperlink" Target="https://arxiv.org/html/2510.26309v1" TargetMode="External"/><Relationship Id="rId13" Type="http://schemas.openxmlformats.org/officeDocument/2006/relationships/hyperlink" Target="https://arxiv.org/html/2510.26309v1" TargetMode="External"/><Relationship Id="rId18" Type="http://schemas.openxmlformats.org/officeDocument/2006/relationships/hyperlink" Target="https://arxiv.org/html/2510.26309v1" TargetMode="External"/><Relationship Id="rId39" Type="http://schemas.openxmlformats.org/officeDocument/2006/relationships/hyperlink" Target="https://arxiv.org/html/2505.24826v1" TargetMode="External"/><Relationship Id="rId109" Type="http://schemas.openxmlformats.org/officeDocument/2006/relationships/hyperlink" Target="https://aclanthology.org/2024.nllp-1.14/" TargetMode="External"/><Relationship Id="rId34" Type="http://schemas.openxmlformats.org/officeDocument/2006/relationships/hyperlink" Target="https://arxiv.org/html/2510.26309v1" TargetMode="External"/><Relationship Id="rId50" Type="http://schemas.openxmlformats.org/officeDocument/2006/relationships/hyperlink" Target="https://aclanthology.org/2024.nllp-1.14/" TargetMode="External"/><Relationship Id="rId55" Type="http://schemas.openxmlformats.org/officeDocument/2006/relationships/hyperlink" Target="https://www.protiviti.com/sites/default/files/2025-02/protiviti-whitepaper-eu-ai-act-faq-global.pdf" TargetMode="External"/><Relationship Id="rId76" Type="http://schemas.openxmlformats.org/officeDocument/2006/relationships/hyperlink" Target="https://arxiv.org/html/2510.26309v1" TargetMode="External"/><Relationship Id="rId97" Type="http://schemas.openxmlformats.org/officeDocument/2006/relationships/hyperlink" Target="https://arxiv.org/html/2509.03626v1" TargetMode="External"/><Relationship Id="rId104" Type="http://schemas.openxmlformats.org/officeDocument/2006/relationships/hyperlink" Target="https://aclanthology.org/2024.nllp-1.14/" TargetMode="External"/><Relationship Id="rId120" Type="http://schemas.openxmlformats.org/officeDocument/2006/relationships/fontTable" Target="fontTable.xml"/><Relationship Id="rId7" Type="http://schemas.openxmlformats.org/officeDocument/2006/relationships/hyperlink" Target="https://www.protiviti.com/sites/default/files/2025-02/protiviti-whitepaper-eu-ai-act-faq-global.pdf" TargetMode="External"/><Relationship Id="rId71" Type="http://schemas.openxmlformats.org/officeDocument/2006/relationships/hyperlink" Target="https://graphwise.ai/blog/the-advantages-of-graphrag-for-enhanced-regulatory-compliance-and-understanding/" TargetMode="External"/><Relationship Id="rId92" Type="http://schemas.openxmlformats.org/officeDocument/2006/relationships/hyperlink" Target="https://aclanthology.org/2024.nllp-1.31.pdf" TargetMode="External"/><Relationship Id="rId2" Type="http://schemas.openxmlformats.org/officeDocument/2006/relationships/styles" Target="styles.xml"/><Relationship Id="rId29" Type="http://schemas.openxmlformats.org/officeDocument/2006/relationships/hyperlink" Target="https://aclanthology.org/2024.nllp-1.14/" TargetMode="External"/><Relationship Id="rId24" Type="http://schemas.openxmlformats.org/officeDocument/2006/relationships/hyperlink" Target="https://arxiv.org/html/2509.03626v1" TargetMode="External"/><Relationship Id="rId40" Type="http://schemas.openxmlformats.org/officeDocument/2006/relationships/hyperlink" Target="https://arxiv.org/html/2505.24826v1" TargetMode="External"/><Relationship Id="rId45" Type="http://schemas.openxmlformats.org/officeDocument/2006/relationships/hyperlink" Target="https://aclanthology.org/2024.nllp-1.14/" TargetMode="External"/><Relationship Id="rId66" Type="http://schemas.openxmlformats.org/officeDocument/2006/relationships/hyperlink" Target="https://arxiv.org/html/2505.24826v1" TargetMode="External"/><Relationship Id="rId87" Type="http://schemas.openxmlformats.org/officeDocument/2006/relationships/hyperlink" Target="https://arxiv.org/html/2510.26309v1" TargetMode="External"/><Relationship Id="rId110" Type="http://schemas.openxmlformats.org/officeDocument/2006/relationships/hyperlink" Target="https://arxiv.org/abs/2409.06595" TargetMode="External"/><Relationship Id="rId115" Type="http://schemas.openxmlformats.org/officeDocument/2006/relationships/hyperlink" Target="https://arxiv.org/html/2505.24826v1" TargetMode="External"/><Relationship Id="rId61" Type="http://schemas.openxmlformats.org/officeDocument/2006/relationships/hyperlink" Target="https://arxiv.org/abs/2409.06595" TargetMode="External"/><Relationship Id="rId82" Type="http://schemas.openxmlformats.org/officeDocument/2006/relationships/hyperlink" Target="https://arxiv.org/html/2510.26309v1" TargetMode="External"/><Relationship Id="rId19" Type="http://schemas.openxmlformats.org/officeDocument/2006/relationships/hyperlink" Target="https://arxiv.org/html/2510.26309v1" TargetMode="External"/><Relationship Id="rId14" Type="http://schemas.openxmlformats.org/officeDocument/2006/relationships/hyperlink" Target="https://arxiv.org/html/2510.26309v1" TargetMode="External"/><Relationship Id="rId30" Type="http://schemas.openxmlformats.org/officeDocument/2006/relationships/hyperlink" Target="https://aclanthology.org/2024.nllp-1.14/" TargetMode="External"/><Relationship Id="rId35" Type="http://schemas.openxmlformats.org/officeDocument/2006/relationships/hyperlink" Target="https://arxiv.org/html/2509.03626v1" TargetMode="External"/><Relationship Id="rId56" Type="http://schemas.openxmlformats.org/officeDocument/2006/relationships/hyperlink" Target="https://arxiv.org/html/2509.03626v1" TargetMode="External"/><Relationship Id="rId77" Type="http://schemas.openxmlformats.org/officeDocument/2006/relationships/hyperlink" Target="https://arxiv.org/html/2510.26309v1" TargetMode="External"/><Relationship Id="rId100" Type="http://schemas.openxmlformats.org/officeDocument/2006/relationships/hyperlink" Target="https://arxiv.org/html/2509.03626v1" TargetMode="External"/><Relationship Id="rId105" Type="http://schemas.openxmlformats.org/officeDocument/2006/relationships/hyperlink" Target="https://aclanthology.org/2024.nllp-1.14/" TargetMode="External"/><Relationship Id="rId8" Type="http://schemas.openxmlformats.org/officeDocument/2006/relationships/hyperlink" Target="https://graphwise.ai/blog/the-advantages-of-graphrag-for-enhanced-regulatory-compliance-and-understanding/" TargetMode="External"/><Relationship Id="rId51" Type="http://schemas.openxmlformats.org/officeDocument/2006/relationships/hyperlink" Target="https://arxiv.org/abs/2409.06595" TargetMode="External"/><Relationship Id="rId72" Type="http://schemas.openxmlformats.org/officeDocument/2006/relationships/hyperlink" Target="https://graphwise.ai/blog/the-advantages-of-graphrag-for-enhanced-regulatory-compliance-and-understanding/" TargetMode="External"/><Relationship Id="rId93" Type="http://schemas.openxmlformats.org/officeDocument/2006/relationships/hyperlink" Target="https://openresearch-repository.anu.edu.au/bitstreams/e0e3c0e0-d549-4bee-af1d-6c9ebe58dbf2/download" TargetMode="External"/><Relationship Id="rId98" Type="http://schemas.openxmlformats.org/officeDocument/2006/relationships/hyperlink" Target="https://arxiv.org/html/2509.03626v1"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arxiv.org/html/2509.03626v1" TargetMode="External"/><Relationship Id="rId46" Type="http://schemas.openxmlformats.org/officeDocument/2006/relationships/hyperlink" Target="https://arxiv.org/html/2510.26309v1" TargetMode="External"/><Relationship Id="rId67" Type="http://schemas.openxmlformats.org/officeDocument/2006/relationships/hyperlink" Target="https://arxiv.org/html/2505.24826v1" TargetMode="External"/><Relationship Id="rId116" Type="http://schemas.openxmlformats.org/officeDocument/2006/relationships/hyperlink" Target="https://arxiv.org/html/2505.24826v1" TargetMode="External"/><Relationship Id="rId20" Type="http://schemas.openxmlformats.org/officeDocument/2006/relationships/hyperlink" Target="https://arxiv.org/html/2510.26309v1" TargetMode="External"/><Relationship Id="rId41" Type="http://schemas.openxmlformats.org/officeDocument/2006/relationships/hyperlink" Target="https://web3.arxiv.org/pdf/2508.09893" TargetMode="External"/><Relationship Id="rId62" Type="http://schemas.openxmlformats.org/officeDocument/2006/relationships/hyperlink" Target="https://web3.arxiv.org/pdf/2508.09893" TargetMode="External"/><Relationship Id="rId83" Type="http://schemas.openxmlformats.org/officeDocument/2006/relationships/hyperlink" Target="https://arxiv.org/html/2510.26309v1" TargetMode="External"/><Relationship Id="rId88" Type="http://schemas.openxmlformats.org/officeDocument/2006/relationships/hyperlink" Target="https://arxiv.org/html/2510.26309v1" TargetMode="External"/><Relationship Id="rId111" Type="http://schemas.openxmlformats.org/officeDocument/2006/relationships/hyperlink" Target="https://arxiv.org/abs/2409.06595" TargetMode="External"/><Relationship Id="rId15" Type="http://schemas.openxmlformats.org/officeDocument/2006/relationships/hyperlink" Target="https://arxiv.org/html/2510.26309v1" TargetMode="External"/><Relationship Id="rId36" Type="http://schemas.openxmlformats.org/officeDocument/2006/relationships/hyperlink" Target="https://arxiv.org/html/2509.03626v1" TargetMode="External"/><Relationship Id="rId57" Type="http://schemas.openxmlformats.org/officeDocument/2006/relationships/hyperlink" Target="https://arxiv.org/html/2509.03626v1" TargetMode="External"/><Relationship Id="rId106" Type="http://schemas.openxmlformats.org/officeDocument/2006/relationships/hyperlink" Target="https://aclanthology.org/2024.nllp-1.14/" TargetMode="External"/><Relationship Id="rId10" Type="http://schemas.openxmlformats.org/officeDocument/2006/relationships/hyperlink" Target="https://arxiv.org/html/2510.26309v1" TargetMode="External"/><Relationship Id="rId31" Type="http://schemas.openxmlformats.org/officeDocument/2006/relationships/hyperlink" Target="https://aclanthology.org/2024.nllp-1.14/" TargetMode="External"/><Relationship Id="rId52" Type="http://schemas.openxmlformats.org/officeDocument/2006/relationships/hyperlink" Target="https://arxiv.org/abs/2409.06595" TargetMode="External"/><Relationship Id="rId73" Type="http://schemas.openxmlformats.org/officeDocument/2006/relationships/hyperlink" Target="https://graphwise.ai/blog/the-advantages-of-graphrag-for-enhanced-regulatory-compliance-and-understanding/" TargetMode="External"/><Relationship Id="rId78" Type="http://schemas.openxmlformats.org/officeDocument/2006/relationships/hyperlink" Target="https://arxiv.org/html/2510.26309v1" TargetMode="External"/><Relationship Id="rId94" Type="http://schemas.openxmlformats.org/officeDocument/2006/relationships/hyperlink" Target="https://openresearch-repository.anu.edu.au/bitstreams/e0e3c0e0-d549-4bee-af1d-6c9ebe58dbf2/download" TargetMode="External"/><Relationship Id="rId99" Type="http://schemas.openxmlformats.org/officeDocument/2006/relationships/hyperlink" Target="https://arxiv.org/html/2509.03626v1" TargetMode="External"/><Relationship Id="rId101" Type="http://schemas.openxmlformats.org/officeDocument/2006/relationships/hyperlink" Target="https://arxiv.org/html/2509.0362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7574</Words>
  <Characters>43173</Characters>
  <Application>Microsoft Office Word</Application>
  <DocSecurity>0</DocSecurity>
  <Lines>359</Lines>
  <Paragraphs>101</Paragraphs>
  <ScaleCrop>false</ScaleCrop>
  <Company/>
  <LinksUpToDate>false</LinksUpToDate>
  <CharactersWithSpaces>50646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Christopher Frydenlund</cp:lastModifiedBy>
  <cp:revision>2</cp:revision>
  <dcterms:created xsi:type="dcterms:W3CDTF">2025-11-07T18:25:00Z</dcterms:created>
  <dcterms:modified xsi:type="dcterms:W3CDTF">2025-11-07T18:46:00Z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