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KDD / WWW / ACL Industry Outlines</w:t>
      </w:r>
    </w:p>
    <w:p>
      <w:r>
        <w:t>{</w:t>
        <w:br/>
        <w:t xml:space="preserve">  "target": [</w:t>
        <w:br/>
        <w:t xml:space="preserve">    "KDD",</w:t>
        <w:br/>
        <w:t xml:space="preserve">    "WWW",</w:t>
        <w:br/>
        <w:t xml:space="preserve">    "ACL Industry"</w:t>
        <w:br/>
        <w:t xml:space="preserve">  ],</w:t>
        <w:br/>
        <w:t xml:space="preserve">  "thesis": "Production-grade explainable RAG over regulatory corpora with strict SLOs and deterministic pipelines.",</w:t>
        <w:br/>
        <w:t xml:space="preserve">  "contributions": [</w:t>
        <w:br/>
        <w:t xml:space="preserve">    "Windows-first deterministic ingestion + KG",</w:t>
        <w:br/>
        <w:t xml:space="preserve">    "Hybrid retrieval with SPARQL tool-use",</w:t>
        <w:br/>
        <w:t xml:space="preserve">    "Observability stack with latency/canary SLOs"</w:t>
        <w:br/>
        <w:t xml:space="preserve">  ],</w:t>
        <w:br/>
        <w:t xml:space="preserve">  "methods": {</w:t>
        <w:br/>
        <w:t xml:space="preserve">    "retrieval": {</w:t>
        <w:br/>
        <w:t xml:space="preserve">      "hybrid": true,</w:t>
        <w:br/>
        <w:t xml:space="preserve">      "fusion": "RRF",</w:t>
        <w:br/>
        <w:t xml:space="preserve">      "reranking": "LegalBERT"</w:t>
        <w:br/>
        <w:t xml:space="preserve">    },</w:t>
        <w:br/>
        <w:t xml:space="preserve">    "generation": {</w:t>
        <w:br/>
        <w:t xml:space="preserve">      "model": "Mistral/Llama QLoRA",</w:t>
        <w:br/>
        <w:t xml:space="preserve">      "guardrails": [</w:t>
        <w:br/>
        <w:t xml:space="preserve">        "policy-aware decoding"</w:t>
        <w:br/>
        <w:t xml:space="preserve">      ]</w:t>
        <w:br/>
        <w:t xml:space="preserve">    },</w:t>
        <w:br/>
        <w:t xml:space="preserve">    "ops": {</w:t>
        <w:br/>
        <w:t xml:space="preserve">      "latency_budgets_ms": {</w:t>
        <w:br/>
        <w:t xml:space="preserve">        "api_p95": 800,</w:t>
        <w:br/>
        <w:t xml:space="preserve">        "sparql_p95": 1500</w:t>
        <w:br/>
        <w:t xml:space="preserve">      }</w:t>
        <w:br/>
        <w:t xml:space="preserve">    }</w:t>
        <w:br/>
        <w:t xml:space="preserve">  },</w:t>
        <w:br/>
        <w:t xml:space="preserve">  "evaluation": {</w:t>
        <w:br/>
        <w:t xml:space="preserve">    "metrics": [</w:t>
        <w:br/>
        <w:t xml:space="preserve">      "hit@k",</w:t>
        <w:br/>
        <w:t xml:space="preserve">      "nDCG@k",</w:t>
        <w:br/>
        <w:t xml:space="preserve">      "EM/F1",</w:t>
        <w:br/>
        <w:t xml:space="preserve">      "attribution"</w:t>
        <w:br/>
        <w:t xml:space="preserve">    ],</w:t>
        <w:br/>
        <w:t xml:space="preserve">    "perf": [</w:t>
        <w:br/>
        <w:t xml:space="preserve">      "P95 latency",</w:t>
        <w:br/>
        <w:t xml:space="preserve">      "throughput"</w:t>
        <w:br/>
        <w:t xml:space="preserve">    ],</w:t>
        <w:br/>
        <w:t xml:space="preserve">    "ablation": [</w:t>
        <w:br/>
        <w:t xml:space="preserve">      "bm25 vs dense vs hybrid",</w:t>
        <w:br/>
        <w:t xml:space="preserve">      "with/without tool-use"</w:t>
        <w:br/>
        <w:t xml:space="preserve">    ]</w:t>
        <w:br/>
        <w:t xml:space="preserve">  },</w:t>
        <w:br/>
        <w:t xml:space="preserve">  "gpt5_prompts": [</w:t>
        <w:br/>
        <w:t xml:space="preserve">    "Implement hybrid indexer + caching (earCrawler/rag/retriever.py).",</w:t>
        <w:br/>
        <w:t xml:space="preserve">    "Add API traces and latency gauges (service/api_server/logging_integration.py)."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