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X86dd1d2b7b38eaba90a840277ccf025b7cfd476"/>
    <w:p>
      <w:pPr>
        <w:pStyle w:val="Heading1"/>
      </w:pPr>
      <w:r>
        <w:t xml:space="preserve">Proposed Compliance Modules for earCrawler</w:t>
      </w:r>
    </w:p>
    <w:p>
      <w:pPr>
        <w:numPr>
          <w:ilvl w:val="0"/>
          <w:numId w:val="1001"/>
        </w:numPr>
      </w:pPr>
      <w:r>
        <w:rPr>
          <w:b/>
          <w:bCs/>
        </w:rPr>
        <w:t xml:space="preserve">Journal Metadata &amp; Publication Screening Module:</w:t>
      </w:r>
      <w:r>
        <w:t xml:space="preserve"> </w:t>
      </w:r>
      <w:r>
        <w:t xml:space="preserve">Integrate external scholarly APIs (e.g. CrossRef, PubMed, ORCID) to fetch journal and article metadata (titles, authors, affiliations, DOI, keywords). Use this to spot compliance risks – for example, flag publications in questionable (predatory) journals or with undisclosed conflicts (e.g. authors on funding/interest lists). The system could detect if a researcher’s publications acknowledge foreign funding or involve any co-authors on U.S. export-control watchlists. Such a module helps address research integrity and export‐control concerns (ensuring all published research follows institutional approval and funding-disclosure policies)</w:t>
      </w:r>
      <w:hyperlink r:id="rId21">
        <w:r>
          <w:rPr>
            <w:rStyle w:val="Hyperlink"/>
          </w:rPr>
          <w:t xml:space="preserve">[1]</w:t>
        </w:r>
      </w:hyperlink>
      <w:hyperlink r:id="rId22">
        <w:r>
          <w:rPr>
            <w:rStyle w:val="Hyperlink"/>
          </w:rPr>
          <w:t xml:space="preserve">[2]</w:t>
        </w:r>
      </w:hyperlink>
      <w:r>
        <w:t xml:space="preserve">.</w:t>
      </w:r>
    </w:p>
    <w:p>
      <w:pPr>
        <w:numPr>
          <w:ilvl w:val="0"/>
          <w:numId w:val="1001"/>
        </w:numPr>
      </w:pPr>
      <w:r>
        <w:rPr>
          <w:b/>
          <w:bCs/>
        </w:rPr>
        <w:t xml:space="preserve">Collaboration Network Analysis Module:</w:t>
      </w:r>
      <w:r>
        <w:t xml:space="preserve"> </w:t>
      </w:r>
      <w:r>
        <w:t xml:space="preserve">Expand the knowledge graph to include co-authorship and mentor/mentee links. By importing publication or ORCID co-author data, the graph will reveal “multi-hop” connections – collaborators-of-collaborators and beyond. This is important because recent research-security guidelines emphasize vetting not just direct foreign collaborators but extended research networks</w:t>
      </w:r>
      <w:hyperlink r:id="rId22">
        <w:r>
          <w:rPr>
            <w:rStyle w:val="Hyperlink"/>
          </w:rPr>
          <w:t xml:space="preserve">[2]</w:t>
        </w:r>
      </w:hyperlink>
      <w:r>
        <w:t xml:space="preserve">. The module would analyze these graphs to highlight if any second- or third-degree collaborators are on restricted lists or pose foreign influence risks, thus helping satisfy federal directives on foreign-sponsor screening and foreign-influence reporting (see U.S. and UT policies on foreign collaborations</w:t>
      </w:r>
      <w:hyperlink r:id="rId22">
        <w:r>
          <w:rPr>
            <w:rStyle w:val="Hyperlink"/>
          </w:rPr>
          <w:t xml:space="preserve">[2]</w:t>
        </w:r>
      </w:hyperlink>
      <w:hyperlink r:id="rId23">
        <w:r>
          <w:rPr>
            <w:rStyle w:val="Hyperlink"/>
          </w:rPr>
          <w:t xml:space="preserve">[3]</w:t>
        </w:r>
      </w:hyperlink>
      <w:r>
        <w:t xml:space="preserve">).</w:t>
      </w:r>
    </w:p>
    <w:p>
      <w:pPr>
        <w:numPr>
          <w:ilvl w:val="0"/>
          <w:numId w:val="1001"/>
        </w:numPr>
      </w:pPr>
      <w:r>
        <w:rPr>
          <w:b/>
          <w:bCs/>
        </w:rPr>
        <w:t xml:space="preserve">Restricted-Party Screening Module:</w:t>
      </w:r>
      <w:r>
        <w:t xml:space="preserve"> </w:t>
      </w:r>
      <w:r>
        <w:t xml:space="preserve">Building on earCrawler’s Trade.gov integration, add a service that automatically screens all research-related entities against U.S. restricted-party databases. For each investigator, collaborator, sponsor, or vendor logged in the system, query the Consolidated Screening List and other sanctions lists (BIS Entity List, OFAC SDN list, etc.) and import matches into the KG. The module can then flag projects involving any blocked entities or nations. This directly fulfills export-control and research-security mandates: UT Tyler compliance already focuses on export laws and IP policy</w:t>
      </w:r>
      <w:hyperlink r:id="rId21">
        <w:r>
          <w:rPr>
            <w:rStyle w:val="Hyperlink"/>
          </w:rPr>
          <w:t xml:space="preserve">[1]</w:t>
        </w:r>
      </w:hyperlink>
      <w:r>
        <w:t xml:space="preserve">, and federal/UTS rules require screening collaborators and participants for national-security concerns</w:t>
      </w:r>
      <w:hyperlink r:id="rId22">
        <w:r>
          <w:rPr>
            <w:rStyle w:val="Hyperlink"/>
          </w:rPr>
          <w:t xml:space="preserve">[2]</w:t>
        </w:r>
      </w:hyperlink>
      <w:r>
        <w:t xml:space="preserve">.</w:t>
      </w:r>
    </w:p>
    <w:p>
      <w:pPr>
        <w:numPr>
          <w:ilvl w:val="0"/>
          <w:numId w:val="1001"/>
        </w:numPr>
      </w:pPr>
      <w:r>
        <w:rPr>
          <w:b/>
          <w:bCs/>
        </w:rPr>
        <w:t xml:space="preserve">Conflict-of-Interest &amp; Funding Module:</w:t>
      </w:r>
      <w:r>
        <w:t xml:space="preserve"> </w:t>
      </w:r>
      <w:r>
        <w:t xml:space="preserve">Correlate researchers, publications, and funding data. For example, ingest Cayuse grant records and disclosure statements into the KG, and cross-reference authors against their funding sources or outside interests. The module could highlight potential conflicts (e.g. a researcher publishing on a technology while holding stock in the sponsoring company). UT Tyler’s HOP and federal regulations require identifying financial conflicts in research; automating this cross-check ensures no undisclosed conflicts slip through. (This complements UT’s conflict policy and NSF/NIH disclosure rules by proactively screening finance data against research outputs.)</w:t>
      </w:r>
    </w:p>
    <w:p>
      <w:pPr>
        <w:numPr>
          <w:ilvl w:val="0"/>
          <w:numId w:val="1001"/>
        </w:numPr>
      </w:pPr>
      <w:r>
        <w:rPr>
          <w:b/>
          <w:bCs/>
        </w:rPr>
        <w:t xml:space="preserve">Ethics/IRB/IACUC Compliance Module:</w:t>
      </w:r>
      <w:r>
        <w:t xml:space="preserve"> </w:t>
      </w:r>
      <w:r>
        <w:t xml:space="preserve">Ensure all human-subject, animal, and biosafety protocols are tracked. This module would link each project or publication to its IRB, IACUC, or IBC approvals (e.g. by querying IRBManager or animal-use databases). If a dataset or paper involves human subjects, the system checks that the corresponding IRB protocol is recorded and current. UT Tyler’s compliance mission explicitly covers human-subjects research and NIH guidelines</w:t>
      </w:r>
      <w:hyperlink r:id="rId24">
        <w:r>
          <w:rPr>
            <w:rStyle w:val="Hyperlink"/>
          </w:rPr>
          <w:t xml:space="preserve">[4]</w:t>
        </w:r>
      </w:hyperlink>
      <w:r>
        <w:t xml:space="preserve">; this module helps enforce that mandate by flagging any research outputs lacking required ethical approvals.</w:t>
      </w:r>
    </w:p>
    <w:p>
      <w:pPr>
        <w:numPr>
          <w:ilvl w:val="0"/>
          <w:numId w:val="1001"/>
        </w:numPr>
      </w:pPr>
      <w:r>
        <w:rPr>
          <w:b/>
          <w:bCs/>
        </w:rPr>
        <w:t xml:space="preserve">Intellectual Property &amp; Controlled-Substance Module:</w:t>
      </w:r>
      <w:r>
        <w:t xml:space="preserve"> </w:t>
      </w:r>
      <w:r>
        <w:t xml:space="preserve">Incorporate patent and chemical inventory data. The KG could store UT’s patent filings and a catalog of controlled substances/equipment. When a project is created, the module would check whether the technology used is patented (necessitating a license) or whether hazardous materials require special oversight (as per HOP 8.08). This aligns with UT Tyler’s policies on IP and controlled items, and with federal research security (e.g. preventing illicit transfer of technology). It also supports data classification by labeling research involving proprietary or controlled content.</w:t>
      </w:r>
    </w:p>
    <w:p>
      <w:pPr>
        <w:numPr>
          <w:ilvl w:val="0"/>
          <w:numId w:val="1001"/>
        </w:numPr>
      </w:pPr>
      <w:r>
        <w:rPr>
          <w:b/>
          <w:bCs/>
        </w:rPr>
        <w:t xml:space="preserve">Data Classification &amp; Security Module:</w:t>
      </w:r>
      <w:r>
        <w:t xml:space="preserve"> </w:t>
      </w:r>
      <w:r>
        <w:t xml:space="preserve">Assign data sensitivity levels to each project/dataset per UT policies. For example, mark information as Public, Internal, Confidential, or Restricted, and track whether proper protections (encryption, access controls) are applied. UT Tyler’s HOP series includes data classification, encryption, and safeguarding rules</w:t>
      </w:r>
      <w:hyperlink r:id="rId25">
        <w:r>
          <w:rPr>
            <w:rStyle w:val="Hyperlink"/>
          </w:rPr>
          <w:t xml:space="preserve">[5]</w:t>
        </w:r>
      </w:hyperlink>
      <w:r>
        <w:t xml:space="preserve">, and UT System rules call for strong cybersecurity and data protection</w:t>
      </w:r>
      <w:hyperlink r:id="rId22">
        <w:r>
          <w:rPr>
            <w:rStyle w:val="Hyperlink"/>
          </w:rPr>
          <w:t xml:space="preserve">[2]</w:t>
        </w:r>
      </w:hyperlink>
      <w:r>
        <w:t xml:space="preserve">. This module could interface with the university’s storage systems (ensuring sensitive data isn’t on unsecured servers) and log compliance checks (e.g. “All Confidential-classified research data encrypted: yes/no”).</w:t>
      </w:r>
    </w:p>
    <w:p>
      <w:pPr>
        <w:numPr>
          <w:ilvl w:val="0"/>
          <w:numId w:val="1001"/>
        </w:numPr>
      </w:pPr>
      <w:r>
        <w:rPr>
          <w:b/>
          <w:bCs/>
        </w:rPr>
        <w:t xml:space="preserve">Training &amp; Certification Module:</w:t>
      </w:r>
      <w:r>
        <w:t xml:space="preserve"> </w:t>
      </w:r>
      <w:r>
        <w:t xml:space="preserve">Track compliance training for personnel. Ingest records from CITI, Canvas, or HR systems showing who has completed Responsible Conduct of Research (RCR), export-control, biosafety, and cybersecurity training. Federal agencies and UT require RCR and export-training for researchers; UT Tyler HOP 8.02 explicitly covers RCR training. The module flags any researcher or project that lacks mandatory training (e.g. a PI listed on an active project without current RCR certification). Keeping this in the KG means it can enforce training mandates and remind users of expirations, thus maintaining regulatory compliance.</w:t>
      </w:r>
    </w:p>
    <w:p>
      <w:pPr>
        <w:numPr>
          <w:ilvl w:val="0"/>
          <w:numId w:val="1001"/>
        </w:numPr>
      </w:pPr>
      <w:r>
        <w:rPr>
          <w:b/>
          <w:bCs/>
        </w:rPr>
        <w:t xml:space="preserve">Cybersecurity Monitoring Module:</w:t>
      </w:r>
      <w:r>
        <w:t xml:space="preserve"> </w:t>
      </w:r>
      <w:r>
        <w:t xml:space="preserve">Record cybersecurity status of research assets. While IT security is often managed elsewhere, this module ties security events to research projects. For example, if a lab reports a malware incident or data breach, those events could be logged in earCrawler linked to the affected research IDs. The module can also track whether projects using federal funding comply with required NIST cybersecurity standards (per OSTP/NSF guidelines). By integrating incident reports and compliance checklists, it helps fulfill UT rules on data security and incident response</w:t>
      </w:r>
      <w:hyperlink r:id="rId22">
        <w:r>
          <w:rPr>
            <w:rStyle w:val="Hyperlink"/>
          </w:rPr>
          <w:t xml:space="preserve">[2]</w:t>
        </w:r>
      </w:hyperlink>
      <w:hyperlink r:id="rId25">
        <w:r>
          <w:rPr>
            <w:rStyle w:val="Hyperlink"/>
          </w:rPr>
          <w:t xml:space="preserve">[5]</w:t>
        </w:r>
      </w:hyperlink>
      <w:r>
        <w:t xml:space="preserve">.</w:t>
      </w:r>
    </w:p>
    <w:p>
      <w:pPr>
        <w:numPr>
          <w:ilvl w:val="0"/>
          <w:numId w:val="1001"/>
        </w:numPr>
      </w:pPr>
      <w:r>
        <w:rPr>
          <w:b/>
          <w:bCs/>
        </w:rPr>
        <w:t xml:space="preserve">Audit &amp; Reporting Module:</w:t>
      </w:r>
      <w:r>
        <w:t xml:space="preserve"> </w:t>
      </w:r>
      <w:r>
        <w:t xml:space="preserve">Provide an audit/dashboard interface over the KG. Operators could generate periodic reports like “Projects with foreign partners not screened,” “Publications lacking IRB links,” or “Personnel with lapsed training.” This directly supports compliance reviews (UT System compliance and Texas law both call for tracking and auditing research security risks</w:t>
      </w:r>
      <w:hyperlink r:id="rId22">
        <w:r>
          <w:rPr>
            <w:rStyle w:val="Hyperlink"/>
          </w:rPr>
          <w:t xml:space="preserve">[2]</w:t>
        </w:r>
      </w:hyperlink>
      <w:hyperlink r:id="rId23">
        <w:r>
          <w:rPr>
            <w:rStyle w:val="Hyperlink"/>
          </w:rPr>
          <w:t xml:space="preserve">[3]</w:t>
        </w:r>
      </w:hyperlink>
      <w:r>
        <w:t xml:space="preserve">). Since all data (people, projects, approvals, etc.) lives in the earCrawler KG, SPARQL queries or an API can produce these summaries on demand, aiding both internal audits and mandated external reporting.</w:t>
      </w:r>
    </w:p>
    <w:p>
      <w:pPr>
        <w:pStyle w:val="FirstParagraph"/>
      </w:pPr>
      <w:r>
        <w:t xml:space="preserve">Each of these modules addresses specific policy requirements. UT System Rule 10902 (Research Security) and Texas Ed. Code §51.956 require a formal research-security framework covering foreign collaborations, export-controlled research, IP protection, and cybersecurity</w:t>
      </w:r>
      <w:hyperlink r:id="rId26">
        <w:r>
          <w:rPr>
            <w:rStyle w:val="Hyperlink"/>
          </w:rPr>
          <w:t xml:space="preserve">[6]</w:t>
        </w:r>
      </w:hyperlink>
      <w:hyperlink r:id="rId22">
        <w:r>
          <w:rPr>
            <w:rStyle w:val="Hyperlink"/>
          </w:rPr>
          <w:t xml:space="preserve">[2]</w:t>
        </w:r>
      </w:hyperlink>
      <w:hyperlink r:id="rId23">
        <w:r>
          <w:rPr>
            <w:rStyle w:val="Hyperlink"/>
          </w:rPr>
          <w:t xml:space="preserve">[3]</w:t>
        </w:r>
      </w:hyperlink>
      <w:r>
        <w:t xml:space="preserve">. UT Tyler’s HOPs and compliance office likewise cover grants management, export controls, IRB/IACUC oversight, data classification, and safeguarding sensitive information</w:t>
      </w:r>
      <w:hyperlink r:id="rId21">
        <w:r>
          <w:rPr>
            <w:rStyle w:val="Hyperlink"/>
          </w:rPr>
          <w:t xml:space="preserve">[1]</w:t>
        </w:r>
      </w:hyperlink>
      <w:hyperlink r:id="rId25">
        <w:r>
          <w:rPr>
            <w:rStyle w:val="Hyperlink"/>
          </w:rPr>
          <w:t xml:space="preserve">[5]</w:t>
        </w:r>
      </w:hyperlink>
      <w:r>
        <w:t xml:space="preserve">. By expanding earCrawler with these features – from automated journal and collaborator vetting to tracking approvals and training – the tool can help the university meet both federal and Texas mandates without requiring researchers to manually juggle disparate systems.</w:t>
      </w:r>
    </w:p>
    <w:p>
      <w:pPr>
        <w:pStyle w:val="BodyText"/>
      </w:pPr>
      <w:r>
        <w:rPr>
          <w:b/>
          <w:bCs/>
        </w:rPr>
        <w:t xml:space="preserve">Confidence:</w:t>
      </w:r>
      <w:r>
        <w:t xml:space="preserve"> </w:t>
      </w:r>
      <w:r>
        <w:t xml:space="preserve">~85%. The modules listed are directly derived from published UT System and UT Tyler policies and federal research-security guidelines</w:t>
      </w:r>
      <w:hyperlink r:id="rId26">
        <w:r>
          <w:rPr>
            <w:rStyle w:val="Hyperlink"/>
          </w:rPr>
          <w:t xml:space="preserve">[6]</w:t>
        </w:r>
      </w:hyperlink>
      <w:hyperlink r:id="rId21">
        <w:r>
          <w:rPr>
            <w:rStyle w:val="Hyperlink"/>
          </w:rPr>
          <w:t xml:space="preserve">[1]</w:t>
        </w:r>
      </w:hyperlink>
      <w:r>
        <w:t xml:space="preserve">. We’ve cited the relevant rules and handbooks, but implementation will require details (APIs, data formats, privacy controls) not covered here. Notably, ideas like “collaborators-of-collaborators” screening come from recent policy discussions, so exact agency requirements may evolve (e.g. how NSF or NIH define vetting requirements). Further verification with compliance offices and up-to-date regulations is advised.</w:t>
      </w:r>
    </w:p>
    <w:p>
      <w:pPr>
        <w:pStyle w:val="BodyText"/>
      </w:pPr>
      <w:r>
        <w:rPr>
          <w:b/>
          <w:bCs/>
        </w:rPr>
        <w:t xml:space="preserve">Token/Model Limit:</w:t>
      </w:r>
      <w:r>
        <w:t xml:space="preserve"> </w:t>
      </w:r>
      <w:r>
        <w:t xml:space="preserve">This answer is very detailed and likely near the model’s token capacity. For follow-up or deeper implementation talk, consider using a larger-context model (e.g. GPT-4-32k) to avoid truncation or loss of earlier points.</w:t>
      </w:r>
    </w:p>
    <w:bookmarkEnd w:id="27"/>
    <w:bookmarkEnd w:id="28"/>
    <w:p>
      <w:r>
        <w:pict>
          <v:rect style="width:0;height:1.5pt" o:hralign="center" o:hrstd="t" o:hr="t"/>
        </w:pict>
      </w:r>
    </w:p>
    <w:bookmarkStart w:id="33"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r>
        <w:t xml:space="preserve">Research Compliance</w:t>
      </w:r>
    </w:p>
    <w:p>
      <w:pPr>
        <w:pStyle w:val="BodyText"/>
      </w:pPr>
      <w:hyperlink r:id="rId29">
        <w:r>
          <w:rPr>
            <w:rStyle w:val="Hyperlink"/>
          </w:rPr>
          <w:t xml:space="preserve">http://www.uttyler.edu/research/office/research-compliance/</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r>
        <w:t xml:space="preserve">Rule 10902: Research Security Policies | The University of Texas System</w:t>
      </w:r>
    </w:p>
    <w:p>
      <w:pPr>
        <w:pStyle w:val="BodyText"/>
      </w:pPr>
      <w:hyperlink r:id="rId30">
        <w:r>
          <w:rPr>
            <w:rStyle w:val="Hyperlink"/>
          </w:rPr>
          <w:t xml:space="preserve">https://www.utsystem.edu/board-of-regents/rules/10902-research-security-policies</w:t>
        </w:r>
      </w:hyperlink>
    </w:p>
    <w:p>
      <w:pPr>
        <w:pStyle w:val="BodyText"/>
      </w:pPr>
      <w:hyperlink r:id="rId23">
        <w:r>
          <w:rPr>
            <w:rStyle w:val="Hyperlink"/>
          </w:rPr>
          <w:t xml:space="preserve">[3]</w:t>
        </w:r>
      </w:hyperlink>
      <w:r>
        <w:t xml:space="preserve"> </w:t>
      </w:r>
      <w:r>
        <w:t xml:space="preserve">EDUCATION CODE CHAPTER 51. PROVISIONS GENERALLY APPLICABLE TO HIGHER EDUCATION</w:t>
      </w:r>
    </w:p>
    <w:p>
      <w:pPr>
        <w:pStyle w:val="BodyText"/>
      </w:pPr>
      <w:hyperlink r:id="rId31">
        <w:r>
          <w:rPr>
            <w:rStyle w:val="Hyperlink"/>
          </w:rPr>
          <w:t xml:space="preserve">https://statutes.capitol.texas.gov/Docs/ED/htm/ED.51.htm</w:t>
        </w:r>
      </w:hyperlink>
    </w:p>
    <w:p>
      <w:pPr>
        <w:pStyle w:val="BodyText"/>
      </w:pPr>
      <w:hyperlink r:id="rId25">
        <w:r>
          <w:rPr>
            <w:rStyle w:val="Hyperlink"/>
          </w:rPr>
          <w:t xml:space="preserve">[5]</w:t>
        </w:r>
      </w:hyperlink>
      <w:r>
        <w:t xml:space="preserve"> </w:t>
      </w:r>
      <w:r>
        <w:t xml:space="preserve">Handbook of Operating Procedures Policies | Policies | UT Tyler</w:t>
      </w:r>
    </w:p>
    <w:p>
      <w:pPr>
        <w:pStyle w:val="BodyText"/>
      </w:pPr>
      <w:hyperlink r:id="rId32">
        <w:r>
          <w:rPr>
            <w:rStyle w:val="Hyperlink"/>
          </w:rPr>
          <w:t xml:space="preserve">http://www.uttyler.edu/policies/</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www.uttyler.edu/policies/" TargetMode="External" /><Relationship Type="http://schemas.openxmlformats.org/officeDocument/2006/relationships/hyperlink" Id="rId25" Target="http://www.uttyler.edu/policies/#:~:text=9,Data%20Stored%20on%20Electronic%20Media" TargetMode="External" /><Relationship Type="http://schemas.openxmlformats.org/officeDocument/2006/relationships/hyperlink" Id="rId29" Target="http://www.uttyler.edu/research/office/research-compliance/" TargetMode="External" /><Relationship Type="http://schemas.openxmlformats.org/officeDocument/2006/relationships/hyperlink" Id="rId24" Target="http://www.uttyler.edu/research/office/research-compliance/#:~:text=The%20UT%20Tyler%20Institutional%20Review,For%20more%20information%20about%20conducting" TargetMode="External" /><Relationship Type="http://schemas.openxmlformats.org/officeDocument/2006/relationships/hyperlink" Id="rId21" Target="http://www.uttyler.edu/research/office/research-compliance/#:~:text=The%20university%27s%20compliance%20mission%20is,laws%20and%20intellectual%20property%20policies" TargetMode="External" /><Relationship Type="http://schemas.openxmlformats.org/officeDocument/2006/relationships/hyperlink" Id="rId31" Target="https://statutes.capitol.texas.gov/Docs/ED/htm/ED.51.htm" TargetMode="External" /><Relationship Type="http://schemas.openxmlformats.org/officeDocument/2006/relationships/hyperlink" Id="rId23" Target="https://statutes.capitol.texas.gov/Docs/ED/htm/ED.51.htm#51.956#:~:text=,must%20address" TargetMode="External" /><Relationship Type="http://schemas.openxmlformats.org/officeDocument/2006/relationships/hyperlink" Id="rId30" Target="https://www.utsystem.edu/board-of-regents/rules/10902-research-security-policies" TargetMode="External" /><Relationship Type="http://schemas.openxmlformats.org/officeDocument/2006/relationships/hyperlink" Id="rId26" Target="https://www.utsystem.edu/board-of-regents/rules/10902-research-security-policies#:~:text=a,categories%20of%20research%3A%20classified%2C%20export" TargetMode="External" /><Relationship Type="http://schemas.openxmlformats.org/officeDocument/2006/relationships/hyperlink" Id="rId22" Target="https://www.utsystem.edu/board-of-regents/rules/10902-research-security-policies#:~:text=b,scientists%2C%20insider%20threats%2C%20and%20any" TargetMode="External" /></Relationships>
</file>

<file path=word/_rels/footnotes.xml.rels><?xml version="1.0" encoding="UTF-8"?><Relationships xmlns="http://schemas.openxmlformats.org/package/2006/relationships"><Relationship Type="http://schemas.openxmlformats.org/officeDocument/2006/relationships/hyperlink" Id="rId32" Target="http://www.uttyler.edu/policies/" TargetMode="External" /><Relationship Type="http://schemas.openxmlformats.org/officeDocument/2006/relationships/hyperlink" Id="rId25" Target="http://www.uttyler.edu/policies/#:~:text=9,Data%20Stored%20on%20Electronic%20Media" TargetMode="External" /><Relationship Type="http://schemas.openxmlformats.org/officeDocument/2006/relationships/hyperlink" Id="rId29" Target="http://www.uttyler.edu/research/office/research-compliance/" TargetMode="External" /><Relationship Type="http://schemas.openxmlformats.org/officeDocument/2006/relationships/hyperlink" Id="rId24" Target="http://www.uttyler.edu/research/office/research-compliance/#:~:text=The%20UT%20Tyler%20Institutional%20Review,For%20more%20information%20about%20conducting" TargetMode="External" /><Relationship Type="http://schemas.openxmlformats.org/officeDocument/2006/relationships/hyperlink" Id="rId21" Target="http://www.uttyler.edu/research/office/research-compliance/#:~:text=The%20university%27s%20compliance%20mission%20is,laws%20and%20intellectual%20property%20policies" TargetMode="External" /><Relationship Type="http://schemas.openxmlformats.org/officeDocument/2006/relationships/hyperlink" Id="rId31" Target="https://statutes.capitol.texas.gov/Docs/ED/htm/ED.51.htm" TargetMode="External" /><Relationship Type="http://schemas.openxmlformats.org/officeDocument/2006/relationships/hyperlink" Id="rId23" Target="https://statutes.capitol.texas.gov/Docs/ED/htm/ED.51.htm#51.956#:~:text=,must%20address" TargetMode="External" /><Relationship Type="http://schemas.openxmlformats.org/officeDocument/2006/relationships/hyperlink" Id="rId30" Target="https://www.utsystem.edu/board-of-regents/rules/10902-research-security-policies" TargetMode="External" /><Relationship Type="http://schemas.openxmlformats.org/officeDocument/2006/relationships/hyperlink" Id="rId26" Target="https://www.utsystem.edu/board-of-regents/rules/10902-research-security-policies#:~:text=a,categories%20of%20research%3A%20classified%2C%20export" TargetMode="External" /><Relationship Type="http://schemas.openxmlformats.org/officeDocument/2006/relationships/hyperlink" Id="rId22" Target="https://www.utsystem.edu/board-of-regents/rules/10902-research-security-policies#:~:text=b,scientists%2C%20insider%20threats%2C%20and%20an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2026-03-23T17:03:18Z</dcterms:created>
  <dcterms:modified xsi:type="dcterms:W3CDTF">2026-03-23T17:03:18Z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