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5.wmf" ContentType="image/x-wmf"/>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 xml:space="preserve">Annex D – Esteem Factor record  </w:t>
      </w:r>
    </w:p>
    <w:p>
      <w:pPr>
        <w:pStyle w:val="Normal"/>
        <w:rPr/>
      </w:pPr>
      <w:bookmarkStart w:id="0" w:name="_GoBack"/>
      <w:bookmarkEnd w:id="0"/>
      <w:r>
        <w:rPr/>
        <w:t xml:space="preserve">Please provide, in the table below, details of your Esteem Factor record during the past year. Leave the row blank if there is no information to record. </w:t>
      </w:r>
    </w:p>
    <w:p>
      <w:pPr>
        <w:pStyle w:val="Normal"/>
        <w:rPr/>
      </w:pPr>
      <w:r>
        <w:rPr/>
        <w:t>(Note: row 12 should only be used where none of the headings in the preceding rows 1 – 11, is applicable).</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537"/>
        <w:gridCol w:w="5523"/>
        <w:gridCol w:w="8114"/>
      </w:tblGrid>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rPr>
                <w:b/>
              </w:rPr>
            </w:pPr>
            <w:r>
              <w:rPr>
                <w:b/>
              </w:rPr>
              <w:t>No.</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rPr>
                <w:b/>
              </w:rPr>
            </w:pPr>
            <w:r>
              <w:rPr>
                <w:b/>
              </w:rPr>
              <w:t>Description</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8" w:type="dxa"/>
            </w:tcMar>
          </w:tcPr>
          <w:p>
            <w:pPr>
              <w:pStyle w:val="Normal"/>
              <w:spacing w:before="0" w:after="0"/>
              <w:rPr>
                <w:b/>
              </w:rPr>
            </w:pPr>
            <w:r>
              <w:rPr>
                <w:b/>
              </w:rPr>
              <w:t>Record</w:t>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National and International advisory board membership</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2</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Advisory position for Government, funding or standard setting bodies/other bodies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3</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Leadership roles in industry, commerce, research councils, charities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4</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Election to membership or fellowship of learned societies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5</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Conference programme chairs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6</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Keynote addresses at major conferences or invited lectures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7</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Journal editorships, editorial board membership</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8</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Prestigious research fellowships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9</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Prize-winning publications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10</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Honours, prizes and awards</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11</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Leadership of consortia</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r>
        <w:trPr>
          <w:cantSplit w:val="false"/>
        </w:trPr>
        <w:tc>
          <w:tcPr>
            <w:tcW w:w="5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12</w:t>
            </w:r>
          </w:p>
        </w:tc>
        <w:tc>
          <w:tcPr>
            <w:tcW w:w="55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Other achievements not included in the above</w:t>
            </w:r>
          </w:p>
        </w:tc>
        <w:tc>
          <w:tcPr>
            <w:tcW w:w="81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color w:val="000000"/>
              </w:rPr>
            </w:pPr>
            <w:r>
              <w:rPr>
                <w:color w:val="000000"/>
              </w:rPr>
            </w:r>
          </w:p>
        </w:tc>
      </w:tr>
    </w:tbl>
    <w:p>
      <w:pPr>
        <w:pStyle w:val="Normal"/>
        <w:rPr/>
      </w:pPr>
      <w:r>
        <w:rPr/>
      </w:r>
    </w:p>
    <w:p>
      <w:pPr>
        <w:pStyle w:val="Normal"/>
        <w:spacing w:before="0" w:after="120"/>
        <w:rPr/>
      </w:pPr>
      <w:r>
        <w:rPr>
          <w:b/>
        </w:rPr>
        <w:t xml:space="preserve">What will happen to the information you provide? </w:t>
      </w:r>
      <w:r>
        <w:rPr/>
        <w:t>Esteem Factors are used extensively by the Faculty to inform the Research Excellence Framework (REF)</w:t>
      </w:r>
      <w:r>
        <w:rPr>
          <w:b/>
        </w:rPr>
        <w:t xml:space="preserve"> </w:t>
      </w:r>
      <w:r>
        <w:rPr/>
        <w:t>returns for</w:t>
      </w:r>
      <w:r>
        <w:rPr>
          <w:b/>
        </w:rPr>
        <w:t xml:space="preserve"> </w:t>
      </w:r>
      <w:r>
        <w:rPr/>
        <w:t xml:space="preserve">Environment and Impact, to the Higher Education Funding Council. In particular, they are used to demonstrate and highlight the collaboration and contribution by our academics, to the discipline or research base. </w:t>
      </w:r>
    </w:p>
    <w:p>
      <w:pPr>
        <w:pStyle w:val="Normal"/>
        <w:rPr/>
      </w:pPr>
      <w:r>
        <w:rPr>
          <w:b/>
        </w:rPr>
        <w:t>Who will hold the information?</w:t>
      </w:r>
      <w:r>
        <w:rPr/>
        <w:t xml:space="preserve"> It will be compiled at Group level by the Academic Unit Faculty Administration Officers and sent to the Deanery to be held on a central database, according to the relevant REF Unit of Assessment. By linking this exercise to the annual PPDR process, FPSE aims to capture the data once per year, to avoid making ad hoc or belated requests for this information, in preparation for the next REF assessment (probably not due until 2020). </w:t>
      </w:r>
    </w:p>
    <w:sectPr>
      <w:headerReference w:type="default" r:id="rId2"/>
      <w:type w:val="nextPage"/>
      <w:pgSz w:orient="landscape" w:w="16838" w:h="11906"/>
      <w:pgMar w:left="1440" w:right="1440" w:header="708"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inline distT="0" distB="0" distL="0" distR="0">
          <wp:extent cx="8863330" cy="6305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8863330" cy="630555"/>
                  </a:xfrm>
                  <a:prstGeom prst="rect">
                    <a:avLst/>
                  </a:prstGeom>
                  <a:noFill/>
                  <a:ln w="9525">
                    <a:noFill/>
                    <a:miter lim="800000"/>
                    <a:headEnd/>
                    <a:tailEnd/>
                  </a:ln>
                </pic:spPr>
              </pic:pic>
            </a:graphicData>
          </a:graphic>
        </wp:inline>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51b5d"/>
    <w:basedOn w:val="DefaultParagraphFont"/>
    <w:rPr>
      <w:rFonts w:ascii="Tahoma" w:hAnsi="Tahoma" w:cs="Tahoma"/>
      <w:sz w:val="16"/>
      <w:szCs w:val="16"/>
    </w:rPr>
  </w:style>
  <w:style w:type="character" w:styleId="HeaderChar" w:customStyle="1">
    <w:name w:val="Header Char"/>
    <w:uiPriority w:val="99"/>
    <w:link w:val="Header"/>
    <w:rsid w:val="00551b5d"/>
    <w:basedOn w:val="DefaultParagraphFont"/>
    <w:rPr/>
  </w:style>
  <w:style w:type="character" w:styleId="FooterChar" w:customStyle="1">
    <w:name w:val="Footer Char"/>
    <w:uiPriority w:val="99"/>
    <w:link w:val="Footer"/>
    <w:rsid w:val="00551b5d"/>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551b5d"/>
    <w:basedOn w:val="Normal"/>
    <w:pPr>
      <w:spacing w:lineRule="auto" w:line="240" w:before="0" w:after="0"/>
    </w:pPr>
    <w:rPr>
      <w:rFonts w:ascii="Tahoma" w:hAnsi="Tahoma" w:cs="Tahoma"/>
      <w:sz w:val="16"/>
      <w:szCs w:val="16"/>
    </w:rPr>
  </w:style>
  <w:style w:type="paragraph" w:styleId="Header">
    <w:name w:val="Header"/>
    <w:uiPriority w:val="99"/>
    <w:unhideWhenUsed/>
    <w:link w:val="HeaderChar"/>
    <w:rsid w:val="00551b5d"/>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551b5d"/>
    <w:basedOn w:val="Normal"/>
    <w:pPr>
      <w:tabs>
        <w:tab w:val="center" w:pos="4513" w:leader="none"/>
        <w:tab w:val="right" w:pos="9026"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26a01"/>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2013-08-22T09:57:00Z</dcterms:created>
  <dc:creator>tjd1r12</dc:creator>
  <dc:language>en-GB</dc:language>
  <cp:lastModifiedBy>Dorota Sikorska-Kaczanowska</cp:lastModifiedBy>
  <cp:lastPrinted>2013-10-24T14:43:00Z</cp:lastPrinted>
  <dcterms:modified xsi:type="dcterms:W3CDTF">2013-10-24T14:43:00Z</dcterms:modified>
  <cp:revision>5</cp:revision>
</cp:coreProperties>
</file>