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10"/>
          <w:szCs w:val="11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0"/>
          <w:sz w:val="110"/>
          <w:szCs w:val="110"/>
          <w:lang w:val="en-US" w:eastAsia="zh-CN"/>
        </w:rPr>
        <w:t>清涧县保泰民爆专营有限责任公司</w:t>
      </w: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u w:val="thick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left="0" w:leftChars="0" w:firstLine="640" w:firstLineChars="200"/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清民爆发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（2019）01号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关于清涧县保泰民爆专营有限责任公司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申请扩大库容的请示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榆林市正泰民爆物品专营有限公司：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随着我县改革开放的步伐加快，我县今年延榆高铁将全面开工，沿黄公路二期也于今年动工建设，县内环城路双十公路（约六十公里）也同时开工建设。油、气勘探的力度是2018年的两倍，我县民爆物品的仓库储存量已远远不能满足今年及以后的市场需求，特申请对我县的民爆物品仓储量进行扩容。</w:t>
      </w:r>
    </w:p>
    <w:p>
      <w:pPr>
        <w:numPr>
          <w:ilvl w:val="0"/>
          <w:numId w:val="1"/>
        </w:numPr>
        <w:ind w:left="0" w:leftChars="0" w:firstLine="643" w:firstLineChars="2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库区现状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炸药库建设面积54m</w:t>
      </w:r>
      <w:r>
        <w:rPr>
          <w:rFonts w:hint="eastAsia" w:ascii="仿宋" w:hAnsi="仿宋" w:eastAsia="仿宋" w:cs="仿宋"/>
          <w:sz w:val="32"/>
          <w:szCs w:val="32"/>
          <w:vertAlign w:val="superscript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，雷管库建设面积54m</w:t>
      </w:r>
      <w:r>
        <w:rPr>
          <w:rFonts w:hint="eastAsia" w:ascii="仿宋" w:hAnsi="仿宋" w:eastAsia="仿宋" w:cs="仿宋"/>
          <w:sz w:val="32"/>
          <w:szCs w:val="32"/>
          <w:vertAlign w:val="superscript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炸药库距离雷管库为38m，炸药库距离值班室161.9m。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库区周边无村庄，无散户居住。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炸药库距离专变330m。</w:t>
      </w:r>
    </w:p>
    <w:p>
      <w:pPr>
        <w:numPr>
          <w:ilvl w:val="0"/>
          <w:numId w:val="2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炸药库距离210国道336m。</w:t>
      </w:r>
    </w:p>
    <w:p>
      <w:pPr>
        <w:numPr>
          <w:ilvl w:val="0"/>
          <w:numId w:val="1"/>
        </w:numPr>
        <w:ind w:left="0" w:leftChars="0" w:firstLine="643" w:firstLineChars="2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申请内容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炸药库由10吨扩容为20吨，主要储存工业炸药，射空弹和少量（2万米）导爆索。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雷管库由10万发扩容至15万发，主要储存电雷管和导爆管及电子雷管。</w:t>
      </w: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扩容后，库区各项安全设施及设备符合国家规定及相关行业标准 。</w:t>
      </w: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2880" w:firstLineChars="9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清涧县保泰民爆专营有限责任公司</w:t>
      </w:r>
    </w:p>
    <w:p>
      <w:pPr>
        <w:numPr>
          <w:numId w:val="0"/>
        </w:numPr>
        <w:ind w:left="0" w:leftChars="0" w:firstLine="3840" w:firstLineChars="1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2019年1月22日</w:t>
      </w:r>
    </w:p>
    <w:sectPr>
      <w:pgSz w:w="11906" w:h="16838"/>
      <w:pgMar w:top="1644" w:right="1417" w:bottom="1191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5170D"/>
    <w:multiLevelType w:val="singleLevel"/>
    <w:tmpl w:val="D68517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ECEF9F"/>
    <w:multiLevelType w:val="singleLevel"/>
    <w:tmpl w:val="25ECEF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036B1D"/>
    <w:multiLevelType w:val="singleLevel"/>
    <w:tmpl w:val="61036B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18DD"/>
    <w:rsid w:val="022276C7"/>
    <w:rsid w:val="05FE16E8"/>
    <w:rsid w:val="33B736B1"/>
    <w:rsid w:val="3CC35EF0"/>
    <w:rsid w:val="41EB55D9"/>
    <w:rsid w:val="4B4702BD"/>
    <w:rsid w:val="7BDD1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2019-01-22T07:03:00Z</dcterms:created>
  <dc:creator>冷暖自知</dc:creator>
  <cp:lastModifiedBy>冷暖自知</cp:lastModifiedBy>
  <cp:lastPrinted>2019-01-22T07:21:21Z</cp:lastPrinted>
  <dcterms:modified xsi:type="dcterms:W3CDTF">2019-01-22T07:46:13Z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