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Warehousing service agreement</w:t>
      </w:r>
    </w:p>
    <w:p>
      <w:r>
        <w:t>Between Fernhill Outdoor Co. (the Client) and Copperline Logistics LLC (the Provider). Both companies are fictional.</w:t>
      </w:r>
    </w:p>
    <w:p>
      <w:pPr>
        <w:pStyle w:val="Heading1"/>
      </w:pPr>
      <w:r>
        <w:t>1. Effective date and term</w:t>
      </w:r>
    </w:p>
    <w:p>
      <w:r>
        <w:t>1.1 This agreement is effective from 2026-02-01.</w:t>
      </w:r>
    </w:p>
    <w:p>
      <w:r>
        <w:t>1.2 The initial term is 24 months. It renews for 12 months at a time unless terminated under section 4.</w:t>
      </w:r>
    </w:p>
    <w:p>
      <w:pPr>
        <w:pStyle w:val="Heading1"/>
      </w:pPr>
      <w:r>
        <w:t>2. Services</w:t>
      </w:r>
    </w:p>
    <w:p>
      <w:r>
        <w:t>2.1 The Provider stores, picks, packs and ships the Client's products from its warehouse in Port Alder.</w:t>
      </w:r>
    </w:p>
    <w:p>
      <w:r>
        <w:t>2.2 Orders received by 14:00 on a business day ship the same day.</w:t>
      </w:r>
    </w:p>
    <w:p>
      <w:pPr>
        <w:pStyle w:val="Heading1"/>
      </w:pPr>
      <w:r>
        <w:t>3. Fees</w:t>
      </w:r>
    </w:p>
    <w:p>
      <w:r>
        <w:t>3.1 The monthly service fee is 4,200.00, invoiced on the first business day of each month.</w:t>
      </w:r>
    </w:p>
    <w:p>
      <w:r>
        <w:t>3.2 Shipping costs are passed through at cost.</w:t>
      </w:r>
    </w:p>
    <w:p>
      <w:pPr>
        <w:pStyle w:val="Heading1"/>
      </w:pPr>
      <w:r>
        <w:t>4. Termination</w:t>
      </w:r>
    </w:p>
    <w:p>
      <w:r>
        <w:t>4.1 Either party may terminate for material breach that is not cured within 30 days of written notice.</w:t>
      </w:r>
    </w:p>
    <w:p>
      <w:r>
        <w:t>4.2 Either party may terminate this agreement for convenience with 60 days' written notice to the other party.</w:t>
      </w:r>
    </w:p>
    <w:p>
      <w:pPr>
        <w:pStyle w:val="Heading1"/>
      </w:pPr>
      <w:r>
        <w:t>5. Confidentiality</w:t>
      </w:r>
    </w:p>
    <w:p>
      <w:r>
        <w:t>5.1 Each party keeps the other party's business information confidential.</w:t>
      </w:r>
    </w:p>
    <w:p>
      <w:pPr>
        <w:pStyle w:val="Heading1"/>
      </w:pPr>
      <w:r>
        <w:t>7. Liability</w:t>
      </w:r>
    </w:p>
    <w:p>
      <w:r>
        <w:t>7.1 Each party's total liability under this agreement is capped at the fees paid by the Client in the 12 months before the event that gave rise to the claim.</w:t>
      </w:r>
    </w:p>
    <w:p>
      <w:r>
        <w:t>7.2 The cap does not apply to breaches of confidentiality.</w:t>
      </w:r>
    </w:p>
    <w:p>
      <w:r>
        <w:t>Fictional sample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Priya Natarajan</w:t>
            </w:r>
          </w:p>
        </w:tc>
        <w:tc>
          <w:tcPr>
            <w:tcW w:type="dxa" w:w="2880"/>
          </w:tcPr>
          <w:p>
            <w:r>
              <w:t>Operations (Client)</w:t>
            </w:r>
          </w:p>
        </w:tc>
        <w:tc>
          <w:tcPr>
            <w:tcW w:type="dxa" w:w="2880"/>
          </w:tcPr>
          <w:p>
            <w:r>
              <w:t>ops@fernhill.example.com</w:t>
            </w:r>
          </w:p>
        </w:tc>
      </w:tr>
      <w:tr>
        <w:tc>
          <w:tcPr>
            <w:tcW w:type="dxa" w:w="2880"/>
          </w:tcPr>
          <w:p>
            <w:r>
              <w:t>Marcus Hale</w:t>
            </w:r>
          </w:p>
        </w:tc>
        <w:tc>
          <w:tcPr>
            <w:tcW w:type="dxa" w:w="2880"/>
          </w:tcPr>
          <w:p>
            <w:r>
              <w:t>Account manager (Provider)</w:t>
            </w:r>
          </w:p>
        </w:tc>
        <w:tc>
          <w:tcPr>
            <w:tcW w:type="dxa" w:w="2880"/>
          </w:tcPr>
          <w:p>
            <w:r>
              <w:t>accounts@copperline.example.com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Warehousing service agreement</dc:title>
  <dc:subject/>
  <dc:creator>Fernhill Outdoor Co. (fictional)</dc:creator>
  <cp:keywords/>
  <dc:description>Fictional sample data</dc:description>
  <cp:lastModifiedBy>Fernhill Outdoor Co. (fictional)</cp:lastModifiedBy>
  <cp:revision>1</cp:revision>
  <dcterms:created xsi:type="dcterms:W3CDTF">2026-01-01T00:00:00Z</dcterms:created>
  <dcterms:modified xsi:type="dcterms:W3CDTF">2026-01-01T00:00:00Z</dcterms:modified>
  <cp:category/>
</cp:coreProperties>
</file>