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Stakeholder, Audience and Data Audit</w:t>
      </w:r>
    </w:p>
    <w:p>
      <w:r>
        <w:rPr>
          <w:b/>
        </w:rPr>
        <w:t xml:space="preserve">Group members: </w:t>
      </w:r>
      <w:r>
        <w:t>Charlie Gallagher, Lucy O’Connor, Seán Bardon</w:t>
      </w:r>
    </w:p>
    <w:p>
      <w:r>
        <w:rPr>
          <w:b/>
        </w:rPr>
        <w:t xml:space="preserve">Project: </w:t>
      </w:r>
      <w:r>
        <w:rPr>
          <w:b/>
        </w:rPr>
        <w:t>Cut or Outsourced?</w:t>
      </w:r>
      <w:r>
        <w:t xml:space="preserve"> What Europe's Emissions Success Means for Ireland</w:t>
      </w:r>
    </w:p>
    <w:p>
      <w:pPr>
        <w:pStyle w:val="Heading2"/>
      </w:pPr>
      <w:r>
        <w:t>Part A: Audience brief</w:t>
      </w:r>
    </w:p>
    <w:p>
      <w:r>
        <w:rPr>
          <w:b/>
        </w:rPr>
        <w:t xml:space="preserve">Stakeholders: </w:t>
      </w:r>
      <w:r>
        <w:t>Irish climate policy advisers, such as the Climate Change Advisory Council and the Oireachtas Joint Committee on Environment and Climate Action, who use international comparisons when setting and judging targets; and the Irish public, who regularly hear that Ireland is lagging behind Europe.</w:t>
      </w:r>
    </w:p>
    <w:p>
      <w:r>
        <w:rPr>
          <w:b/>
        </w:rPr>
        <w:t xml:space="preserve">Primary audience: </w:t>
      </w:r>
      <w:r>
        <w:t>researchers and committee staff who prepare briefing material for Oireachtas members on Ireland's climate performance. They are the people who would decide whether a consumption-based comparison belongs in a briefing.</w:t>
      </w:r>
    </w:p>
    <w:p>
      <w:r>
        <w:rPr>
          <w:b/>
        </w:rPr>
        <w:t xml:space="preserve">Audience knowledge: </w:t>
      </w:r>
      <w:r>
        <w:t>they know the 51% target, the 2018 baseline and that agriculture is Ireland's largest emitting sector. They are comfortable with line and bar charts and with Mt CO2e as a unit. Most will not be familiar with consumption-based (footprint) accounting or the input-output models behind it, so this needs a short explanation.</w:t>
      </w:r>
    </w:p>
    <w:p>
      <w:r>
        <w:rPr>
          <w:b/>
        </w:rPr>
        <w:t xml:space="preserve">Audience goals: </w:t>
      </w:r>
      <w:r>
        <w:t>to know whether the usual comparisons with Denmark and the UK change when imported emissions are counted, how Ireland's own position changes, and how far the footprint data can be trusted.</w:t>
      </w:r>
    </w:p>
    <w:p>
      <w:r>
        <w:rPr>
          <w:b/>
        </w:rPr>
        <w:t xml:space="preserve">Possible decisions: </w:t>
      </w:r>
      <w:r>
        <w:t>whether to include consumption-based figures alongside territorial ones in briefings; how to word comparisons with peer countries; whether to raise consumption-based reporting as an issue for future review. The target itself is fixed in law and is not something this audience would change on the basis of our work.</w:t>
      </w:r>
    </w:p>
    <w:p>
      <w:r>
        <w:rPr>
          <w:b/>
        </w:rPr>
        <w:t>Visualisation constraints</w:t>
      </w:r>
    </w:p>
    <w:p>
      <w:pPr>
        <w:pStyle w:val="ListBullet"/>
      </w:pPr>
      <w:r>
        <w:rPr>
          <w:b/>
        </w:rPr>
        <w:t xml:space="preserve">Technical knowledge: </w:t>
      </w:r>
      <w:r>
        <w:t>policy-literate, not statistical specialists. Plain chart types, with the meaning of each measure stated on the chart itself.</w:t>
      </w:r>
    </w:p>
    <w:p>
      <w:pPr>
        <w:pStyle w:val="ListBullet"/>
      </w:pPr>
      <w:r>
        <w:rPr>
          <w:b/>
        </w:rPr>
        <w:t xml:space="preserve">Viewing time: </w:t>
      </w:r>
      <w:r>
        <w:t>around 5–10 minutes, often read before a meeting. The main point of each figure should be clear from its title and one annotation.</w:t>
      </w:r>
    </w:p>
    <w:p>
      <w:pPr>
        <w:pStyle w:val="ListBullet"/>
      </w:pPr>
      <w:r>
        <w:rPr>
          <w:b/>
        </w:rPr>
        <w:t xml:space="preserve">Device and format: </w:t>
      </w:r>
      <w:r>
        <w:t>we will produce a static visual report (A4 PDF, 4–5 figures), read on a laptop or printed. Briefing material is normally shared as documents, and a static format lets us place caveats directly next to the data. We decided against a dashboard because free exploration of single years could produce misleading readings (see the volatility noted in Part B). The same figures will be used as slides in our presentation, so text on charts must stay readable when projected.</w:t>
      </w:r>
    </w:p>
    <w:p>
      <w:pPr>
        <w:pStyle w:val="ListBullet"/>
      </w:pPr>
      <w:r>
        <w:rPr>
          <w:b/>
        </w:rPr>
        <w:t xml:space="preserve">Amount of explanation: </w:t>
      </w:r>
      <w:r>
        <w:t>moderate. One short paragraph introducing territorial and consumption-based accounting, and a source and coverage note under every figure.</w:t>
      </w:r>
    </w:p>
    <w:p>
      <w:pPr>
        <w:pStyle w:val="Heading2"/>
      </w:pPr>
      <w:r>
        <w:t>Part B: Data audit</w:t>
      </w:r>
    </w:p>
    <w:p>
      <w:r>
        <w:t xml:space="preserve">All processing is in notebooks/data_audit.py, which reads the raw downloads in data/raw and writes five prepared files to data/processed. Raw files were downloaded on 28 September 2026, apart from the two bridging files used for the reconciliation, downloaded on 27 October 2026. Sources: </w:t>
      </w:r>
      <w:hyperlink r:id="rId9">
        <w:r>
          <w:rPr>
            <w:color w:val="0563C1"/>
            <w:u w:val="single"/>
          </w:rPr>
          <w:t>Our World in Data</w:t>
        </w:r>
      </w:hyperlink>
      <w:r>
        <w:t xml:space="preserve">, </w:t>
      </w:r>
      <w:hyperlink r:id="rId10">
        <w:r>
          <w:rPr>
            <w:color w:val="0563C1"/>
            <w:u w:val="single"/>
          </w:rPr>
          <w:t>Eurostat env_ac_ghgfp</w:t>
        </w:r>
      </w:hyperlink>
      <w:r>
        <w:t xml:space="preserve"> (last updated 22 January 2026) and </w:t>
      </w:r>
      <w:hyperlink r:id="rId11">
        <w:r>
          <w:rPr>
            <w:color w:val="0563C1"/>
            <w:u w:val="single"/>
          </w:rPr>
          <w:t>Eurostat env_air_gge</w:t>
        </w:r>
      </w:hyperlink>
      <w:r>
        <w:t xml:space="preserve"> (last updated 2 June 2026).</w:t>
      </w:r>
    </w:p>
    <w:p>
      <w:pPr>
        <w:pStyle w:val="Heading3"/>
      </w:pPr>
      <w:r>
        <w:t>Structure and row definitions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Dataset</w:t>
            </w:r>
          </w:p>
        </w:tc>
        <w:tc>
          <w:tcPr>
            <w:tcW w:type="dxa" w:w="2880"/>
          </w:tcPr>
          <w:p>
            <w:r>
              <w:rPr>
                <w:sz w:val="18"/>
              </w:rPr>
              <w:t>Raw structure</w:t>
            </w:r>
          </w:p>
        </w:tc>
        <w:tc>
          <w:tcPr>
            <w:tcW w:type="dxa" w:w="2880"/>
          </w:tcPr>
          <w:p>
            <w:r>
              <w:rPr>
                <w:sz w:val="18"/>
              </w:rPr>
              <w:t>Prepared file and row definition</w:t>
            </w:r>
          </w:p>
        </w:tc>
      </w:tr>
      <w:tr>
        <w:tc>
          <w:tcPr>
            <w:tcW w:type="dxa" w:w="2880"/>
          </w:tcPr>
          <w:p>
            <w:r>
              <w:rPr>
                <w:sz w:val="18"/>
              </w:rPr>
              <w:t>OWID CO2 data</w:t>
            </w:r>
          </w:p>
        </w:tc>
        <w:tc>
          <w:tcPr>
            <w:tcW w:type="dxa" w:w="2880"/>
          </w:tcPr>
          <w:p>
            <w:r>
              <w:rPr>
                <w:sz w:val="18"/>
              </w:rPr>
              <w:t>CSV, 50,411 rows × 79 columns; 254 entities (countries and regional aggregates), 1750–2024</w:t>
            </w:r>
          </w:p>
        </w:tc>
        <w:tc>
          <w:tcPr>
            <w:tcW w:type="dxa" w:w="2880"/>
          </w:tcPr>
          <w:p>
            <w:r>
              <w:rPr>
                <w:sz w:val="18"/>
              </w:rPr>
              <w:t>owid_peers.csv: one row per country-year, 7 countries × 1990–2023 (238 rows)</w:t>
            </w:r>
          </w:p>
        </w:tc>
      </w:tr>
      <w:tr>
        <w:tc>
          <w:tcPr>
            <w:tcW w:type="dxa" w:w="2880"/>
          </w:tcPr>
          <w:p>
            <w:r>
              <w:rPr>
                <w:sz w:val="18"/>
              </w:rPr>
              <w:t>Eurostat FIGARO footprints</w:t>
            </w:r>
          </w:p>
        </w:tc>
        <w:tc>
          <w:tcPr>
            <w:tcW w:type="dxa" w:w="2880"/>
          </w:tcPr>
          <w:p>
            <w:r>
              <w:rPr>
                <w:sz w:val="18"/>
              </w:rPr>
              <w:t>JSON-stat cube: final use (6) × industry (80) × destination (49) × origin (49) × year (14); about 15.9 million values</w:t>
            </w:r>
          </w:p>
        </w:tc>
        <w:tc>
          <w:tcPr>
            <w:tcW w:type="dxa" w:w="2880"/>
          </w:tcPr>
          <w:p>
            <w:r>
              <w:rPr>
                <w:sz w:val="18"/>
              </w:rPr>
              <w:t>figaro_balance_peers.csv: one row per country-year (98 rows). figaro_ie_industry_exports.csv: one row per Irish industry-year (56 rows)</w:t>
            </w:r>
          </w:p>
        </w:tc>
      </w:tr>
      <w:tr>
        <w:tc>
          <w:tcPr>
            <w:tcW w:type="dxa" w:w="2880"/>
          </w:tcPr>
          <w:p>
            <w:r>
              <w:rPr>
                <w:sz w:val="18"/>
              </w:rPr>
              <w:t>EPA inventory via Eurostat</w:t>
            </w:r>
          </w:p>
        </w:tc>
        <w:tc>
          <w:tcPr>
            <w:tcW w:type="dxa" w:w="2880"/>
          </w:tcPr>
          <w:p>
            <w:r>
              <w:rPr>
                <w:sz w:val="18"/>
              </w:rPr>
              <w:t>JSON-stat cube: unit (2) × gas (11) × sector (166) × year (35), Ireland only</w:t>
            </w:r>
          </w:p>
        </w:tc>
        <w:tc>
          <w:tcPr>
            <w:tcW w:type="dxa" w:w="2880"/>
          </w:tcPr>
          <w:p>
            <w:r>
              <w:rPr>
                <w:sz w:val="18"/>
              </w:rPr>
              <w:t>inventory_ie_sectors.csv: one row per year, 1990–2024 (35 rows), sectors as columns</w:t>
            </w:r>
          </w:p>
        </w:tc>
      </w:tr>
    </w:tbl>
    <w:p>
      <w:pPr>
        <w:pStyle w:val="Heading3"/>
      </w:pPr>
      <w:r>
        <w:t>Key variables</w:t>
      </w:r>
    </w:p>
    <w:p>
      <w:r>
        <w:t>Q = quantitative, O = ordinal, N = nominal, T = temporal, G = geographic.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Variable</w:t>
            </w:r>
          </w:p>
        </w:tc>
        <w:tc>
          <w:tcPr>
            <w:tcW w:type="dxa" w:w="2160"/>
          </w:tcPr>
          <w:p>
            <w:r>
              <w:rPr>
                <w:sz w:val="18"/>
              </w:rPr>
              <w:t>Dataset</w:t>
            </w:r>
          </w:p>
        </w:tc>
        <w:tc>
          <w:tcPr>
            <w:tcW w:type="dxa" w:w="2160"/>
          </w:tcPr>
          <w:p>
            <w:r>
              <w:rPr>
                <w:sz w:val="18"/>
              </w:rPr>
              <w:t>Type</w:t>
            </w:r>
          </w:p>
        </w:tc>
        <w:tc>
          <w:tcPr>
            <w:tcW w:type="dxa" w:w="2160"/>
          </w:tcPr>
          <w:p>
            <w:r>
              <w:rPr>
                <w:sz w:val="18"/>
              </w:rPr>
              <w:t>Meaning and unit</w:t>
            </w:r>
          </w:p>
        </w:tc>
      </w:tr>
      <w:tr>
        <w:tc>
          <w:tcPr>
            <w:tcW w:type="dxa" w:w="2160"/>
          </w:tcPr>
          <w:p>
            <w:r>
              <w:rPr>
                <w:sz w:val="18"/>
              </w:rPr>
              <w:t>country / c_orig / c_dest</w:t>
            </w:r>
          </w:p>
        </w:tc>
        <w:tc>
          <w:tcPr>
            <w:tcW w:type="dxa" w:w="2160"/>
          </w:tcPr>
          <w:p>
            <w:r>
              <w:rPr>
                <w:sz w:val="18"/>
              </w:rPr>
              <w:t>all</w:t>
            </w:r>
          </w:p>
        </w:tc>
        <w:tc>
          <w:tcPr>
            <w:tcW w:type="dxa" w:w="2160"/>
          </w:tcPr>
          <w:p>
            <w:r>
              <w:rPr>
                <w:sz w:val="18"/>
              </w:rPr>
              <w:t>N, G</w:t>
            </w:r>
          </w:p>
        </w:tc>
        <w:tc>
          <w:tcPr>
            <w:tcW w:type="dxa" w:w="2160"/>
          </w:tcPr>
          <w:p>
            <w:r>
              <w:rPr>
                <w:sz w:val="18"/>
              </w:rPr>
              <w:t>Country; FIGARO separates where emissions are released (origin) from where the goods are consumed (destination)</w:t>
            </w:r>
          </w:p>
        </w:tc>
      </w:tr>
      <w:tr>
        <w:tc>
          <w:tcPr>
            <w:tcW w:type="dxa" w:w="2160"/>
          </w:tcPr>
          <w:p>
            <w:r>
              <w:rPr>
                <w:sz w:val="18"/>
              </w:rPr>
              <w:t>year</w:t>
            </w:r>
          </w:p>
        </w:tc>
        <w:tc>
          <w:tcPr>
            <w:tcW w:type="dxa" w:w="2160"/>
          </w:tcPr>
          <w:p>
            <w:r>
              <w:rPr>
                <w:sz w:val="18"/>
              </w:rPr>
              <w:t>all</w:t>
            </w:r>
          </w:p>
        </w:tc>
        <w:tc>
          <w:tcPr>
            <w:tcW w:type="dxa" w:w="2160"/>
          </w:tcPr>
          <w:p>
            <w:r>
              <w:rPr>
                <w:sz w:val="18"/>
              </w:rPr>
              <w:t>T</w:t>
            </w:r>
          </w:p>
        </w:tc>
        <w:tc>
          <w:tcPr>
            <w:tcW w:type="dxa" w:w="2160"/>
          </w:tcPr>
          <w:p>
            <w:r>
              <w:rPr>
                <w:sz w:val="18"/>
              </w:rPr>
              <w:t>Calendar year</w:t>
            </w:r>
          </w:p>
        </w:tc>
      </w:tr>
      <w:tr>
        <w:tc>
          <w:tcPr>
            <w:tcW w:type="dxa" w:w="2160"/>
          </w:tcPr>
          <w:p>
            <w:r>
              <w:rPr>
                <w:sz w:val="18"/>
              </w:rPr>
              <w:t>co2</w:t>
            </w:r>
          </w:p>
        </w:tc>
        <w:tc>
          <w:tcPr>
            <w:tcW w:type="dxa" w:w="2160"/>
          </w:tcPr>
          <w:p>
            <w:r>
              <w:rPr>
                <w:sz w:val="18"/>
              </w:rPr>
              <w:t>OWID</w:t>
            </w:r>
          </w:p>
        </w:tc>
        <w:tc>
          <w:tcPr>
            <w:tcW w:type="dxa" w:w="2160"/>
          </w:tcPr>
          <w:p>
            <w:r>
              <w:rPr>
                <w:sz w:val="18"/>
              </w:rPr>
              <w:t>Q</w:t>
            </w:r>
          </w:p>
        </w:tc>
        <w:tc>
          <w:tcPr>
            <w:tcW w:type="dxa" w:w="2160"/>
          </w:tcPr>
          <w:p>
            <w:r>
              <w:rPr>
                <w:sz w:val="18"/>
              </w:rPr>
              <w:t>Territorial CO2, Mt</w:t>
            </w:r>
          </w:p>
        </w:tc>
      </w:tr>
      <w:tr>
        <w:tc>
          <w:tcPr>
            <w:tcW w:type="dxa" w:w="2160"/>
          </w:tcPr>
          <w:p>
            <w:r>
              <w:rPr>
                <w:sz w:val="18"/>
              </w:rPr>
              <w:t>consumption_co2</w:t>
            </w:r>
          </w:p>
        </w:tc>
        <w:tc>
          <w:tcPr>
            <w:tcW w:type="dxa" w:w="2160"/>
          </w:tcPr>
          <w:p>
            <w:r>
              <w:rPr>
                <w:sz w:val="18"/>
              </w:rPr>
              <w:t>OWID</w:t>
            </w:r>
          </w:p>
        </w:tc>
        <w:tc>
          <w:tcPr>
            <w:tcW w:type="dxa" w:w="2160"/>
          </w:tcPr>
          <w:p>
            <w:r>
              <w:rPr>
                <w:sz w:val="18"/>
              </w:rPr>
              <w:t>Q</w:t>
            </w:r>
          </w:p>
        </w:tc>
        <w:tc>
          <w:tcPr>
            <w:tcW w:type="dxa" w:w="2160"/>
          </w:tcPr>
          <w:p>
            <w:r>
              <w:rPr>
                <w:sz w:val="18"/>
              </w:rPr>
              <w:t>Consumption-based CO2, Mt</w:t>
            </w:r>
          </w:p>
        </w:tc>
      </w:tr>
      <w:tr>
        <w:tc>
          <w:tcPr>
            <w:tcW w:type="dxa" w:w="2160"/>
          </w:tcPr>
          <w:p>
            <w:r>
              <w:rPr>
                <w:sz w:val="18"/>
              </w:rPr>
              <w:t>trade_co2</w:t>
            </w:r>
          </w:p>
        </w:tc>
        <w:tc>
          <w:tcPr>
            <w:tcW w:type="dxa" w:w="2160"/>
          </w:tcPr>
          <w:p>
            <w:r>
              <w:rPr>
                <w:sz w:val="18"/>
              </w:rPr>
              <w:t>OWID</w:t>
            </w:r>
          </w:p>
        </w:tc>
        <w:tc>
          <w:tcPr>
            <w:tcW w:type="dxa" w:w="2160"/>
          </w:tcPr>
          <w:p>
            <w:r>
              <w:rPr>
                <w:sz w:val="18"/>
              </w:rPr>
              <w:t>Q</w:t>
            </w:r>
          </w:p>
        </w:tc>
        <w:tc>
          <w:tcPr>
            <w:tcW w:type="dxa" w:w="2160"/>
          </w:tcPr>
          <w:p>
            <w:r>
              <w:rPr>
                <w:sz w:val="18"/>
              </w:rPr>
              <w:t>Net CO2 embodied in trade, Mt (negative = net exporter)</w:t>
            </w:r>
          </w:p>
        </w:tc>
      </w:tr>
      <w:tr>
        <w:tc>
          <w:tcPr>
            <w:tcW w:type="dxa" w:w="2160"/>
          </w:tcPr>
          <w:p>
            <w:r>
              <w:rPr>
                <w:sz w:val="18"/>
              </w:rPr>
              <w:t>population</w:t>
            </w:r>
          </w:p>
        </w:tc>
        <w:tc>
          <w:tcPr>
            <w:tcW w:type="dxa" w:w="2160"/>
          </w:tcPr>
          <w:p>
            <w:r>
              <w:rPr>
                <w:sz w:val="18"/>
              </w:rPr>
              <w:t>OWID</w:t>
            </w:r>
          </w:p>
        </w:tc>
        <w:tc>
          <w:tcPr>
            <w:tcW w:type="dxa" w:w="2160"/>
          </w:tcPr>
          <w:p>
            <w:r>
              <w:rPr>
                <w:sz w:val="18"/>
              </w:rPr>
              <w:t>Q</w:t>
            </w:r>
          </w:p>
        </w:tc>
        <w:tc>
          <w:tcPr>
            <w:tcW w:type="dxa" w:w="2160"/>
          </w:tcPr>
          <w:p>
            <w:r>
              <w:rPr>
                <w:sz w:val="18"/>
              </w:rPr>
              <w:t>People, used for per-person figures</w:t>
            </w:r>
          </w:p>
        </w:tc>
      </w:tr>
      <w:tr>
        <w:tc>
          <w:tcPr>
            <w:tcW w:type="dxa" w:w="2160"/>
          </w:tcPr>
          <w:p>
            <w:r>
              <w:rPr>
                <w:sz w:val="18"/>
              </w:rPr>
              <w:t>nace_r2</w:t>
            </w:r>
          </w:p>
        </w:tc>
        <w:tc>
          <w:tcPr>
            <w:tcW w:type="dxa" w:w="2160"/>
          </w:tcPr>
          <w:p>
            <w:r>
              <w:rPr>
                <w:sz w:val="18"/>
              </w:rPr>
              <w:t>FIGARO</w:t>
            </w:r>
          </w:p>
        </w:tc>
        <w:tc>
          <w:tcPr>
            <w:tcW w:type="dxa" w:w="2160"/>
          </w:tcPr>
          <w:p>
            <w:r>
              <w:rPr>
                <w:sz w:val="18"/>
              </w:rPr>
              <w:t>N</w:t>
            </w:r>
          </w:p>
        </w:tc>
        <w:tc>
          <w:tcPr>
            <w:tcW w:type="dxa" w:w="2160"/>
          </w:tcPr>
          <w:p>
            <w:r>
              <w:rPr>
                <w:sz w:val="18"/>
              </w:rPr>
              <w:t>Producing industry, e.g. A01 farming, H51 air transport, C manufacturing</w:t>
            </w:r>
          </w:p>
        </w:tc>
      </w:tr>
      <w:tr>
        <w:tc>
          <w:tcPr>
            <w:tcW w:type="dxa" w:w="2160"/>
          </w:tcPr>
          <w:p>
            <w:r>
              <w:rPr>
                <w:sz w:val="18"/>
              </w:rPr>
              <w:t>production_mt / consumption_mt</w:t>
            </w:r>
          </w:p>
        </w:tc>
        <w:tc>
          <w:tcPr>
            <w:tcW w:type="dxa" w:w="2160"/>
          </w:tcPr>
          <w:p>
            <w:r>
              <w:rPr>
                <w:sz w:val="18"/>
              </w:rPr>
              <w:t>FIGARO (derived)</w:t>
            </w:r>
          </w:p>
        </w:tc>
        <w:tc>
          <w:tcPr>
            <w:tcW w:type="dxa" w:w="2160"/>
          </w:tcPr>
          <w:p>
            <w:r>
              <w:rPr>
                <w:sz w:val="18"/>
              </w:rPr>
              <w:t>Q</w:t>
            </w:r>
          </w:p>
        </w:tc>
        <w:tc>
          <w:tcPr>
            <w:tcW w:type="dxa" w:w="2160"/>
          </w:tcPr>
          <w:p>
            <w:r>
              <w:rPr>
                <w:sz w:val="18"/>
              </w:rPr>
              <w:t>All greenhouse gases, Mt CO2e, summed over partners</w:t>
            </w:r>
          </w:p>
        </w:tc>
      </w:tr>
      <w:tr>
        <w:tc>
          <w:tcPr>
            <w:tcW w:type="dxa" w:w="2160"/>
          </w:tcPr>
          <w:p>
            <w:r>
              <w:rPr>
                <w:sz w:val="18"/>
              </w:rPr>
              <w:t>balance_mt</w:t>
            </w:r>
          </w:p>
        </w:tc>
        <w:tc>
          <w:tcPr>
            <w:tcW w:type="dxa" w:w="2160"/>
          </w:tcPr>
          <w:p>
            <w:r>
              <w:rPr>
                <w:sz w:val="18"/>
              </w:rPr>
              <w:t>FIGARO (derived)</w:t>
            </w:r>
          </w:p>
        </w:tc>
        <w:tc>
          <w:tcPr>
            <w:tcW w:type="dxa" w:w="2160"/>
          </w:tcPr>
          <w:p>
            <w:r>
              <w:rPr>
                <w:sz w:val="18"/>
              </w:rPr>
              <w:t>Q</w:t>
            </w:r>
          </w:p>
        </w:tc>
        <w:tc>
          <w:tcPr>
            <w:tcW w:type="dxa" w:w="2160"/>
          </w:tcPr>
          <w:p>
            <w:r>
              <w:rPr>
                <w:sz w:val="18"/>
              </w:rPr>
              <w:t>Consumption minus production, Mt CO2e (positive = net importer of emissions)</w:t>
            </w:r>
          </w:p>
        </w:tc>
      </w:tr>
      <w:tr>
        <w:tc>
          <w:tcPr>
            <w:tcW w:type="dxa" w:w="2160"/>
          </w:tcPr>
          <w:p>
            <w:r>
              <w:rPr>
                <w:sz w:val="18"/>
              </w:rPr>
              <w:t>sector columns</w:t>
            </w:r>
          </w:p>
        </w:tc>
        <w:tc>
          <w:tcPr>
            <w:tcW w:type="dxa" w:w="2160"/>
          </w:tcPr>
          <w:p>
            <w:r>
              <w:rPr>
                <w:sz w:val="18"/>
              </w:rPr>
              <w:t>Inventory</w:t>
            </w:r>
          </w:p>
        </w:tc>
        <w:tc>
          <w:tcPr>
            <w:tcW w:type="dxa" w:w="2160"/>
          </w:tcPr>
          <w:p>
            <w:r>
              <w:rPr>
                <w:sz w:val="18"/>
              </w:rPr>
              <w:t>Q</w:t>
            </w:r>
          </w:p>
        </w:tc>
        <w:tc>
          <w:tcPr>
            <w:tcW w:type="dxa" w:w="2160"/>
          </w:tcPr>
          <w:p>
            <w:r>
              <w:rPr>
                <w:sz w:val="18"/>
              </w:rPr>
              <w:t>Emissions by UNFCCC sector, Mt CO2e, excluding land use (LULUCF)</w:t>
            </w:r>
          </w:p>
        </w:tc>
      </w:tr>
    </w:tbl>
    <w:p>
      <w:pPr>
        <w:pStyle w:val="Heading3"/>
      </w:pPr>
      <w:r>
        <w:t>Missing data, duplicates and unusual values</w:t>
      </w:r>
    </w:p>
    <w:p>
      <w:pPr>
        <w:pStyle w:val="ListBullet"/>
      </w:pPr>
      <w:r>
        <w:rPr>
          <w:b/>
        </w:rPr>
        <w:t xml:space="preserve">Missing data: </w:t>
      </w:r>
      <w:r>
        <w:t>OWID emissions and population are complete for all 7 countries over 1990–2023. GDP is missing for 2023 for all 7 countries (7 values), so any per-GDP figure will stop at 2022. FIGARO has no missing values and no status flags for the series we use. The inventory series we use have no missing values or flags. The Eurostat inventory file for peer countries does not include the UK, which left the EU reporting system, so peer comparisons of official inventories are limited to EU members.</w:t>
      </w:r>
    </w:p>
    <w:p>
      <w:pPr>
        <w:pStyle w:val="ListBullet"/>
      </w:pPr>
      <w:r>
        <w:rPr>
          <w:b/>
        </w:rPr>
        <w:t xml:space="preserve">Duplicates: </w:t>
      </w:r>
      <w:r>
        <w:t>none on the row keys of any prepared file (country-year, or origin-destination-industry-year for FIGARO flows).</w:t>
      </w:r>
    </w:p>
    <w:p>
      <w:pPr>
        <w:pStyle w:val="ListBullet"/>
      </w:pPr>
      <w:r>
        <w:rPr>
          <w:b/>
        </w:rPr>
        <w:t xml:space="preserve">Negative values: </w:t>
      </w:r>
      <w:r>
        <w:t>364 negative values in the FIGARO extract (total about −5.7 Mt across all countries and years), mostly small flows to Norway. These are likely to come from falls in inventories (stocks of goods), which are recorded as negative final demand. They are valid in the accounts, so we keep them. 66 involve one of our seven countries; all are small relative to national totals. In OWID, negative trade_co2 correctly marks net exporter years (Netherlands in 6 years, Denmark in 1996).</w:t>
      </w:r>
    </w:p>
    <w:p>
      <w:pPr>
        <w:pStyle w:val="ListBullet"/>
      </w:pPr>
      <w:r>
        <w:rPr>
          <w:b/>
        </w:rPr>
        <w:t xml:space="preserve">Ireland's 2019–2020 spike: </w:t>
      </w:r>
      <w:r>
        <w:t>Ireland's FIGARO consumption footprint jumps from 63.7 Mt (2018) to 90.7 Mt (2019) and 79.0 Mt (2020), then falls to 58.2 Mt (2021). Our earlier check showed this comes almost entirely from investment (gross fixed capital formation), not household consumption. Irish investment figures in these years are known to be affected by multinational activity, but we have not yet confirmed the cause. We keep the values and will annotate them rather than remove them, since dropping them would hide a real feature of the data.</w:t>
      </w:r>
    </w:p>
    <w:p>
      <w:pPr>
        <w:pStyle w:val="ListBullet"/>
      </w:pPr>
      <w:r>
        <w:rPr>
          <w:b/>
        </w:rPr>
        <w:t xml:space="preserve">Large year-on-year changes in OWID: </w:t>
      </w:r>
      <w:r>
        <w:t>Ireland's consumption CO2 changes by over 15% in 1999 and 2009, and the Netherlands in 1999 and 2003. 2009 matches the financial crisis; the others will be checked before we show them.</w:t>
      </w:r>
    </w:p>
    <w:p>
      <w:pPr>
        <w:pStyle w:val="ListBullet"/>
      </w:pPr>
      <w:r>
        <w:rPr>
          <w:b/>
        </w:rPr>
        <w:t xml:space="preserve">Differences between sources: </w:t>
      </w:r>
      <w:r>
        <w:t>for Ireland in 2023, OWID territorial CO2 is 33.6 Mt (CO2 only), the official inventory is 54.9 Mt CO2e and FIGARO production is 61.9 Mt CO2e. Eurostat's metadata confirms that FIGARO's production side comes from air emissions accounts, which follow the residence principle (emissions of Irish-resident units wherever they occur), while the inventory follows the territory principle. Using Eurostat's bridging table (env_ac_aibrid_r2) and air emissions accounts (env_ac_ainah_r2), we reconciled the two exactly for every year we checked (see the table below). The main difference is fuel that Irish residents bought abroad (18.9 Mt in 2023, of which 15.9 Mt is air transport, mostly Irish-based airlines flying outside Ireland). Households' own emissions (11.0 Mt, e.g. home heating and private cars) are not in FIGARO at all, because the footprint model only reallocates emissions from industries. This affects both its production and consumption totals, so FIGARO's balance is internally consistent, but its levels cannot be compared directly with the inventory.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Ireland, Mt CO2e</w:t>
            </w:r>
          </w:p>
        </w:tc>
        <w:tc>
          <w:tcPr>
            <w:tcW w:type="dxa" w:w="2160"/>
          </w:tcPr>
          <w:p>
            <w:r>
              <w:rPr>
                <w:sz w:val="18"/>
              </w:rPr>
              <w:t>2010</w:t>
            </w:r>
          </w:p>
        </w:tc>
        <w:tc>
          <w:tcPr>
            <w:tcW w:type="dxa" w:w="2160"/>
          </w:tcPr>
          <w:p>
            <w:r>
              <w:rPr>
                <w:sz w:val="18"/>
              </w:rPr>
              <w:t>2018</w:t>
            </w:r>
          </w:p>
        </w:tc>
        <w:tc>
          <w:tcPr>
            <w:tcW w:type="dxa" w:w="2160"/>
          </w:tcPr>
          <w:p>
            <w:r>
              <w:rPr>
                <w:sz w:val="18"/>
              </w:rPr>
              <w:t>2023</w:t>
            </w:r>
          </w:p>
        </w:tc>
      </w:tr>
      <w:tr>
        <w:tc>
          <w:tcPr>
            <w:tcW w:type="dxa" w:w="2160"/>
          </w:tcPr>
          <w:p>
            <w:r>
              <w:rPr>
                <w:sz w:val="18"/>
              </w:rPr>
              <w:t>Inventory total (territory principle)</w:t>
            </w:r>
          </w:p>
        </w:tc>
        <w:tc>
          <w:tcPr>
            <w:tcW w:type="dxa" w:w="2160"/>
          </w:tcPr>
          <w:p>
            <w:r>
              <w:rPr>
                <w:sz w:val="18"/>
              </w:rPr>
              <w:t>61.80</w:t>
            </w:r>
          </w:p>
        </w:tc>
        <w:tc>
          <w:tcPr>
            <w:tcW w:type="dxa" w:w="2160"/>
          </w:tcPr>
          <w:p>
            <w:r>
              <w:rPr>
                <w:sz w:val="18"/>
              </w:rPr>
              <w:t>61.60</w:t>
            </w:r>
          </w:p>
        </w:tc>
        <w:tc>
          <w:tcPr>
            <w:tcW w:type="dxa" w:w="2160"/>
          </w:tcPr>
          <w:p>
            <w:r>
              <w:rPr>
                <w:sz w:val="18"/>
              </w:rPr>
              <w:t>54.93</w:t>
            </w:r>
          </w:p>
        </w:tc>
      </w:tr>
      <w:tr>
        <w:tc>
          <w:tcPr>
            <w:tcW w:type="dxa" w:w="2160"/>
          </w:tcPr>
          <w:p>
            <w:r>
              <w:rPr>
                <w:sz w:val="18"/>
              </w:rPr>
              <w:t>+ fuel bought abroad by Irish residents</w:t>
            </w:r>
          </w:p>
        </w:tc>
        <w:tc>
          <w:tcPr>
            <w:tcW w:type="dxa" w:w="2160"/>
          </w:tcPr>
          <w:p>
            <w:r>
              <w:rPr>
                <w:sz w:val="18"/>
              </w:rPr>
              <w:t>8.80</w:t>
            </w:r>
          </w:p>
        </w:tc>
        <w:tc>
          <w:tcPr>
            <w:tcW w:type="dxa" w:w="2160"/>
          </w:tcPr>
          <w:p>
            <w:r>
              <w:rPr>
                <w:sz w:val="18"/>
              </w:rPr>
              <w:t>20.29</w:t>
            </w:r>
          </w:p>
        </w:tc>
        <w:tc>
          <w:tcPr>
            <w:tcW w:type="dxa" w:w="2160"/>
          </w:tcPr>
          <w:p>
            <w:r>
              <w:rPr>
                <w:sz w:val="18"/>
              </w:rPr>
              <w:t>18.85</w:t>
            </w:r>
          </w:p>
        </w:tc>
      </w:tr>
      <w:tr>
        <w:tc>
          <w:tcPr>
            <w:tcW w:type="dxa" w:w="2160"/>
          </w:tcPr>
          <w:p>
            <w:r>
              <w:rPr>
                <w:sz w:val="18"/>
              </w:rPr>
              <w:t xml:space="preserve">    of which air transport</w:t>
            </w:r>
          </w:p>
        </w:tc>
        <w:tc>
          <w:tcPr>
            <w:tcW w:type="dxa" w:w="2160"/>
          </w:tcPr>
          <w:p>
            <w:r>
              <w:rPr>
                <w:sz w:val="18"/>
              </w:rPr>
              <w:t>8.24</w:t>
            </w:r>
          </w:p>
        </w:tc>
        <w:tc>
          <w:tcPr>
            <w:tcW w:type="dxa" w:w="2160"/>
          </w:tcPr>
          <w:p>
            <w:r>
              <w:rPr>
                <w:sz w:val="18"/>
              </w:rPr>
              <w:t>17.07</w:t>
            </w:r>
          </w:p>
        </w:tc>
        <w:tc>
          <w:tcPr>
            <w:tcW w:type="dxa" w:w="2160"/>
          </w:tcPr>
          <w:p>
            <w:r>
              <w:rPr>
                <w:sz w:val="18"/>
              </w:rPr>
              <w:t>15.91</w:t>
            </w:r>
          </w:p>
        </w:tc>
      </w:tr>
      <w:tr>
        <w:tc>
          <w:tcPr>
            <w:tcW w:type="dxa" w:w="2160"/>
          </w:tcPr>
          <w:p>
            <w:r>
              <w:rPr>
                <w:sz w:val="18"/>
              </w:rPr>
              <w:t>− non-residents' fuel bought in Ireland</w:t>
            </w:r>
          </w:p>
        </w:tc>
        <w:tc>
          <w:tcPr>
            <w:tcW w:type="dxa" w:w="2160"/>
          </w:tcPr>
          <w:p>
            <w:r>
              <w:rPr>
                <w:sz w:val="18"/>
              </w:rPr>
              <w:t>1.06</w:t>
            </w:r>
          </w:p>
        </w:tc>
        <w:tc>
          <w:tcPr>
            <w:tcW w:type="dxa" w:w="2160"/>
          </w:tcPr>
          <w:p>
            <w:r>
              <w:rPr>
                <w:sz w:val="18"/>
              </w:rPr>
              <w:t>1.05</w:t>
            </w:r>
          </w:p>
        </w:tc>
        <w:tc>
          <w:tcPr>
            <w:tcW w:type="dxa" w:w="2160"/>
          </w:tcPr>
          <w:p>
            <w:r>
              <w:rPr>
                <w:sz w:val="18"/>
              </w:rPr>
              <w:t>0.85</w:t>
            </w:r>
          </w:p>
        </w:tc>
      </w:tr>
      <w:tr>
        <w:tc>
          <w:tcPr>
            <w:tcW w:type="dxa" w:w="2160"/>
          </w:tcPr>
          <w:p>
            <w:r>
              <w:rPr>
                <w:sz w:val="18"/>
              </w:rPr>
              <w:t>= Air emissions accounts, residents total</w:t>
            </w:r>
          </w:p>
        </w:tc>
        <w:tc>
          <w:tcPr>
            <w:tcW w:type="dxa" w:w="2160"/>
          </w:tcPr>
          <w:p>
            <w:r>
              <w:rPr>
                <w:sz w:val="18"/>
              </w:rPr>
              <w:t>69.54</w:t>
            </w:r>
          </w:p>
        </w:tc>
        <w:tc>
          <w:tcPr>
            <w:tcW w:type="dxa" w:w="2160"/>
          </w:tcPr>
          <w:p>
            <w:r>
              <w:rPr>
                <w:sz w:val="18"/>
              </w:rPr>
              <w:t>80.83</w:t>
            </w:r>
          </w:p>
        </w:tc>
        <w:tc>
          <w:tcPr>
            <w:tcW w:type="dxa" w:w="2160"/>
          </w:tcPr>
          <w:p>
            <w:r>
              <w:rPr>
                <w:sz w:val="18"/>
              </w:rPr>
              <w:t>72.93</w:t>
            </w:r>
          </w:p>
        </w:tc>
      </w:tr>
      <w:tr>
        <w:tc>
          <w:tcPr>
            <w:tcW w:type="dxa" w:w="2160"/>
          </w:tcPr>
          <w:p>
            <w:r>
              <w:rPr>
                <w:sz w:val="18"/>
              </w:rPr>
              <w:t>− households' direct emissions</w:t>
            </w:r>
          </w:p>
        </w:tc>
        <w:tc>
          <w:tcPr>
            <w:tcW w:type="dxa" w:w="2160"/>
          </w:tcPr>
          <w:p>
            <w:r>
              <w:rPr>
                <w:sz w:val="18"/>
              </w:rPr>
              <w:t>15.60</w:t>
            </w:r>
          </w:p>
        </w:tc>
        <w:tc>
          <w:tcPr>
            <w:tcW w:type="dxa" w:w="2160"/>
          </w:tcPr>
          <w:p>
            <w:r>
              <w:rPr>
                <w:sz w:val="18"/>
              </w:rPr>
              <w:t>13.82</w:t>
            </w:r>
          </w:p>
        </w:tc>
        <w:tc>
          <w:tcPr>
            <w:tcW w:type="dxa" w:w="2160"/>
          </w:tcPr>
          <w:p>
            <w:r>
              <w:rPr>
                <w:sz w:val="18"/>
              </w:rPr>
              <w:t>11.01</w:t>
            </w:r>
          </w:p>
        </w:tc>
      </w:tr>
      <w:tr>
        <w:tc>
          <w:tcPr>
            <w:tcW w:type="dxa" w:w="2160"/>
          </w:tcPr>
          <w:p>
            <w:r>
              <w:rPr>
                <w:sz w:val="18"/>
              </w:rPr>
              <w:t>= Air emissions accounts, industries</w:t>
            </w:r>
          </w:p>
        </w:tc>
        <w:tc>
          <w:tcPr>
            <w:tcW w:type="dxa" w:w="2160"/>
          </w:tcPr>
          <w:p>
            <w:r>
              <w:rPr>
                <w:sz w:val="18"/>
              </w:rPr>
              <w:t>53.94</w:t>
            </w:r>
          </w:p>
        </w:tc>
        <w:tc>
          <w:tcPr>
            <w:tcW w:type="dxa" w:w="2160"/>
          </w:tcPr>
          <w:p>
            <w:r>
              <w:rPr>
                <w:sz w:val="18"/>
              </w:rPr>
              <w:t>67.00</w:t>
            </w:r>
          </w:p>
        </w:tc>
        <w:tc>
          <w:tcPr>
            <w:tcW w:type="dxa" w:w="2160"/>
          </w:tcPr>
          <w:p>
            <w:r>
              <w:rPr>
                <w:sz w:val="18"/>
              </w:rPr>
              <w:t>61.93</w:t>
            </w:r>
          </w:p>
        </w:tc>
      </w:tr>
      <w:tr>
        <w:tc>
          <w:tcPr>
            <w:tcW w:type="dxa" w:w="2160"/>
          </w:tcPr>
          <w:p>
            <w:r>
              <w:rPr>
                <w:sz w:val="18"/>
              </w:rPr>
              <w:t>FIGARO production (our extract)</w:t>
            </w:r>
          </w:p>
        </w:tc>
        <w:tc>
          <w:tcPr>
            <w:tcW w:type="dxa" w:w="2160"/>
          </w:tcPr>
          <w:p>
            <w:r>
              <w:rPr>
                <w:sz w:val="18"/>
              </w:rPr>
              <w:t>53.94</w:t>
            </w:r>
          </w:p>
        </w:tc>
        <w:tc>
          <w:tcPr>
            <w:tcW w:type="dxa" w:w="2160"/>
          </w:tcPr>
          <w:p>
            <w:r>
              <w:rPr>
                <w:sz w:val="18"/>
              </w:rPr>
              <w:t>67.00</w:t>
            </w:r>
          </w:p>
        </w:tc>
        <w:tc>
          <w:tcPr>
            <w:tcW w:type="dxa" w:w="2160"/>
          </w:tcPr>
          <w:p>
            <w:r>
              <w:rPr>
                <w:sz w:val="18"/>
              </w:rPr>
              <w:t>61.93</w:t>
            </w:r>
          </w:p>
        </w:tc>
      </w:tr>
    </w:tbl>
    <w:p>
      <w:r>
        <w:rPr>
          <w:i/>
          <w:sz w:val="16"/>
        </w:rPr>
        <w:t>Source: Eurostat env_ac_aibrid_r2 and env_ac_ainah_r2, Ireland, all greenhouse gases excluding land use. Reproduced in notebooks/data_audit.py, section 5.</w:t>
      </w:r>
    </w:p>
    <w:p>
      <w:pPr>
        <w:pStyle w:val="Heading3"/>
      </w:pPr>
      <w:r>
        <w:t>Cleaning, transformations and aggregation</w:t>
      </w:r>
    </w:p>
    <w:p>
      <w:pPr>
        <w:pStyle w:val="ListBullet"/>
      </w:pPr>
      <w:r>
        <w:t>Filtered OWID to our 7 countries and 1990–2023, and kept 10 of 79 columns.</w:t>
      </w:r>
    </w:p>
    <w:p>
      <w:pPr>
        <w:pStyle w:val="ListBullet"/>
      </w:pPr>
      <w:r>
        <w:t>Flattened the Eurostat JSON-stat cubes into long tables using the published dimension sizes.</w:t>
      </w:r>
    </w:p>
    <w:p>
      <w:pPr>
        <w:pStyle w:val="ListBullet"/>
      </w:pPr>
      <w:r>
        <w:t>Removed the EU27, extra-EU and WORLD aggregate partners from FIGARO. Including them double-counted flows and roughly doubled national totals in our first attempt.</w:t>
      </w:r>
    </w:p>
    <w:p>
      <w:pPr>
        <w:pStyle w:val="ListBullet"/>
      </w:pPr>
      <w:r>
        <w:t>Kept only total final use, and the TOTAL, A01, H51 and C industries.</w:t>
      </w:r>
    </w:p>
    <w:p>
      <w:pPr>
        <w:pStyle w:val="ListBullet"/>
      </w:pPr>
      <w:r>
        <w:t>Aggregated FIGARO flows: production = sum over all destinations for a country of origin; consumption = sum over all origins for a country of destination.</w:t>
      </w:r>
    </w:p>
    <w:p>
      <w:pPr>
        <w:pStyle w:val="ListBullet"/>
      </w:pPr>
      <w:r>
        <w:t>Derived balance_mt and balance_pct_of_production, and, for Ireland, the share of each industry's emissions consumed abroad.</w:t>
      </w:r>
    </w:p>
    <w:p>
      <w:pPr>
        <w:pStyle w:val="ListBullet"/>
      </w:pPr>
      <w:r>
        <w:t>Converted FIGARO from thousand tonnes to million tonnes so all three sources use Mt.</w:t>
      </w:r>
    </w:p>
    <w:p>
      <w:pPr>
        <w:pStyle w:val="ListBullet"/>
      </w:pPr>
      <w:r>
        <w:t>Selected the inventory total excluding land use (the basis for the national target) and the main sectors, and derived agriculture's share of the total.</w:t>
      </w:r>
    </w:p>
    <w:p>
      <w:pPr>
        <w:pStyle w:val="ListBullet"/>
      </w:pPr>
      <w:r>
        <w:t>No values were imputed or removed as outliers.</w:t>
      </w:r>
    </w:p>
    <w:p>
      <w:pPr>
        <w:pStyle w:val="Heading3"/>
      </w:pPr>
      <w:r>
        <w:t>Important assumptions</w:t>
      </w:r>
    </w:p>
    <w:p>
      <w:pPr>
        <w:pStyle w:val="ListBullet"/>
      </w:pPr>
      <w:r>
        <w:t>We treat the three sources as separate measures and do not combine their totals. Comparisons across sources are only made side by side, with the difference explained.</w:t>
      </w:r>
    </w:p>
    <w:p>
      <w:pPr>
        <w:pStyle w:val="ListBullet"/>
      </w:pPr>
      <w:r>
        <w:t>OWID's consumption-based figures are CO2 only. We use them for the long 1990–2023 comparison and FIGARO for all gases from 2010.</w:t>
      </w:r>
    </w:p>
    <w:p>
      <w:pPr>
        <w:pStyle w:val="ListBullet"/>
      </w:pPr>
      <w:r>
        <w:t>FIGARO footprints are modelled from trade and input-output tables, not measured. We treat them as estimates and will show them as such.</w:t>
      </w:r>
    </w:p>
    <w:p>
      <w:pPr>
        <w:pStyle w:val="ListBullet"/>
      </w:pPr>
      <w:r>
        <w:t>The peer group (UK, Denmark, Germany, France, Sweden, Netherlands) reflects the countries Ireland is most often compared with; it is not a random sample of Europe.</w:t>
      </w:r>
    </w:p>
    <w:p>
      <w:pPr>
        <w:pStyle w:val="Heading3"/>
      </w:pPr>
      <w:r>
        <w:t>Preview of prepared data</w:t>
      </w:r>
    </w:p>
    <w:p>
      <w:r>
        <w:t>figaro_balance_peers.csv, 2023 rows (Mt CO2e):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country</w:t>
            </w:r>
          </w:p>
        </w:tc>
        <w:tc>
          <w:tcPr>
            <w:tcW w:type="dxa" w:w="1440"/>
          </w:tcPr>
          <w:p>
            <w:r>
              <w:rPr>
                <w:sz w:val="18"/>
              </w:rPr>
              <w:t>year</w:t>
            </w:r>
          </w:p>
        </w:tc>
        <w:tc>
          <w:tcPr>
            <w:tcW w:type="dxa" w:w="1440"/>
          </w:tcPr>
          <w:p>
            <w:r>
              <w:rPr>
                <w:sz w:val="18"/>
              </w:rPr>
              <w:t>production_mt</w:t>
            </w:r>
          </w:p>
        </w:tc>
        <w:tc>
          <w:tcPr>
            <w:tcW w:type="dxa" w:w="1440"/>
          </w:tcPr>
          <w:p>
            <w:r>
              <w:rPr>
                <w:sz w:val="18"/>
              </w:rPr>
              <w:t>consumption_mt</w:t>
            </w:r>
          </w:p>
        </w:tc>
        <w:tc>
          <w:tcPr>
            <w:tcW w:type="dxa" w:w="1440"/>
          </w:tcPr>
          <w:p>
            <w:r>
              <w:rPr>
                <w:sz w:val="18"/>
              </w:rPr>
              <w:t>balance_mt</w:t>
            </w:r>
          </w:p>
        </w:tc>
        <w:tc>
          <w:tcPr>
            <w:tcW w:type="dxa" w:w="1440"/>
          </w:tcPr>
          <w:p>
            <w:r>
              <w:rPr>
                <w:sz w:val="18"/>
              </w:rPr>
              <w:t>balance_%</w:t>
            </w:r>
          </w:p>
        </w:tc>
      </w:tr>
      <w:tr>
        <w:tc>
          <w:tcPr>
            <w:tcW w:type="dxa" w:w="1440"/>
          </w:tcPr>
          <w:p>
            <w:r>
              <w:rPr>
                <w:sz w:val="18"/>
              </w:rPr>
              <w:t>UK</w:t>
            </w:r>
          </w:p>
        </w:tc>
        <w:tc>
          <w:tcPr>
            <w:tcW w:type="dxa" w:w="1440"/>
          </w:tcPr>
          <w:p>
            <w:r>
              <w:rPr>
                <w:sz w:val="18"/>
              </w:rPr>
              <w:t>2023</w:t>
            </w:r>
          </w:p>
        </w:tc>
        <w:tc>
          <w:tcPr>
            <w:tcW w:type="dxa" w:w="1440"/>
          </w:tcPr>
          <w:p>
            <w:r>
              <w:rPr>
                <w:sz w:val="18"/>
              </w:rPr>
              <w:t>357.6</w:t>
            </w:r>
          </w:p>
        </w:tc>
        <w:tc>
          <w:tcPr>
            <w:tcW w:type="dxa" w:w="1440"/>
          </w:tcPr>
          <w:p>
            <w:r>
              <w:rPr>
                <w:sz w:val="18"/>
              </w:rPr>
              <w:t>567.1</w:t>
            </w:r>
          </w:p>
        </w:tc>
        <w:tc>
          <w:tcPr>
            <w:tcW w:type="dxa" w:w="1440"/>
          </w:tcPr>
          <w:p>
            <w:r>
              <w:rPr>
                <w:sz w:val="18"/>
              </w:rPr>
              <w:t>209.5</w:t>
            </w:r>
          </w:p>
        </w:tc>
        <w:tc>
          <w:tcPr>
            <w:tcW w:type="dxa" w:w="1440"/>
          </w:tcPr>
          <w:p>
            <w:r>
              <w:rPr>
                <w:sz w:val="18"/>
              </w:rPr>
              <w:t>58.6</w:t>
            </w:r>
          </w:p>
        </w:tc>
      </w:tr>
      <w:tr>
        <w:tc>
          <w:tcPr>
            <w:tcW w:type="dxa" w:w="1440"/>
          </w:tcPr>
          <w:p>
            <w:r>
              <w:rPr>
                <w:sz w:val="18"/>
              </w:rPr>
              <w:t>SE</w:t>
            </w:r>
          </w:p>
        </w:tc>
        <w:tc>
          <w:tcPr>
            <w:tcW w:type="dxa" w:w="1440"/>
          </w:tcPr>
          <w:p>
            <w:r>
              <w:rPr>
                <w:sz w:val="18"/>
              </w:rPr>
              <w:t>2023</w:t>
            </w:r>
          </w:p>
        </w:tc>
        <w:tc>
          <w:tcPr>
            <w:tcW w:type="dxa" w:w="1440"/>
          </w:tcPr>
          <w:p>
            <w:r>
              <w:rPr>
                <w:sz w:val="18"/>
              </w:rPr>
              <w:t>41.5</w:t>
            </w:r>
          </w:p>
        </w:tc>
        <w:tc>
          <w:tcPr>
            <w:tcW w:type="dxa" w:w="1440"/>
          </w:tcPr>
          <w:p>
            <w:r>
              <w:rPr>
                <w:sz w:val="18"/>
              </w:rPr>
              <w:t>65.7</w:t>
            </w:r>
          </w:p>
        </w:tc>
        <w:tc>
          <w:tcPr>
            <w:tcW w:type="dxa" w:w="1440"/>
          </w:tcPr>
          <w:p>
            <w:r>
              <w:rPr>
                <w:sz w:val="18"/>
              </w:rPr>
              <w:t>24.2</w:t>
            </w:r>
          </w:p>
        </w:tc>
        <w:tc>
          <w:tcPr>
            <w:tcW w:type="dxa" w:w="1440"/>
          </w:tcPr>
          <w:p>
            <w:r>
              <w:rPr>
                <w:sz w:val="18"/>
              </w:rPr>
              <w:t>58.4</w:t>
            </w:r>
          </w:p>
        </w:tc>
      </w:tr>
      <w:tr>
        <w:tc>
          <w:tcPr>
            <w:tcW w:type="dxa" w:w="1440"/>
          </w:tcPr>
          <w:p>
            <w:r>
              <w:rPr>
                <w:sz w:val="18"/>
              </w:rPr>
              <w:t>FR</w:t>
            </w:r>
          </w:p>
        </w:tc>
        <w:tc>
          <w:tcPr>
            <w:tcW w:type="dxa" w:w="1440"/>
          </w:tcPr>
          <w:p>
            <w:r>
              <w:rPr>
                <w:sz w:val="18"/>
              </w:rPr>
              <w:t>2023</w:t>
            </w:r>
          </w:p>
        </w:tc>
        <w:tc>
          <w:tcPr>
            <w:tcW w:type="dxa" w:w="1440"/>
          </w:tcPr>
          <w:p>
            <w:r>
              <w:rPr>
                <w:sz w:val="18"/>
              </w:rPr>
              <w:t>308.2</w:t>
            </w:r>
          </w:p>
        </w:tc>
        <w:tc>
          <w:tcPr>
            <w:tcW w:type="dxa" w:w="1440"/>
          </w:tcPr>
          <w:p>
            <w:r>
              <w:rPr>
                <w:sz w:val="18"/>
              </w:rPr>
              <w:t>453.7</w:t>
            </w:r>
          </w:p>
        </w:tc>
        <w:tc>
          <w:tcPr>
            <w:tcW w:type="dxa" w:w="1440"/>
          </w:tcPr>
          <w:p>
            <w:r>
              <w:rPr>
                <w:sz w:val="18"/>
              </w:rPr>
              <w:t>145.5</w:t>
            </w:r>
          </w:p>
        </w:tc>
        <w:tc>
          <w:tcPr>
            <w:tcW w:type="dxa" w:w="1440"/>
          </w:tcPr>
          <w:p>
            <w:r>
              <w:rPr>
                <w:sz w:val="18"/>
              </w:rPr>
              <w:t>47.2</w:t>
            </w:r>
          </w:p>
        </w:tc>
      </w:tr>
      <w:tr>
        <w:tc>
          <w:tcPr>
            <w:tcW w:type="dxa" w:w="1440"/>
          </w:tcPr>
          <w:p>
            <w:r>
              <w:rPr>
                <w:sz w:val="18"/>
              </w:rPr>
              <w:t>DE</w:t>
            </w:r>
          </w:p>
        </w:tc>
        <w:tc>
          <w:tcPr>
            <w:tcW w:type="dxa" w:w="1440"/>
          </w:tcPr>
          <w:p>
            <w:r>
              <w:rPr>
                <w:sz w:val="18"/>
              </w:rPr>
              <w:t>2023</w:t>
            </w:r>
          </w:p>
        </w:tc>
        <w:tc>
          <w:tcPr>
            <w:tcW w:type="dxa" w:w="1440"/>
          </w:tcPr>
          <w:p>
            <w:r>
              <w:rPr>
                <w:sz w:val="18"/>
              </w:rPr>
              <w:t>545.0</w:t>
            </w:r>
          </w:p>
        </w:tc>
        <w:tc>
          <w:tcPr>
            <w:tcW w:type="dxa" w:w="1440"/>
          </w:tcPr>
          <w:p>
            <w:r>
              <w:rPr>
                <w:sz w:val="18"/>
              </w:rPr>
              <w:t>737.9</w:t>
            </w:r>
          </w:p>
        </w:tc>
        <w:tc>
          <w:tcPr>
            <w:tcW w:type="dxa" w:w="1440"/>
          </w:tcPr>
          <w:p>
            <w:r>
              <w:rPr>
                <w:sz w:val="18"/>
              </w:rPr>
              <w:t>192.9</w:t>
            </w:r>
          </w:p>
        </w:tc>
        <w:tc>
          <w:tcPr>
            <w:tcW w:type="dxa" w:w="1440"/>
          </w:tcPr>
          <w:p>
            <w:r>
              <w:rPr>
                <w:sz w:val="18"/>
              </w:rPr>
              <w:t>35.4</w:t>
            </w:r>
          </w:p>
        </w:tc>
      </w:tr>
      <w:tr>
        <w:tc>
          <w:tcPr>
            <w:tcW w:type="dxa" w:w="1440"/>
          </w:tcPr>
          <w:p>
            <w:r>
              <w:rPr>
                <w:sz w:val="18"/>
              </w:rPr>
              <w:t>IE</w:t>
            </w:r>
          </w:p>
        </w:tc>
        <w:tc>
          <w:tcPr>
            <w:tcW w:type="dxa" w:w="1440"/>
          </w:tcPr>
          <w:p>
            <w:r>
              <w:rPr>
                <w:sz w:val="18"/>
              </w:rPr>
              <w:t>2023</w:t>
            </w:r>
          </w:p>
        </w:tc>
        <w:tc>
          <w:tcPr>
            <w:tcW w:type="dxa" w:w="1440"/>
          </w:tcPr>
          <w:p>
            <w:r>
              <w:rPr>
                <w:sz w:val="18"/>
              </w:rPr>
              <w:t>61.9</w:t>
            </w:r>
          </w:p>
        </w:tc>
        <w:tc>
          <w:tcPr>
            <w:tcW w:type="dxa" w:w="1440"/>
          </w:tcPr>
          <w:p>
            <w:r>
              <w:rPr>
                <w:sz w:val="18"/>
              </w:rPr>
              <w:t>63.5</w:t>
            </w:r>
          </w:p>
        </w:tc>
        <w:tc>
          <w:tcPr>
            <w:tcW w:type="dxa" w:w="1440"/>
          </w:tcPr>
          <w:p>
            <w:r>
              <w:rPr>
                <w:sz w:val="18"/>
              </w:rPr>
              <w:t>1.6</w:t>
            </w:r>
          </w:p>
        </w:tc>
        <w:tc>
          <w:tcPr>
            <w:tcW w:type="dxa" w:w="1440"/>
          </w:tcPr>
          <w:p>
            <w:r>
              <w:rPr>
                <w:sz w:val="18"/>
              </w:rPr>
              <w:t>2.6</w:t>
            </w:r>
          </w:p>
        </w:tc>
      </w:tr>
      <w:tr>
        <w:tc>
          <w:tcPr>
            <w:tcW w:type="dxa" w:w="1440"/>
          </w:tcPr>
          <w:p>
            <w:r>
              <w:rPr>
                <w:sz w:val="18"/>
              </w:rPr>
              <w:t>NL</w:t>
            </w:r>
          </w:p>
        </w:tc>
        <w:tc>
          <w:tcPr>
            <w:tcW w:type="dxa" w:w="1440"/>
          </w:tcPr>
          <w:p>
            <w:r>
              <w:rPr>
                <w:sz w:val="18"/>
              </w:rPr>
              <w:t>2023</w:t>
            </w:r>
          </w:p>
        </w:tc>
        <w:tc>
          <w:tcPr>
            <w:tcW w:type="dxa" w:w="1440"/>
          </w:tcPr>
          <w:p>
            <w:r>
              <w:rPr>
                <w:sz w:val="18"/>
              </w:rPr>
              <w:t>139.4</w:t>
            </w:r>
          </w:p>
        </w:tc>
        <w:tc>
          <w:tcPr>
            <w:tcW w:type="dxa" w:w="1440"/>
          </w:tcPr>
          <w:p>
            <w:r>
              <w:rPr>
                <w:sz w:val="18"/>
              </w:rPr>
              <w:t>141.7</w:t>
            </w:r>
          </w:p>
        </w:tc>
        <w:tc>
          <w:tcPr>
            <w:tcW w:type="dxa" w:w="1440"/>
          </w:tcPr>
          <w:p>
            <w:r>
              <w:rPr>
                <w:sz w:val="18"/>
              </w:rPr>
              <w:t>2.3</w:t>
            </w:r>
          </w:p>
        </w:tc>
        <w:tc>
          <w:tcPr>
            <w:tcW w:type="dxa" w:w="1440"/>
          </w:tcPr>
          <w:p>
            <w:r>
              <w:rPr>
                <w:sz w:val="18"/>
              </w:rPr>
              <w:t>1.7</w:t>
            </w:r>
          </w:p>
        </w:tc>
      </w:tr>
      <w:tr>
        <w:tc>
          <w:tcPr>
            <w:tcW w:type="dxa" w:w="1440"/>
          </w:tcPr>
          <w:p>
            <w:r>
              <w:rPr>
                <w:sz w:val="18"/>
              </w:rPr>
              <w:t>DK</w:t>
            </w:r>
          </w:p>
        </w:tc>
        <w:tc>
          <w:tcPr>
            <w:tcW w:type="dxa" w:w="1440"/>
          </w:tcPr>
          <w:p>
            <w:r>
              <w:rPr>
                <w:sz w:val="18"/>
              </w:rPr>
              <w:t>2023</w:t>
            </w:r>
          </w:p>
        </w:tc>
        <w:tc>
          <w:tcPr>
            <w:tcW w:type="dxa" w:w="1440"/>
          </w:tcPr>
          <w:p>
            <w:r>
              <w:rPr>
                <w:sz w:val="18"/>
              </w:rPr>
              <w:t>75.0</w:t>
            </w:r>
          </w:p>
        </w:tc>
        <w:tc>
          <w:tcPr>
            <w:tcW w:type="dxa" w:w="1440"/>
          </w:tcPr>
          <w:p>
            <w:r>
              <w:rPr>
                <w:sz w:val="18"/>
              </w:rPr>
              <w:t>50.2</w:t>
            </w:r>
          </w:p>
        </w:tc>
        <w:tc>
          <w:tcPr>
            <w:tcW w:type="dxa" w:w="1440"/>
          </w:tcPr>
          <w:p>
            <w:r>
              <w:rPr>
                <w:sz w:val="18"/>
              </w:rPr>
              <w:t>-24.7</w:t>
            </w:r>
          </w:p>
        </w:tc>
        <w:tc>
          <w:tcPr>
            <w:tcW w:type="dxa" w:w="1440"/>
          </w:tcPr>
          <w:p>
            <w:r>
              <w:rPr>
                <w:sz w:val="18"/>
              </w:rPr>
              <w:t>-33.0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8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120"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120"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owid/co2-data" TargetMode="External"/><Relationship Id="rId10" Type="http://schemas.openxmlformats.org/officeDocument/2006/relationships/hyperlink" Target="https://ec.europa.eu/eurostat/databrowser/product/view/env_ac_ghgfp" TargetMode="External"/><Relationship Id="rId11" Type="http://schemas.openxmlformats.org/officeDocument/2006/relationships/hyperlink" Target="https://ec.europa.eu/eurostat/databrowser/product/view/env_air_g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Gallagher, Lucy O’Connor, Seán Bardon</dc:creator>
  <cp:keywords/>
  <dc:description/>
  <cp:lastModifiedBy>Charlie Gallagher</cp:lastModifiedBy>
  <cp:revision>1</cp:revision>
  <dcterms:created xsi:type="dcterms:W3CDTF">2013-12-23T23:15:00Z</dcterms:created>
  <dcterms:modified xsi:type="dcterms:W3CDTF">2013-12-23T23:15:00Z</dcterms:modified>
  <cp:category/>
</cp:coreProperties>
</file>